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EE5" w:rsidRDefault="00417EE5" w:rsidP="00417EE5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刑诉法学科备考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学习方法</w:t>
      </w:r>
    </w:p>
    <w:p w:rsidR="00417EE5" w:rsidRDefault="00417EE5" w:rsidP="00417EE5">
      <w:pPr>
        <w:jc w:val="center"/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</w:pPr>
    </w:p>
    <w:p w:rsidR="00417EE5" w:rsidRDefault="00417EE5" w:rsidP="00417EE5">
      <w:pPr>
        <w:ind w:firstLineChars="200" w:firstLine="422"/>
        <w:rPr>
          <w:rFonts w:ascii="宋体" w:eastAsia="宋体" w:hAnsi="宋体" w:cs="宋体"/>
          <w:b/>
          <w:bCs/>
          <w:szCs w:val="21"/>
          <w:lang w:eastAsia="zh-Hans"/>
        </w:rPr>
      </w:pPr>
      <w:r>
        <w:rPr>
          <w:rFonts w:ascii="宋体" w:eastAsia="宋体" w:hAnsi="宋体" w:cs="宋体" w:hint="eastAsia"/>
          <w:b/>
          <w:bCs/>
          <w:szCs w:val="21"/>
          <w:lang w:eastAsia="zh-Hans"/>
        </w:rPr>
        <w:t>一、夯实基础，注重理解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近年来，刑诉法在法考中的考察形式越来越灵活，理论性考点时有出现，仅以机械记忆、口诀背诵为主导的复习模式已不再适用。针对此，各位学员需要做到吃透讲义、全面复习。课程讲义的内容是法考考察范围的精简与浓缩，立足讲义进行全面复习是重中之重。因此，复习要注重全面性，在初步复习时要对基础概念、基本原则、法律规定等内容全面掌握，不要人为地划分“重点”与“非重点”，自己给自己设限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刑诉考试的考点十分琐碎，有些概念在表述上还十分相近，这对各位学员提出挑战。为此，大家需要做到对各知识点的联动理解与对比区分，如联动一审不开庭审理的情形、对比记忆拘传与传唤的区别、普通程序与简易程序的区别、速裁程序与简易程序的区别、酌定不起诉与法定不起诉的区别，等等。关联知识点与需要区分的概念，课程讲义或上课过程（课程笔记）中均有涉及，大家应在复习过程中重点掌握。</w:t>
      </w:r>
    </w:p>
    <w:p w:rsidR="00417EE5" w:rsidRDefault="00417EE5" w:rsidP="00417EE5">
      <w:pPr>
        <w:ind w:firstLineChars="200"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二、</w:t>
      </w:r>
      <w:r>
        <w:rPr>
          <w:rFonts w:ascii="宋体" w:eastAsia="宋体" w:hAnsi="宋体" w:cs="宋体" w:hint="eastAsia"/>
          <w:b/>
          <w:bCs/>
          <w:szCs w:val="21"/>
          <w:lang w:eastAsia="zh-Hans"/>
        </w:rPr>
        <w:t>熟悉重要法条内容及其定位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在法考考试中，刑事诉讼法的考察内容与法条多直接关涉，少部分才会涉及理论性问题，因此准确掌握以下法条的重点内容便是攻克刑诉法的关键：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1.《中华人民共和国刑事诉讼法》(2018年10月26日修正)（简称《刑诉法》）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2.《最高人民法院关于适用〈中华人民共和国刑事诉讼法〉的解释》（2021年3月1日施行 法释〔2021〕1号）（简称《法院解释》）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3.《人民检察院刑事诉讼规则》（2019年12月30日起施行 高检发释字〔2019〕4号）（简称《高检规则》）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4.《公安机关办理刑事案件程序规定》（2020年7月20日修正）（简称《公安规定》）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5.《关于办理刑事案件严格排除非法证据若干问题的规定》（2017年6月27日施行 法发〔2017〕15号）（简称《严格排非规定》）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6.《关于适用认罪认罚从宽制度的指导意见》（2019年10月11日施行 高检发[2019]13号）（简称《认罪认罚指导意见》）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7.《关于取保候审若干问题的规定》（2022年9月5日施行 公通字〔2022〕25号）（简称《取保候审规定》）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对于法条全文的检索，各位学员可以查看“刑诉法律法规汇编（202</w:t>
      </w:r>
      <w:r>
        <w:rPr>
          <w:rFonts w:ascii="宋体" w:eastAsia="宋体" w:hAnsi="宋体" w:cs="宋体"/>
          <w:szCs w:val="21"/>
        </w:rPr>
        <w:t>6</w:t>
      </w:r>
      <w:r>
        <w:rPr>
          <w:rFonts w:ascii="宋体" w:eastAsia="宋体" w:hAnsi="宋体" w:cs="宋体" w:hint="eastAsia"/>
          <w:szCs w:val="21"/>
        </w:rPr>
        <w:t>）”文件包。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刑事诉讼法涉及的司法解释和法规众多，为此大家一定要做好知识点的法条定位，涉及一审、二审、再审等审判程序的就找《法院解释》，涉及立案监督、侦查监督、审查起诉等就找《高检规则》，涉及侦查措施就看《公安规定》，涉及认罪认罚就看《认罪认罚指导意见》，涉及非法证据排除就看《严格排非规定》，涉及取保候审新增的就看《取保候审规定》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虽然相关法律琐碎，但是大家在复习时应坚持两个思路：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一是新增必考。新修订的内容一定要重点掌握，是复习的第一要义。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二是重者恒重。非法证据排除、间接证据定案等证据法相关问题、管辖问题、强制措施问题、与监察法衔接问题等一直是考试的热门与重点，一定要重点掌握。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此外，大家需要注意法条内容与讲义的关系。讲义是对法条内容的转化，只是部分地方没有标示出法条条文。在初步复习时，建议大家以讲义为主。这是因为法条内容十分琐碎，各位学员在寻找法条和解读法条时可能会陷入误区，从而导致适得其反的效果。立足讲义是初步复习时的制胜法宝，与此同时，主观题考生要配合法条定位，在日常复习中随时定位讲义中重点标识的法条具体在哪个位置，以便模拟训练时快速检索法条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</w:p>
    <w:p w:rsidR="00417EE5" w:rsidRDefault="00417EE5" w:rsidP="00417EE5">
      <w:pPr>
        <w:ind w:firstLineChars="200"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三、模拟训练与经验总结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知识学习仅仅是一方面，应对法考的关键还是在于运用，因此一定要注重每一次的模拟训练，在训练中加强对法条的理解。在模拟练习时，要注意以下事项：一是判断考点。面对题目第一步就应当判断这道题到底在考哪个知识点，是想考察不起诉吗、是在问非法证据排除吗、是在问死刑复核案件吗？判断考点时一定要对一些表述高度警惕，比如题干中若涉及“中院死刑”，要立马联想需要死刑复核，裁判生效的问题；比如涉及“未成年”，要立马联想未成年特别程序、指定辩护、适合成年人在场等。二是训练自己的法条定位能力。刑诉法涉及的法条内容众多，且不分布在同一法律规范中，在模拟练习时，就需要大家先定位法条名字，再定位分布章节，最后确定条文。模拟考试环境中训练自己的检索能力，可以快速提升考试时的速度和准确度；三是对照问题反思认知漏洞。刑诉复习时，很容易陷入自己的思维误区，误以为是“应当”不是“可以”，误以为是需要“女医师”不是“医师”，误以为“认罪认罚案件”只能适用“速裁程序”、只适用于“轻罪案件”，这些思维误区在模拟训练时均会一一显露。“光说不练假把式”，做题是发现自己不足的高效方式，但题目训练不只要止步于结果对错，而是要要弄懂、弄通每一个选项，在每一次做题中矫正自己的思维误区。</w:t>
      </w:r>
    </w:p>
    <w:p w:rsidR="00417EE5" w:rsidRDefault="00417EE5" w:rsidP="00417EE5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总而言之，刑诉的备考并不轻松，在法考考试时也难以凭借“直觉”“法感”乱蒙、随意作答。但只要按照节奏跟完课程、复习讲义、模拟训练，相信大家都能成功过关，取得优异的成绩！</w:t>
      </w:r>
    </w:p>
    <w:p w:rsidR="000F3220" w:rsidRPr="00417EE5" w:rsidRDefault="000F3220">
      <w:bookmarkStart w:id="0" w:name="_GoBack"/>
      <w:bookmarkEnd w:id="0"/>
    </w:p>
    <w:sectPr w:rsidR="000F3220" w:rsidRPr="00417EE5" w:rsidSect="003E6C5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E5"/>
    <w:rsid w:val="000F3220"/>
    <w:rsid w:val="00243023"/>
    <w:rsid w:val="003E6C50"/>
    <w:rsid w:val="00417EE5"/>
    <w:rsid w:val="004258AA"/>
    <w:rsid w:val="005856BE"/>
    <w:rsid w:val="00744B92"/>
    <w:rsid w:val="0092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A3105"/>
  <w15:chartTrackingRefBased/>
  <w15:docId w15:val="{56E81214-92DE-CB4F-85C0-EA399B2F6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17EE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51E5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B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9251E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744B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Plain Text"/>
    <w:basedOn w:val="a"/>
    <w:link w:val="a4"/>
    <w:uiPriority w:val="99"/>
    <w:unhideWhenUsed/>
    <w:qFormat/>
    <w:rsid w:val="009251E5"/>
    <w:rPr>
      <w:rFonts w:ascii="宋体" w:eastAsia="宋体" w:hAnsi="Courier New" w:cs="Courier New"/>
      <w:kern w:val="0"/>
      <w:sz w:val="20"/>
      <w:szCs w:val="21"/>
    </w:rPr>
  </w:style>
  <w:style w:type="character" w:customStyle="1" w:styleId="a4">
    <w:name w:val="纯文本 字符"/>
    <w:link w:val="a3"/>
    <w:uiPriority w:val="99"/>
    <w:rsid w:val="009251E5"/>
    <w:rPr>
      <w:rFonts w:ascii="宋体" w:hAnsi="Courier New" w:cs="Courier New"/>
      <w:szCs w:val="21"/>
    </w:rPr>
  </w:style>
  <w:style w:type="paragraph" w:styleId="a5">
    <w:name w:val="List Paragraph"/>
    <w:basedOn w:val="a"/>
    <w:uiPriority w:val="99"/>
    <w:qFormat/>
    <w:rsid w:val="00744B92"/>
    <w:pPr>
      <w:ind w:firstLineChars="200" w:firstLine="420"/>
    </w:pPr>
    <w:rPr>
      <w:rFonts w:ascii="Calibri" w:eastAsia="宋体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2026-04-08T04:32:00Z</dcterms:created>
  <dcterms:modified xsi:type="dcterms:W3CDTF">2026-04-08T04:32:00Z</dcterms:modified>
</cp:coreProperties>
</file>