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B4C7D7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sz w:val="28"/>
          <w:szCs w:val="28"/>
          <w:lang w:val="en-US" w:eastAsia="zh-CN"/>
        </w:rPr>
      </w:pPr>
      <w:r>
        <w:rPr>
          <w:rFonts w:hint="eastAsia"/>
          <w:b/>
          <w:bCs/>
          <w:sz w:val="28"/>
          <w:szCs w:val="28"/>
          <w:lang w:val="en-US" w:eastAsia="zh-CN"/>
        </w:rPr>
        <w:t>商法第三讲课堂笔记（考点5-7）</w:t>
      </w:r>
    </w:p>
    <w:p w14:paraId="417D882F">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b/>
          <w:bCs/>
          <w:sz w:val="21"/>
          <w:szCs w:val="21"/>
          <w:lang w:val="en-US" w:eastAsia="zh-CN"/>
        </w:rPr>
      </w:pPr>
      <w:r>
        <w:rPr>
          <w:rFonts w:hint="eastAsia" w:ascii="Times New Roman Regular" w:hAnsi="Times New Roman Regular" w:cs="Times New Roman Regular"/>
          <w:b/>
          <w:bCs/>
          <w:sz w:val="21"/>
          <w:szCs w:val="21"/>
          <w:lang w:val="en-US" w:eastAsia="zh-CN"/>
        </w:rPr>
        <w:t>【考点5:公司的变更与终止】</w:t>
      </w:r>
    </w:p>
    <w:p w14:paraId="5C936C8D">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b w:val="0"/>
          <w:bCs w:val="0"/>
          <w:sz w:val="21"/>
          <w:szCs w:val="21"/>
          <w:lang w:val="en-US" w:eastAsia="zh-CN"/>
        </w:rPr>
      </w:pPr>
      <w:r>
        <w:rPr>
          <w:rFonts w:hint="eastAsia" w:ascii="Times New Roman Regular" w:hAnsi="Times New Roman Regular" w:cs="Times New Roman Regular"/>
          <w:b w:val="0"/>
          <w:bCs w:val="0"/>
          <w:sz w:val="21"/>
          <w:szCs w:val="21"/>
          <w:lang w:val="en-US" w:eastAsia="zh-CN"/>
        </w:rPr>
        <w:t>（承接第二讲）</w:t>
      </w:r>
    </w:p>
    <w:p w14:paraId="7185E1C8">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b w:val="0"/>
          <w:bCs w:val="0"/>
          <w:sz w:val="21"/>
          <w:szCs w:val="21"/>
          <w:lang w:val="en-US" w:eastAsia="zh-CN"/>
        </w:rPr>
      </w:pPr>
      <w:r>
        <w:rPr>
          <w:rFonts w:hint="default" w:ascii="Times New Roman Regular" w:hAnsi="Times New Roman Regular" w:cs="Times New Roman Regular"/>
          <w:b w:val="0"/>
          <w:bCs w:val="0"/>
          <w:sz w:val="21"/>
          <w:szCs w:val="21"/>
          <w:lang w:val="en-US" w:eastAsia="zh-CN"/>
        </w:rPr>
        <w:t>三、公司的解散与清算</w:t>
      </w:r>
    </w:p>
    <w:p w14:paraId="308AF5D9">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b w:val="0"/>
          <w:bCs w:val="0"/>
          <w:sz w:val="21"/>
          <w:szCs w:val="21"/>
          <w:lang w:val="en-US" w:eastAsia="zh-CN"/>
        </w:rPr>
      </w:pPr>
      <w:r>
        <w:rPr>
          <w:rFonts w:hint="default" w:ascii="Times New Roman Regular" w:hAnsi="Times New Roman Regular" w:cs="Times New Roman Regular"/>
          <w:b w:val="0"/>
          <w:bCs w:val="0"/>
          <w:sz w:val="21"/>
          <w:szCs w:val="21"/>
          <w:lang w:val="en-US" w:eastAsia="zh-CN"/>
        </w:rPr>
        <w:t>（一）公司的解散</w:t>
      </w:r>
    </w:p>
    <w:p w14:paraId="25F5CC48">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b w:val="0"/>
          <w:bCs w:val="0"/>
          <w:sz w:val="21"/>
          <w:szCs w:val="21"/>
          <w:lang w:val="en-US" w:eastAsia="zh-CN"/>
        </w:rPr>
      </w:pPr>
      <w:r>
        <w:rPr>
          <w:rFonts w:hint="eastAsia" w:ascii="Times New Roman Regular" w:hAnsi="Times New Roman Regular" w:cs="Times New Roman Regular"/>
          <w:b w:val="0"/>
          <w:bCs w:val="0"/>
          <w:sz w:val="21"/>
          <w:szCs w:val="21"/>
          <w:lang w:val="en-US" w:eastAsia="zh-CN"/>
        </w:rPr>
        <w:t>1.</w:t>
      </w:r>
      <w:r>
        <w:rPr>
          <w:rFonts w:hint="default" w:ascii="Times New Roman Regular" w:hAnsi="Times New Roman Regular" w:cs="Times New Roman Regular"/>
          <w:b w:val="0"/>
          <w:bCs w:val="0"/>
          <w:sz w:val="21"/>
          <w:szCs w:val="21"/>
          <w:lang w:val="en-US" w:eastAsia="zh-CN"/>
        </w:rPr>
        <w:t>自愿解散</w:t>
      </w:r>
    </w:p>
    <w:p w14:paraId="74B1C054">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b w:val="0"/>
          <w:bCs w:val="0"/>
          <w:sz w:val="21"/>
          <w:szCs w:val="21"/>
          <w:lang w:val="en-US" w:eastAsia="zh-CN"/>
        </w:rPr>
      </w:pPr>
      <w:r>
        <w:rPr>
          <w:rFonts w:hint="eastAsia" w:ascii="Times New Roman Regular" w:hAnsi="Times New Roman Regular" w:cs="Times New Roman Regular"/>
          <w:b w:val="0"/>
          <w:bCs w:val="0"/>
          <w:sz w:val="21"/>
          <w:szCs w:val="21"/>
          <w:lang w:val="en-US" w:eastAsia="zh-CN"/>
        </w:rPr>
        <w:t>（1）</w:t>
      </w:r>
      <w:r>
        <w:rPr>
          <w:rFonts w:hint="default" w:ascii="Times New Roman Regular" w:hAnsi="Times New Roman Regular" w:cs="Times New Roman Regular"/>
          <w:b w:val="0"/>
          <w:bCs w:val="0"/>
          <w:sz w:val="21"/>
          <w:szCs w:val="21"/>
          <w:lang w:val="en-US" w:eastAsia="zh-CN"/>
        </w:rPr>
        <w:t>公司章程规定的营业期限届满或者公司章程规定的其他解散事由出现</w:t>
      </w:r>
    </w:p>
    <w:p w14:paraId="2CBFBBC0">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b w:val="0"/>
          <w:bCs w:val="0"/>
          <w:sz w:val="21"/>
          <w:szCs w:val="21"/>
          <w:lang w:val="en-US" w:eastAsia="zh-CN"/>
        </w:rPr>
      </w:pPr>
      <w:r>
        <w:rPr>
          <w:rFonts w:hint="eastAsia" w:ascii="Times New Roman Regular" w:hAnsi="Times New Roman Regular" w:cs="Times New Roman Regular"/>
          <w:b w:val="0"/>
          <w:bCs w:val="0"/>
          <w:sz w:val="21"/>
          <w:szCs w:val="21"/>
          <w:lang w:val="en-US" w:eastAsia="zh-CN"/>
        </w:rPr>
        <w:t>（2）</w:t>
      </w:r>
      <w:r>
        <w:rPr>
          <w:rFonts w:hint="default" w:ascii="Times New Roman Regular" w:hAnsi="Times New Roman Regular" w:cs="Times New Roman Regular"/>
          <w:b w:val="0"/>
          <w:bCs w:val="0"/>
          <w:sz w:val="21"/>
          <w:szCs w:val="21"/>
          <w:lang w:val="en-US" w:eastAsia="zh-CN"/>
        </w:rPr>
        <w:t>股东会决议解散（提前解散）</w:t>
      </w:r>
    </w:p>
    <w:p w14:paraId="4380B339">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b w:val="0"/>
          <w:bCs w:val="0"/>
          <w:sz w:val="21"/>
          <w:szCs w:val="21"/>
          <w:lang w:val="en-US" w:eastAsia="zh-CN"/>
        </w:rPr>
      </w:pPr>
      <w:r>
        <w:rPr>
          <w:rFonts w:hint="eastAsia" w:ascii="Times New Roman Regular" w:hAnsi="Times New Roman Regular" w:cs="Times New Roman Regular"/>
          <w:b w:val="0"/>
          <w:bCs w:val="0"/>
          <w:sz w:val="21"/>
          <w:szCs w:val="21"/>
          <w:lang w:val="en-US" w:eastAsia="zh-CN"/>
        </w:rPr>
        <w:t>（3）</w:t>
      </w:r>
      <w:r>
        <w:rPr>
          <w:rFonts w:hint="default" w:ascii="Times New Roman Regular" w:hAnsi="Times New Roman Regular" w:cs="Times New Roman Regular"/>
          <w:b w:val="0"/>
          <w:bCs w:val="0"/>
          <w:sz w:val="21"/>
          <w:szCs w:val="21"/>
          <w:lang w:val="en-US" w:eastAsia="zh-CN"/>
        </w:rPr>
        <w:t>因公司合并或者分立需要解散（法定解散）</w:t>
      </w:r>
    </w:p>
    <w:p w14:paraId="289C970B">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b w:val="0"/>
          <w:bCs w:val="0"/>
          <w:sz w:val="21"/>
          <w:szCs w:val="21"/>
          <w:lang w:val="en-US" w:eastAsia="zh-CN"/>
        </w:rPr>
      </w:pPr>
      <w:r>
        <w:rPr>
          <w:rFonts w:hint="default" w:ascii="Times New Roman Regular" w:hAnsi="Times New Roman Regular" w:cs="Times New Roman Regular"/>
          <w:b w:val="0"/>
          <w:bCs w:val="0"/>
          <w:sz w:val="21"/>
          <w:szCs w:val="21"/>
          <w:lang w:val="en-US" w:eastAsia="zh-CN"/>
        </w:rPr>
        <w:t>公司有第一项、第二项情形，且尚未向股东分配财产的，可以通过修改公司章程或者经股东会决议而存续。</w:t>
      </w:r>
    </w:p>
    <w:p w14:paraId="424453C6">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b w:val="0"/>
          <w:bCs w:val="0"/>
          <w:sz w:val="21"/>
          <w:szCs w:val="21"/>
          <w:lang w:val="en-US" w:eastAsia="zh-CN"/>
        </w:rPr>
      </w:pPr>
      <w:r>
        <w:rPr>
          <w:rFonts w:hint="default" w:ascii="Times New Roman Regular" w:hAnsi="Times New Roman Regular" w:cs="Times New Roman Regular"/>
          <w:b w:val="0"/>
          <w:bCs w:val="0"/>
          <w:sz w:val="21"/>
          <w:szCs w:val="21"/>
          <w:lang w:val="en-US" w:eastAsia="zh-CN"/>
        </w:rPr>
        <w:t>依照前款规定修改公司章程或者经股东会决议，有限责任公司须经持有三分之二以上表决权的股东通过，股份有限公司须经出席股东会会议的股东所持表决权的三分之二以上通过</w:t>
      </w:r>
    </w:p>
    <w:p w14:paraId="332ADA7F">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b w:val="0"/>
          <w:bCs w:val="0"/>
          <w:sz w:val="21"/>
          <w:szCs w:val="21"/>
          <w:lang w:val="en-US" w:eastAsia="zh-CN"/>
        </w:rPr>
      </w:pPr>
      <w:r>
        <w:rPr>
          <w:rFonts w:hint="eastAsia" w:ascii="Times New Roman Regular" w:hAnsi="Times New Roman Regular" w:cs="Times New Roman Regular"/>
          <w:b w:val="0"/>
          <w:bCs w:val="0"/>
          <w:sz w:val="21"/>
          <w:szCs w:val="21"/>
          <w:lang w:val="en-US" w:eastAsia="zh-CN"/>
        </w:rPr>
        <w:t>2.</w:t>
      </w:r>
      <w:r>
        <w:rPr>
          <w:rFonts w:hint="default" w:ascii="Times New Roman Regular" w:hAnsi="Times New Roman Regular" w:cs="Times New Roman Regular"/>
          <w:b w:val="0"/>
          <w:bCs w:val="0"/>
          <w:sz w:val="21"/>
          <w:szCs w:val="21"/>
          <w:lang w:val="en-US" w:eastAsia="zh-CN"/>
        </w:rPr>
        <w:t>强制解散</w:t>
      </w:r>
      <w:r>
        <w:rPr>
          <w:rFonts w:hint="eastAsia" w:ascii="Times New Roman Regular" w:hAnsi="Times New Roman Regular" w:cs="Times New Roman Regular"/>
          <w:b w:val="0"/>
          <w:bCs w:val="0"/>
          <w:sz w:val="21"/>
          <w:szCs w:val="21"/>
          <w:lang w:val="en-US" w:eastAsia="zh-CN"/>
        </w:rPr>
        <w:t>（违法解散）</w:t>
      </w:r>
    </w:p>
    <w:p w14:paraId="160169BC">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b w:val="0"/>
          <w:bCs w:val="0"/>
          <w:sz w:val="21"/>
          <w:szCs w:val="21"/>
          <w:lang w:val="en-US" w:eastAsia="zh-CN"/>
        </w:rPr>
      </w:pPr>
      <w:r>
        <w:rPr>
          <w:rFonts w:hint="default" w:ascii="Times New Roman Regular" w:hAnsi="Times New Roman Regular" w:cs="Times New Roman Regular"/>
          <w:b w:val="0"/>
          <w:bCs w:val="0"/>
          <w:sz w:val="21"/>
          <w:szCs w:val="21"/>
          <w:lang w:val="en-US" w:eastAsia="zh-CN"/>
        </w:rPr>
        <w:t>依法被主管机关或人民法院吊销营业执照、责令关闭或者撤销</w:t>
      </w:r>
    </w:p>
    <w:p w14:paraId="5F6E3C4B">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b w:val="0"/>
          <w:bCs w:val="0"/>
          <w:sz w:val="21"/>
          <w:szCs w:val="21"/>
          <w:lang w:val="en-US" w:eastAsia="zh-CN"/>
        </w:rPr>
      </w:pPr>
      <w:r>
        <w:rPr>
          <w:rFonts w:hint="eastAsia" w:ascii="Times New Roman Regular" w:hAnsi="Times New Roman Regular" w:cs="Times New Roman Regular"/>
          <w:b w:val="0"/>
          <w:bCs w:val="0"/>
          <w:sz w:val="21"/>
          <w:szCs w:val="21"/>
          <w:lang w:val="en-US" w:eastAsia="zh-CN"/>
        </w:rPr>
        <w:t>3.</w:t>
      </w:r>
      <w:r>
        <w:rPr>
          <w:rFonts w:hint="default" w:ascii="Times New Roman Regular" w:hAnsi="Times New Roman Regular" w:cs="Times New Roman Regular"/>
          <w:b w:val="0"/>
          <w:bCs w:val="0"/>
          <w:sz w:val="21"/>
          <w:szCs w:val="21"/>
          <w:lang w:val="en-US" w:eastAsia="zh-CN"/>
        </w:rPr>
        <w:t>司法解散</w:t>
      </w:r>
    </w:p>
    <w:p w14:paraId="0129AC77">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b w:val="0"/>
          <w:bCs w:val="0"/>
          <w:sz w:val="21"/>
          <w:szCs w:val="21"/>
          <w:lang w:val="en-US" w:eastAsia="zh-CN"/>
        </w:rPr>
      </w:pPr>
      <w:r>
        <w:rPr>
          <w:rFonts w:hint="eastAsia" w:ascii="Times New Roman Regular" w:hAnsi="Times New Roman Regular" w:cs="Times New Roman Regular"/>
          <w:b w:val="0"/>
          <w:bCs w:val="0"/>
          <w:sz w:val="21"/>
          <w:szCs w:val="21"/>
          <w:lang w:val="en-US" w:eastAsia="zh-CN"/>
        </w:rPr>
        <w:t>（1）</w:t>
      </w:r>
      <w:r>
        <w:rPr>
          <w:rFonts w:hint="default" w:ascii="Times New Roman Regular" w:hAnsi="Times New Roman Regular" w:cs="Times New Roman Regular"/>
          <w:b w:val="0"/>
          <w:bCs w:val="0"/>
          <w:sz w:val="21"/>
          <w:szCs w:val="21"/>
          <w:lang w:val="en-US" w:eastAsia="zh-CN"/>
        </w:rPr>
        <w:t>情形</w:t>
      </w:r>
      <w:r>
        <w:rPr>
          <w:rFonts w:hint="eastAsia" w:ascii="Times New Roman Regular" w:hAnsi="Times New Roman Regular" w:cs="Times New Roman Regular"/>
          <w:b w:val="0"/>
          <w:bCs w:val="0"/>
          <w:sz w:val="21"/>
          <w:szCs w:val="21"/>
          <w:lang w:val="en-US" w:eastAsia="zh-CN"/>
        </w:rPr>
        <w:t>：</w:t>
      </w:r>
      <w:r>
        <w:rPr>
          <w:rFonts w:hint="default" w:ascii="Times New Roman Regular" w:hAnsi="Times New Roman Regular" w:cs="Times New Roman Regular"/>
          <w:b w:val="0"/>
          <w:bCs w:val="0"/>
          <w:sz w:val="21"/>
          <w:szCs w:val="21"/>
          <w:lang w:val="en-US" w:eastAsia="zh-CN"/>
        </w:rPr>
        <w:t>“公司僵局”是指公司在存续运行中由于股东、董事之间矛盾激化而处于僵持状况，导致股东会、董事会持续两年以上不能按照法定程序召开或者作出决策，从而使公司陷入无法正常运转，甚至瘫痪的状况</w:t>
      </w:r>
    </w:p>
    <w:p w14:paraId="22C93896">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b w:val="0"/>
          <w:bCs w:val="0"/>
          <w:sz w:val="21"/>
          <w:szCs w:val="21"/>
          <w:lang w:val="en-US" w:eastAsia="zh-CN"/>
        </w:rPr>
      </w:pPr>
      <w:r>
        <w:rPr>
          <w:rFonts w:hint="eastAsia" w:ascii="Times New Roman Regular" w:hAnsi="Times New Roman Regular" w:cs="Times New Roman Regular"/>
          <w:b w:val="0"/>
          <w:bCs w:val="0"/>
          <w:sz w:val="21"/>
          <w:szCs w:val="21"/>
          <w:lang w:val="en-US" w:eastAsia="zh-CN"/>
        </w:rPr>
        <w:t>（2）</w:t>
      </w:r>
      <w:r>
        <w:rPr>
          <w:rFonts w:hint="default" w:ascii="Times New Roman Regular" w:hAnsi="Times New Roman Regular" w:cs="Times New Roman Regular"/>
          <w:b w:val="0"/>
          <w:bCs w:val="0"/>
          <w:sz w:val="21"/>
          <w:szCs w:val="21"/>
          <w:lang w:val="en-US" w:eastAsia="zh-CN"/>
        </w:rPr>
        <w:t>条件</w:t>
      </w:r>
      <w:r>
        <w:rPr>
          <w:rFonts w:hint="eastAsia" w:ascii="Times New Roman Regular" w:hAnsi="Times New Roman Regular" w:cs="Times New Roman Regular"/>
          <w:b w:val="0"/>
          <w:bCs w:val="0"/>
          <w:sz w:val="21"/>
          <w:szCs w:val="21"/>
          <w:lang w:val="en-US" w:eastAsia="zh-CN"/>
        </w:rPr>
        <w:t>：</w:t>
      </w:r>
      <w:r>
        <w:rPr>
          <w:rFonts w:hint="default" w:ascii="Times New Roman Regular" w:hAnsi="Times New Roman Regular" w:cs="Times New Roman Regular"/>
          <w:b w:val="0"/>
          <w:bCs w:val="0"/>
          <w:sz w:val="21"/>
          <w:szCs w:val="21"/>
          <w:lang w:val="en-US" w:eastAsia="zh-CN"/>
        </w:rPr>
        <w:t>公司经营管理发生严重困难，继续存续会使股东利益受到重大损失，通过其他途径不能解决的（即用尽内部救济），持有公司百分之十以上表决权的股东，可以请求人民法院解散公司。</w:t>
      </w:r>
    </w:p>
    <w:p w14:paraId="5A80BA0E">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b w:val="0"/>
          <w:bCs w:val="0"/>
          <w:sz w:val="21"/>
          <w:szCs w:val="21"/>
          <w:lang w:val="en-US" w:eastAsia="zh-CN"/>
        </w:rPr>
      </w:pPr>
      <w:r>
        <w:rPr>
          <w:rFonts w:hint="eastAsia" w:ascii="Times New Roman Regular" w:hAnsi="Times New Roman Regular" w:cs="Times New Roman Regular"/>
          <w:b w:val="0"/>
          <w:bCs w:val="0"/>
          <w:sz w:val="21"/>
          <w:szCs w:val="21"/>
          <w:lang w:val="en-US" w:eastAsia="zh-CN"/>
        </w:rPr>
        <w:t>（3）</w:t>
      </w:r>
      <w:r>
        <w:rPr>
          <w:rFonts w:hint="default" w:ascii="Times New Roman Regular" w:hAnsi="Times New Roman Regular" w:cs="Times New Roman Regular"/>
          <w:b w:val="0"/>
          <w:bCs w:val="0"/>
          <w:sz w:val="21"/>
          <w:szCs w:val="21"/>
          <w:lang w:val="en-US" w:eastAsia="zh-CN"/>
        </w:rPr>
        <w:t>限制：股东以知情权、利润分配请求权等权益受到损害，或者公司亏损、财产不足以偿还全部债务，以及公司被吊销企业法人营业执照未进行清算等为由，提起解散公司诉讼的，人民法院不予受理</w:t>
      </w:r>
    </w:p>
    <w:p w14:paraId="4122B4E4">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b w:val="0"/>
          <w:bCs w:val="0"/>
          <w:sz w:val="21"/>
          <w:szCs w:val="21"/>
          <w:lang w:val="en-US" w:eastAsia="zh-CN"/>
        </w:rPr>
      </w:pPr>
      <w:r>
        <w:rPr>
          <w:rFonts w:hint="eastAsia" w:ascii="Times New Roman Regular" w:hAnsi="Times New Roman Regular" w:cs="Times New Roman Regular"/>
          <w:b w:val="0"/>
          <w:bCs w:val="0"/>
          <w:sz w:val="21"/>
          <w:szCs w:val="21"/>
          <w:lang w:val="en-US" w:eastAsia="zh-CN"/>
        </w:rPr>
        <w:t>（4）</w:t>
      </w:r>
      <w:r>
        <w:rPr>
          <w:rFonts w:hint="default" w:ascii="Times New Roman Regular" w:hAnsi="Times New Roman Regular" w:cs="Times New Roman Regular"/>
          <w:b w:val="0"/>
          <w:bCs w:val="0"/>
          <w:sz w:val="21"/>
          <w:szCs w:val="21"/>
          <w:lang w:val="en-US" w:eastAsia="zh-CN"/>
        </w:rPr>
        <w:t>顺序：股东提起解散公司诉讼，同时又申请人民法院对公司进行清算的，人民法院对其提出的清算申请不予受理。人民法院可以告知原告，在人民法院判决解散公司后，自行组织清算或者另行申请人民法院对公司进行清算。</w:t>
      </w:r>
    </w:p>
    <w:p w14:paraId="7ACDE162">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b w:val="0"/>
          <w:bCs w:val="0"/>
          <w:sz w:val="21"/>
          <w:szCs w:val="21"/>
          <w:lang w:val="en-US" w:eastAsia="zh-CN"/>
        </w:rPr>
      </w:pPr>
      <w:r>
        <w:rPr>
          <w:rFonts w:hint="eastAsia" w:ascii="Times New Roman Regular" w:hAnsi="Times New Roman Regular" w:cs="Times New Roman Regular"/>
          <w:b w:val="0"/>
          <w:bCs w:val="0"/>
          <w:sz w:val="21"/>
          <w:szCs w:val="21"/>
          <w:lang w:val="en-US" w:eastAsia="zh-CN"/>
        </w:rPr>
        <w:t>（5）效力：</w:t>
      </w:r>
      <w:r>
        <w:rPr>
          <w:rFonts w:hint="default" w:ascii="Times New Roman Regular" w:hAnsi="Times New Roman Regular" w:cs="Times New Roman Regular"/>
          <w:b w:val="0"/>
          <w:bCs w:val="0"/>
          <w:sz w:val="21"/>
          <w:szCs w:val="21"/>
          <w:lang w:val="en-US" w:eastAsia="zh-CN"/>
        </w:rPr>
        <w:t>根据《公司法解释（二）》第6条规定，人民法院关于解散公司诉讼作出的判决，对公司全体股东具有法律约束力</w:t>
      </w:r>
    </w:p>
    <w:p w14:paraId="0EE41302">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b w:val="0"/>
          <w:bCs w:val="0"/>
          <w:sz w:val="21"/>
          <w:szCs w:val="21"/>
          <w:lang w:val="en-US" w:eastAsia="zh-CN"/>
        </w:rPr>
      </w:pPr>
      <w:r>
        <w:rPr>
          <w:rFonts w:hint="default" w:ascii="Times New Roman Regular" w:hAnsi="Times New Roman Regular" w:cs="Times New Roman Regular"/>
          <w:b w:val="0"/>
          <w:bCs w:val="0"/>
          <w:sz w:val="21"/>
          <w:szCs w:val="21"/>
          <w:lang w:val="en-US" w:eastAsia="zh-CN"/>
        </w:rPr>
        <w:t>（二）公司的清算</w:t>
      </w:r>
    </w:p>
    <w:p w14:paraId="0E3C8C81">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b w:val="0"/>
          <w:bCs w:val="0"/>
          <w:sz w:val="21"/>
          <w:szCs w:val="21"/>
          <w:lang w:val="en-US" w:eastAsia="zh-CN"/>
        </w:rPr>
      </w:pPr>
      <w:r>
        <w:rPr>
          <w:rFonts w:hint="eastAsia" w:ascii="Times New Roman Regular" w:hAnsi="Times New Roman Regular" w:cs="Times New Roman Regular"/>
          <w:b w:val="0"/>
          <w:bCs w:val="0"/>
          <w:sz w:val="21"/>
          <w:szCs w:val="21"/>
          <w:lang w:val="en-US" w:eastAsia="zh-CN"/>
        </w:rPr>
        <w:t>1.</w:t>
      </w:r>
      <w:r>
        <w:rPr>
          <w:rFonts w:hint="default" w:ascii="Times New Roman Regular" w:hAnsi="Times New Roman Regular" w:cs="Times New Roman Regular"/>
          <w:b w:val="0"/>
          <w:bCs w:val="0"/>
          <w:sz w:val="21"/>
          <w:szCs w:val="21"/>
          <w:lang w:val="en-US" w:eastAsia="zh-CN"/>
        </w:rPr>
        <w:t>自行清算</w:t>
      </w:r>
      <w:r>
        <w:rPr>
          <w:rFonts w:hint="eastAsia" w:ascii="Times New Roman Regular" w:hAnsi="Times New Roman Regular" w:cs="Times New Roman Regular"/>
          <w:b w:val="0"/>
          <w:bCs w:val="0"/>
          <w:sz w:val="21"/>
          <w:szCs w:val="21"/>
          <w:lang w:val="en-US" w:eastAsia="zh-CN"/>
        </w:rPr>
        <w:t>：需要掌握</w:t>
      </w:r>
      <w:r>
        <w:rPr>
          <w:rFonts w:hint="default" w:ascii="Times New Roman Regular" w:hAnsi="Times New Roman Regular" w:cs="Times New Roman Regular"/>
          <w:b w:val="0"/>
          <w:bCs w:val="0"/>
          <w:sz w:val="21"/>
          <w:szCs w:val="21"/>
          <w:lang w:val="en-US" w:eastAsia="zh-CN"/>
        </w:rPr>
        <w:t>清算义务人</w:t>
      </w:r>
      <w:r>
        <w:rPr>
          <w:rFonts w:hint="eastAsia" w:ascii="Times New Roman Regular" w:hAnsi="Times New Roman Regular" w:cs="Times New Roman Regular"/>
          <w:b w:val="0"/>
          <w:bCs w:val="0"/>
          <w:sz w:val="21"/>
          <w:szCs w:val="21"/>
          <w:lang w:val="en-US" w:eastAsia="zh-CN"/>
        </w:rPr>
        <w:t>和清算组</w:t>
      </w:r>
    </w:p>
    <w:p w14:paraId="6DBB49AF">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b w:val="0"/>
          <w:bCs w:val="0"/>
          <w:sz w:val="21"/>
          <w:szCs w:val="21"/>
          <w:lang w:val="en-US" w:eastAsia="zh-CN"/>
        </w:rPr>
      </w:pPr>
      <w:r>
        <w:rPr>
          <w:rFonts w:hint="eastAsia" w:ascii="Times New Roman Regular" w:hAnsi="Times New Roman Regular" w:cs="Times New Roman Regular"/>
          <w:b w:val="0"/>
          <w:bCs w:val="0"/>
          <w:sz w:val="21"/>
          <w:szCs w:val="21"/>
          <w:lang w:val="en-US" w:eastAsia="zh-CN"/>
        </w:rPr>
        <w:t>（1）</w:t>
      </w:r>
      <w:r>
        <w:rPr>
          <w:rFonts w:hint="default" w:ascii="Times New Roman Regular" w:hAnsi="Times New Roman Regular" w:cs="Times New Roman Regular"/>
          <w:b w:val="0"/>
          <w:bCs w:val="0"/>
          <w:sz w:val="21"/>
          <w:szCs w:val="21"/>
          <w:lang w:val="en-US" w:eastAsia="zh-CN"/>
        </w:rPr>
        <w:t>公司因上述第一项、第二项、第四项、第五项规定而解散的，应当清算。董事为公司清算义务人，应当在解散事由出现之日起十五日内组成清算组进行清算。</w:t>
      </w:r>
    </w:p>
    <w:p w14:paraId="6493E852">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b w:val="0"/>
          <w:bCs w:val="0"/>
          <w:sz w:val="21"/>
          <w:szCs w:val="21"/>
          <w:lang w:val="en-US" w:eastAsia="zh-CN"/>
        </w:rPr>
      </w:pPr>
      <w:r>
        <w:rPr>
          <w:rFonts w:hint="eastAsia" w:ascii="Times New Roman Regular" w:hAnsi="Times New Roman Regular" w:cs="Times New Roman Regular"/>
          <w:b w:val="0"/>
          <w:bCs w:val="0"/>
          <w:sz w:val="21"/>
          <w:szCs w:val="21"/>
          <w:lang w:val="en-US" w:eastAsia="zh-CN"/>
        </w:rPr>
        <w:t>（2）</w:t>
      </w:r>
      <w:r>
        <w:rPr>
          <w:rFonts w:hint="default" w:ascii="Times New Roman Regular" w:hAnsi="Times New Roman Regular" w:cs="Times New Roman Regular"/>
          <w:b w:val="0"/>
          <w:bCs w:val="0"/>
          <w:sz w:val="21"/>
          <w:szCs w:val="21"/>
          <w:lang w:val="en-US" w:eastAsia="zh-CN"/>
        </w:rPr>
        <w:t>清算组由董事组成，但是公司章程另有规定或者股东会决议另选他人的除外。</w:t>
      </w:r>
    </w:p>
    <w:p w14:paraId="38A720D7">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b w:val="0"/>
          <w:bCs w:val="0"/>
          <w:sz w:val="21"/>
          <w:szCs w:val="21"/>
          <w:lang w:val="en-US" w:eastAsia="zh-CN"/>
        </w:rPr>
      </w:pPr>
      <w:r>
        <w:rPr>
          <w:rFonts w:hint="eastAsia" w:ascii="Times New Roman Regular" w:hAnsi="Times New Roman Regular" w:cs="Times New Roman Regular"/>
          <w:b w:val="0"/>
          <w:bCs w:val="0"/>
          <w:sz w:val="21"/>
          <w:szCs w:val="21"/>
          <w:lang w:val="en-US" w:eastAsia="zh-CN"/>
        </w:rPr>
        <w:t>（3）</w:t>
      </w:r>
      <w:r>
        <w:rPr>
          <w:rFonts w:hint="default" w:ascii="Times New Roman Regular" w:hAnsi="Times New Roman Regular" w:cs="Times New Roman Regular"/>
          <w:b w:val="0"/>
          <w:bCs w:val="0"/>
          <w:sz w:val="21"/>
          <w:szCs w:val="21"/>
          <w:lang w:val="en-US" w:eastAsia="zh-CN"/>
        </w:rPr>
        <w:t>清算义务人未及时履行清算义务，给公司或者债权人造成损失的，应当承担赔偿责任</w:t>
      </w:r>
    </w:p>
    <w:p w14:paraId="5D096B5A">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b w:val="0"/>
          <w:bCs w:val="0"/>
          <w:sz w:val="21"/>
          <w:szCs w:val="21"/>
          <w:lang w:val="en-US" w:eastAsia="zh-CN"/>
        </w:rPr>
      </w:pPr>
      <w:r>
        <w:rPr>
          <w:rFonts w:hint="eastAsia" w:ascii="Times New Roman Regular" w:hAnsi="Times New Roman Regular" w:cs="Times New Roman Regular"/>
          <w:b w:val="0"/>
          <w:bCs w:val="0"/>
          <w:sz w:val="21"/>
          <w:szCs w:val="21"/>
          <w:lang w:val="en-US" w:eastAsia="zh-CN"/>
        </w:rPr>
        <w:t>2.</w:t>
      </w:r>
      <w:r>
        <w:rPr>
          <w:rFonts w:hint="default" w:ascii="Times New Roman Regular" w:hAnsi="Times New Roman Regular" w:cs="Times New Roman Regular"/>
          <w:b w:val="0"/>
          <w:bCs w:val="0"/>
          <w:sz w:val="21"/>
          <w:szCs w:val="21"/>
          <w:lang w:val="en-US" w:eastAsia="zh-CN"/>
        </w:rPr>
        <w:t>指定清算</w:t>
      </w:r>
    </w:p>
    <w:p w14:paraId="055BB3AE">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b w:val="0"/>
          <w:bCs w:val="0"/>
          <w:sz w:val="21"/>
          <w:szCs w:val="21"/>
          <w:lang w:val="en-US" w:eastAsia="zh-CN"/>
        </w:rPr>
      </w:pPr>
      <w:r>
        <w:rPr>
          <w:rFonts w:hint="default" w:ascii="Times New Roman Regular" w:hAnsi="Times New Roman Regular" w:cs="Times New Roman Regular"/>
          <w:b w:val="0"/>
          <w:bCs w:val="0"/>
          <w:sz w:val="21"/>
          <w:szCs w:val="21"/>
          <w:lang w:val="en-US" w:eastAsia="zh-CN"/>
        </w:rPr>
        <w:t>公司应当清算，逾期不成立清算组进行清算或者成立清算组后不清算的，利害关系人可以申请人民法院指定有关人员组成清算组进行清算。人民法院应当受理该申请，并及时组织清算组进行清算。</w:t>
      </w:r>
    </w:p>
    <w:p w14:paraId="61123903">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b/>
          <w:bCs/>
          <w:sz w:val="21"/>
          <w:szCs w:val="21"/>
          <w:lang w:val="en-US" w:eastAsia="zh-CN"/>
        </w:rPr>
      </w:pPr>
    </w:p>
    <w:p w14:paraId="4904F423">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b/>
          <w:bCs/>
          <w:sz w:val="21"/>
          <w:szCs w:val="21"/>
          <w:lang w:val="en-US" w:eastAsia="zh-CN"/>
        </w:rPr>
      </w:pPr>
      <w:r>
        <w:rPr>
          <w:rFonts w:hint="eastAsia" w:ascii="Times New Roman Regular" w:hAnsi="Times New Roman Regular" w:cs="Times New Roman Regular"/>
          <w:b/>
          <w:bCs/>
          <w:sz w:val="21"/>
          <w:szCs w:val="21"/>
          <w:lang w:val="en-US" w:eastAsia="zh-CN"/>
        </w:rPr>
        <w:t>【考点6:股东权利与诉讼保护】</w:t>
      </w:r>
    </w:p>
    <w:p w14:paraId="1BFE1827">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一、股东</w:t>
      </w:r>
    </w:p>
    <w:p w14:paraId="04779594">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（一）能力</w:t>
      </w:r>
    </w:p>
    <w:p w14:paraId="63376DAD">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股东除了对发起人有要求之外，对于其他股东并没有行为能力的要求</w:t>
      </w:r>
    </w:p>
    <w:p w14:paraId="322F502D">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（二）不得滥用股东权利</w:t>
      </w:r>
    </w:p>
    <w:p w14:paraId="23A4BF3A">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公司股东不得滥用股东权利损害公司或者其他股东的利益。公司股东滥用股东权利给公司或者其他股东造成损失的，应当承担赔偿责任。公司的控股股东、实际控制人、董事、监事、高级管理人员不得利用关联关系损害公司利益。违反前款规定，给公司造成损失的，应当承担赔偿责任。</w:t>
      </w:r>
    </w:p>
    <w:p w14:paraId="7A126286">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二、公司的诉讼</w:t>
      </w:r>
    </w:p>
    <w:p w14:paraId="215DEB7D">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（一）股东代表诉讼</w:t>
      </w:r>
    </w:p>
    <w:p w14:paraId="7A0C4CD9">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交叉请求：董事、高级管理人员执行公司职务时违反法律、行政法规或者公司章程的规定，给公司造成损失的，有限责任公司的股东、股份有限公司连续180日以上单独或者合计持有公司1%以上股份的股东，可以书面请求监事会向法院提起诉讼；监事有该种情形的，前述股东可以书面请求董事会向法院提起诉讼。</w:t>
      </w:r>
    </w:p>
    <w:p w14:paraId="1D48F011">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监事会或者董事会收到上述规定的股东书面请求后拒绝提起诉讼，或者自收到请求之日起30内未提起诉讼，或者情况紧急、不立即提起诉讼将会使公司利益受到难以弥补的损害的，上述规定的股东有权为了公司的利益以自己的名义直接向法院提起诉讼。</w:t>
      </w:r>
    </w:p>
    <w:p w14:paraId="3B81E44F">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3．他人侵犯公司合法权益，给公司造成损失的，上述股东可以依照前述规定向法院提起诉讼。</w:t>
      </w:r>
    </w:p>
    <w:p w14:paraId="2FDD8757">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4．公司全资子公司的董事、监事、高级管理人员有前条规定情形，或者他人侵犯公司全资子公司合法权益造成损失的，有限责任公司的股东、股份有限公司连续一百八十日以上单独或者合计持有公司百分之一以上股份的股东，可以依照前三款规定书面请求全资子公司的监事会、董事会向人民法院提起诉讼或者以自己的名义直接向人民法院提起诉讼。</w:t>
      </w:r>
    </w:p>
    <w:p w14:paraId="6E352D14">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（二）股东直接诉讼</w:t>
      </w:r>
    </w:p>
    <w:p w14:paraId="549DEA51">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董事、高级管理人员违反法律、行政法规或者公司章程的规定，损害股东利益的，股东可以向法院提起诉讼。</w:t>
      </w:r>
    </w:p>
    <w:p w14:paraId="18886C26">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（三）公司决议不成立</w:t>
      </w:r>
    </w:p>
    <w:p w14:paraId="25B418B0">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有下列情形之一的，公司股东会、董事会的决议不成立：</w:t>
      </w:r>
    </w:p>
    <w:p w14:paraId="2B2C3C46">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1．未召开股东会、董事会会议作出决议；（没开会）</w:t>
      </w:r>
    </w:p>
    <w:p w14:paraId="7218D1E6">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2．股东会、董事会会议未对决议事项进行表决；（没表决）</w:t>
      </w:r>
    </w:p>
    <w:p w14:paraId="544D663A">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3．出席会议的人数或者所持表决权数未达到本法或者公司章程规定的人数或者所持表决权数；（开会的人不够）</w:t>
      </w:r>
    </w:p>
    <w:p w14:paraId="434AA5A5">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4．同意决议事项的人数或者所持表决权数未达到公司法或者公司章程规定的人数或者所持表决权数。（赞成的人不够）</w:t>
      </w:r>
    </w:p>
    <w:p w14:paraId="290FA052">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（四）公司决议的无效</w:t>
      </w:r>
    </w:p>
    <w:p w14:paraId="5E9D7878">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公司股东会、董事会的决议内容违反法律、行政法规的无效。</w:t>
      </w:r>
    </w:p>
    <w:p w14:paraId="246C0255">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（五）公司决议的撤销</w:t>
      </w:r>
    </w:p>
    <w:p w14:paraId="48E10C26">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w:t>
      </w:r>
      <w:r>
        <w:rPr>
          <w:rFonts w:hint="eastAsia" w:ascii="Times New Roman Regular" w:hAnsi="Times New Roman Regular" w:cs="Times New Roman Regular"/>
          <w:sz w:val="21"/>
          <w:szCs w:val="21"/>
          <w:u w:val="none"/>
          <w:lang w:val="en-US" w:eastAsia="zh-CN"/>
        </w:rPr>
        <w:t>事由总结</w:t>
      </w:r>
      <w:r>
        <w:rPr>
          <w:rFonts w:hint="default" w:ascii="Times New Roman Regular" w:hAnsi="Times New Roman Regular" w:cs="Times New Roman Regular"/>
          <w:sz w:val="21"/>
          <w:szCs w:val="21"/>
          <w:u w:val="none"/>
          <w:lang w:val="en-US" w:eastAsia="zh-CN"/>
        </w:rPr>
        <w:t>：程序、方式违法违章；内容违章。</w:t>
      </w:r>
    </w:p>
    <w:p w14:paraId="44494F77">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2.未被通知参加股东会会议的股东自知道或者应当知道股东会决议作出之日起六十日内，可以请求法院撤销；自决议作出之日起一年内没有行使撤销权的，撤销权消灭</w:t>
      </w:r>
    </w:p>
    <w:p w14:paraId="48F7DA85">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w:t>
      </w:r>
      <w:r>
        <w:rPr>
          <w:rFonts w:hint="eastAsia" w:ascii="Times New Roman Regular" w:hAnsi="Times New Roman Regular" w:cs="Times New Roman Regular"/>
          <w:sz w:val="21"/>
          <w:szCs w:val="21"/>
          <w:u w:val="none"/>
          <w:lang w:val="en-US" w:eastAsia="zh-CN"/>
        </w:rPr>
        <w:t>诉讼安排：</w:t>
      </w:r>
      <w:r>
        <w:rPr>
          <w:rFonts w:hint="default" w:ascii="Times New Roman Regular" w:hAnsi="Times New Roman Regular" w:cs="Times New Roman Regular"/>
          <w:sz w:val="21"/>
          <w:szCs w:val="21"/>
          <w:u w:val="none"/>
          <w:lang w:val="en-US" w:eastAsia="zh-CN"/>
        </w:rPr>
        <w:t>股东为原告；公司为被告；诉讼时间60日，1年为除斥期间。</w:t>
      </w:r>
    </w:p>
    <w:p w14:paraId="60452051">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【注意】</w:t>
      </w:r>
      <w:r>
        <w:rPr>
          <w:rFonts w:hint="default" w:ascii="Times New Roman Regular" w:hAnsi="Times New Roman Regular" w:cs="Times New Roman Regular"/>
          <w:sz w:val="21"/>
          <w:szCs w:val="21"/>
          <w:u w:val="none"/>
          <w:lang w:val="en-US" w:eastAsia="zh-CN"/>
        </w:rPr>
        <w:t>这里对股东没有任何资格要求，只要是股东就可以</w:t>
      </w:r>
    </w:p>
    <w:p w14:paraId="72D94D00">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1"/>
          <w:szCs w:val="21"/>
          <w:u w:val="none"/>
          <w:lang w:val="en-US" w:eastAsia="zh-CN"/>
        </w:rPr>
      </w:pPr>
    </w:p>
    <w:p w14:paraId="6CE3C4EE">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b/>
          <w:bCs/>
          <w:sz w:val="21"/>
          <w:szCs w:val="21"/>
          <w:u w:val="none"/>
          <w:lang w:val="en-US" w:eastAsia="zh-CN"/>
        </w:rPr>
      </w:pPr>
      <w:r>
        <w:rPr>
          <w:rFonts w:hint="eastAsia" w:ascii="Times New Roman Regular" w:hAnsi="Times New Roman Regular" w:cs="Times New Roman Regular"/>
          <w:b/>
          <w:bCs/>
          <w:sz w:val="21"/>
          <w:szCs w:val="21"/>
          <w:u w:val="none"/>
          <w:lang w:val="en-US" w:eastAsia="zh-CN"/>
        </w:rPr>
        <w:t>【考点7:有限责任公司】</w:t>
      </w:r>
    </w:p>
    <w:p w14:paraId="19A9416D">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一、有限责任公司的设立条件</w:t>
      </w:r>
    </w:p>
    <w:p w14:paraId="1A700A23">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股东符合法定人数</w:t>
      </w:r>
      <w:r>
        <w:rPr>
          <w:rFonts w:hint="eastAsia" w:ascii="Times New Roman Regular" w:hAnsi="Times New Roman Regular" w:cs="Times New Roman Regular"/>
          <w:sz w:val="21"/>
          <w:szCs w:val="21"/>
          <w:u w:val="none"/>
          <w:lang w:val="en-US" w:eastAsia="zh-CN"/>
        </w:rPr>
        <w:t>、</w:t>
      </w:r>
      <w:r>
        <w:rPr>
          <w:rFonts w:hint="default" w:ascii="Times New Roman Regular" w:hAnsi="Times New Roman Regular" w:cs="Times New Roman Regular"/>
          <w:sz w:val="21"/>
          <w:szCs w:val="21"/>
          <w:u w:val="none"/>
          <w:lang w:val="en-US" w:eastAsia="zh-CN"/>
        </w:rPr>
        <w:t>股东出资符合法定要求</w:t>
      </w:r>
      <w:r>
        <w:rPr>
          <w:rFonts w:hint="eastAsia" w:ascii="Times New Roman Regular" w:hAnsi="Times New Roman Regular" w:cs="Times New Roman Regular"/>
          <w:sz w:val="21"/>
          <w:szCs w:val="21"/>
          <w:u w:val="none"/>
          <w:lang w:val="en-US" w:eastAsia="zh-CN"/>
        </w:rPr>
        <w:t>、</w:t>
      </w:r>
      <w:r>
        <w:rPr>
          <w:rFonts w:hint="default" w:ascii="Times New Roman Regular" w:hAnsi="Times New Roman Regular" w:cs="Times New Roman Regular"/>
          <w:sz w:val="21"/>
          <w:szCs w:val="21"/>
          <w:u w:val="none"/>
          <w:lang w:val="en-US" w:eastAsia="zh-CN"/>
        </w:rPr>
        <w:t>章程</w:t>
      </w:r>
      <w:r>
        <w:rPr>
          <w:rFonts w:hint="eastAsia" w:ascii="Times New Roman Regular" w:hAnsi="Times New Roman Regular" w:cs="Times New Roman Regular"/>
          <w:sz w:val="21"/>
          <w:szCs w:val="21"/>
          <w:u w:val="none"/>
          <w:lang w:val="en-US" w:eastAsia="zh-CN"/>
        </w:rPr>
        <w:t>、</w:t>
      </w:r>
      <w:r>
        <w:rPr>
          <w:rFonts w:hint="default" w:ascii="Times New Roman Regular" w:hAnsi="Times New Roman Regular" w:cs="Times New Roman Regular"/>
          <w:sz w:val="21"/>
          <w:szCs w:val="21"/>
          <w:u w:val="none"/>
          <w:lang w:val="en-US" w:eastAsia="zh-CN"/>
        </w:rPr>
        <w:t>名称和组织机构</w:t>
      </w:r>
      <w:r>
        <w:rPr>
          <w:rFonts w:hint="eastAsia" w:ascii="Times New Roman Regular" w:hAnsi="Times New Roman Regular" w:cs="Times New Roman Regular"/>
          <w:sz w:val="21"/>
          <w:szCs w:val="21"/>
          <w:u w:val="none"/>
          <w:lang w:val="en-US" w:eastAsia="zh-CN"/>
        </w:rPr>
        <w:t>、</w:t>
      </w:r>
      <w:r>
        <w:rPr>
          <w:rFonts w:hint="default" w:ascii="Times New Roman Regular" w:hAnsi="Times New Roman Regular" w:cs="Times New Roman Regular"/>
          <w:sz w:val="21"/>
          <w:szCs w:val="21"/>
          <w:u w:val="none"/>
          <w:lang w:val="en-US" w:eastAsia="zh-CN"/>
        </w:rPr>
        <w:t>住所</w:t>
      </w:r>
    </w:p>
    <w:p w14:paraId="69AAE25B">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二、瑕疵出资的法律责任</w:t>
      </w:r>
    </w:p>
    <w:p w14:paraId="731AAFE6">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1.股东应当按期足额缴纳公司章程规定的各自所认缴的出资额。股东未按期足额缴纳出资的，除应当向公司足额缴纳外，还应当对给公司造成的损失承担赔偿责任。</w:t>
      </w:r>
    </w:p>
    <w:p w14:paraId="0ACFD4EA">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2.有限责任公司设立时，股东未按照公司章程规定实际缴纳出资，或者实际出资的非货币财产的实际价额显著低于所认缴的出资额的，设立时的其他股东与该股东在出资不足的范围内承担连带责任。</w:t>
      </w:r>
    </w:p>
    <w:p w14:paraId="7A7C227F">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3.</w:t>
      </w:r>
      <w:r>
        <w:rPr>
          <w:rFonts w:hint="default" w:ascii="Times New Roman Regular" w:hAnsi="Times New Roman Regular" w:cs="Times New Roman Regular"/>
          <w:sz w:val="21"/>
          <w:szCs w:val="21"/>
          <w:u w:val="none"/>
          <w:lang w:val="en-US" w:eastAsia="zh-CN"/>
        </w:rPr>
        <w:t>有限责任公司成立后，董事会应当对股东的出资情况进行核查，发现股东未按期足额缴纳公司章程规定的出资的，应当由公司向该股东发出书面催缴书，催缴出资。未及时履行前款规定的义务，给公司造成损失的，负有责任的董事应当承担赔偿责任。</w:t>
      </w:r>
    </w:p>
    <w:p w14:paraId="0A472E0C">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三、股权的证明</w:t>
      </w:r>
    </w:p>
    <w:p w14:paraId="6F445CD0">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（一）证明文件</w:t>
      </w:r>
    </w:p>
    <w:p w14:paraId="7D86682E">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有限责任公司成立后，应当向股东签发出资证明书。有限责任公司应当置备股东名册，记载于股东名册的股东，可以依股东名册主张行使股东权利。公司应当将股东的姓名或者名称及其出资额向公司登记机关登记；登记事项发生变更的，应当办理变更登记。未经登记或者变更登记的，不得对抗第三人。（还有公司章程）</w:t>
      </w:r>
    </w:p>
    <w:p w14:paraId="293A853E">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总结：股东名册是取得股权的生效要件，工商登记是取得股权的对抗要件。</w:t>
      </w:r>
    </w:p>
    <w:p w14:paraId="4F5A6E7C">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（二）代持股协议</w:t>
      </w:r>
    </w:p>
    <w:p w14:paraId="0537B8DE">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1.</w:t>
      </w:r>
      <w:r>
        <w:rPr>
          <w:rFonts w:hint="default" w:ascii="Times New Roman Regular" w:hAnsi="Times New Roman Regular" w:cs="Times New Roman Regular"/>
          <w:sz w:val="21"/>
          <w:szCs w:val="21"/>
          <w:u w:val="none"/>
          <w:lang w:val="en-US" w:eastAsia="zh-CN"/>
        </w:rPr>
        <w:t>有限责任公司的实际出资人可以与名义出资人订立合同，约定由实际出资人出资并享有投资权益，以名义出资人为名义股东，公司股东名册记载、公司登记机关登记均不能推翻。</w:t>
      </w:r>
    </w:p>
    <w:p w14:paraId="4572F56C">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2.股权代持写一的效力：</w:t>
      </w:r>
      <w:r>
        <w:rPr>
          <w:rFonts w:hint="default" w:ascii="Times New Roman Regular" w:hAnsi="Times New Roman Regular" w:cs="Times New Roman Regular"/>
          <w:sz w:val="21"/>
          <w:szCs w:val="21"/>
          <w:u w:val="none"/>
          <w:lang w:val="en-US" w:eastAsia="zh-CN"/>
        </w:rPr>
        <w:t>一般有效，除非违反法律、行政法规的强制性规定。</w:t>
      </w:r>
    </w:p>
    <w:p w14:paraId="659D4DBB">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3.名义股东处分股权的处理：</w:t>
      </w:r>
      <w:r>
        <w:rPr>
          <w:rFonts w:hint="default" w:ascii="Times New Roman Regular" w:hAnsi="Times New Roman Regular" w:cs="Times New Roman Regular"/>
          <w:sz w:val="21"/>
          <w:szCs w:val="21"/>
          <w:u w:val="none"/>
          <w:lang w:val="en-US" w:eastAsia="zh-CN"/>
        </w:rPr>
        <w:t>是有权处分，受让人的权利参照《民法典》第311条关于善意取得的规定处理。</w:t>
      </w:r>
    </w:p>
    <w:p w14:paraId="095A4FDE">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4.瑕疵出资</w:t>
      </w:r>
      <w:bookmarkStart w:id="0" w:name="_GoBack"/>
      <w:r>
        <w:rPr>
          <w:rFonts w:hint="eastAsia" w:ascii="Times New Roman Regular" w:hAnsi="Times New Roman Regular" w:cs="Times New Roman Regular"/>
          <w:sz w:val="21"/>
          <w:szCs w:val="21"/>
          <w:u w:val="none"/>
          <w:lang w:val="en-US" w:eastAsia="zh-CN"/>
        </w:rPr>
        <w:t>问</w:t>
      </w:r>
      <w:bookmarkEnd w:id="0"/>
      <w:r>
        <w:rPr>
          <w:rFonts w:hint="eastAsia" w:ascii="Times New Roman Regular" w:hAnsi="Times New Roman Regular" w:cs="Times New Roman Regular"/>
          <w:sz w:val="21"/>
          <w:szCs w:val="21"/>
          <w:u w:val="none"/>
          <w:lang w:val="en-US" w:eastAsia="zh-CN"/>
        </w:rPr>
        <w:t>题：</w:t>
      </w:r>
      <w:r>
        <w:rPr>
          <w:rFonts w:hint="default" w:ascii="Times New Roman Regular" w:hAnsi="Times New Roman Regular" w:cs="Times New Roman Regular"/>
          <w:sz w:val="21"/>
          <w:szCs w:val="21"/>
          <w:u w:val="none"/>
          <w:lang w:val="en-US" w:eastAsia="zh-CN"/>
        </w:rPr>
        <w:t>公司债权人以登记于公司登记机关的股东未履行出资义务为由，请求其对公司债务不能清偿的部分在未出资本息范围内承担补充赔偿责任，股东不能以其仅为名义股东而非实际出资人为由进行抗辩。就对外责任而言，名义股东应当先承担出资不足或者出资不实的赔偿责任。名义股东承担上述赔偿责任后，有权向实际出资人追偿。</w:t>
      </w:r>
    </w:p>
    <w:p w14:paraId="693058C4">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（三）冒名股东</w:t>
      </w:r>
    </w:p>
    <w:p w14:paraId="779D69A8">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1.</w:t>
      </w:r>
      <w:r>
        <w:rPr>
          <w:rFonts w:hint="default" w:ascii="Times New Roman Regular" w:hAnsi="Times New Roman Regular" w:cs="Times New Roman Regular"/>
          <w:sz w:val="21"/>
          <w:szCs w:val="21"/>
          <w:u w:val="none"/>
          <w:lang w:val="en-US" w:eastAsia="zh-CN"/>
        </w:rPr>
        <w:t>冒名登记行为人是股东，应当承担相应责任。</w:t>
      </w:r>
    </w:p>
    <w:p w14:paraId="2271AD05">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2.</w:t>
      </w:r>
      <w:r>
        <w:rPr>
          <w:rFonts w:hint="default" w:ascii="Times New Roman Regular" w:hAnsi="Times New Roman Regular" w:cs="Times New Roman Regular"/>
          <w:sz w:val="21"/>
          <w:szCs w:val="21"/>
          <w:u w:val="none"/>
          <w:lang w:val="en-US" w:eastAsia="zh-CN"/>
        </w:rPr>
        <w:t>被冒名者不是公司股东，既不享有股东权利，也不承担股东责任。</w:t>
      </w:r>
    </w:p>
    <w:p w14:paraId="0EA4D5F1">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3.</w:t>
      </w:r>
      <w:r>
        <w:rPr>
          <w:rFonts w:hint="default" w:ascii="Times New Roman Regular" w:hAnsi="Times New Roman Regular" w:cs="Times New Roman Regular"/>
          <w:sz w:val="21"/>
          <w:szCs w:val="21"/>
          <w:u w:val="none"/>
          <w:lang w:val="en-US" w:eastAsia="zh-CN"/>
        </w:rPr>
        <w:t>冒名股东与名义股东的主要区别在于：冒名股东的冒名登记行为未经被冒名人同意，名义股东则对登记行为是知情的</w:t>
      </w:r>
    </w:p>
    <w:p w14:paraId="7642D01B">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四、股东的基本权利</w:t>
      </w:r>
    </w:p>
    <w:p w14:paraId="14AACF09">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（一）知情权</w:t>
      </w:r>
    </w:p>
    <w:p w14:paraId="3FD495E7">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1．内容：</w:t>
      </w:r>
    </w:p>
    <w:p w14:paraId="1F4CBC71">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有限责任公司的股东有权查阅、复制公司章程、股东名册、股东会会议记录、董事会会议决议、监事会会议决议和财务会计报告。股东可以要求查阅公司会计账簿、会计凭证。</w:t>
      </w:r>
    </w:p>
    <w:p w14:paraId="15902E49">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2．流程：</w:t>
      </w:r>
    </w:p>
    <w:p w14:paraId="124DA014">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股东要求查阅公司会计账簿、会计凭证的，应当向公司提出书面请求，说明目的。公司有合理根据认为股东查阅会计账簿、会计凭证有不正当目的，可能损害公司合法利益的，可以拒绝提供查阅，并应当自股东提出书面请求之日起15日内书面答复股东并说明理由。公司拒绝提供查阅的，股东可以向法院提起诉讼。</w:t>
      </w:r>
    </w:p>
    <w:p w14:paraId="36339D40">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3．机构：</w:t>
      </w:r>
    </w:p>
    <w:p w14:paraId="0582137C">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股东查阅前款规定的材料，可以委托会计师事务所、律师事务所等中介机构进行。股东及其委托的会计师事务所、律师事务所等中介机构查阅、复制有关材料，应当遵守有关保护国家秘密、商业秘密、个人隐私、个人信息等法律、行政法规的规定。</w:t>
      </w:r>
    </w:p>
    <w:p w14:paraId="03F9DD71">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（二）获取收益权和优先认缴出资权</w:t>
      </w:r>
    </w:p>
    <w:p w14:paraId="0116F709">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股东按照实缴的出资比例分取红利；公司新增资本时，股东有权优先按照实缴的出资比例认缴出资。但是，全体股东约定不按照出资比例分取红利或者不按照出资比例优先认缴出资的除外。</w:t>
      </w:r>
    </w:p>
    <w:p w14:paraId="4C3B472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（考点7剩余内容下次课继续讲解）</w:t>
      </w:r>
    </w:p>
    <w:sectPr>
      <w:pgSz w:w="11906" w:h="16838"/>
      <w:pgMar w:top="1440" w:right="1800" w:bottom="1440" w:left="1800" w:header="851" w:footer="992" w:gutter="0"/>
      <w:pgBorders>
        <w:top w:val="none" w:sz="0" w:space="0"/>
        <w:left w:val="none" w:sz="0" w:space="0"/>
        <w:bottom w:val="none" w:sz="0" w:space="0"/>
        <w:right w:val="none" w:sz="0" w:space="0"/>
      </w:pgBorders>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panose1 w:val="020B0604020202090204"/>
    <w:charset w:val="01"/>
    <w:family w:val="swiss"/>
    <w:pitch w:val="default"/>
    <w:sig w:usb0="E0000AFF" w:usb1="00007843" w:usb2="00000001" w:usb3="00000000" w:csb0="400001BF" w:csb1="DFF70000"/>
  </w:font>
  <w:font w:name="黑体">
    <w:altName w:val="汉仪中黑KW"/>
    <w:panose1 w:val="02010609060101010101"/>
    <w:charset w:val="86"/>
    <w:family w:val="auto"/>
    <w:pitch w:val="default"/>
    <w:sig w:usb0="800002BF" w:usb1="38CF7CFA" w:usb2="00000016" w:usb3="00000000" w:csb0="00040001" w:csb1="00000000"/>
  </w:font>
  <w:font w:name="Courier New">
    <w:panose1 w:val="02070409020205090404"/>
    <w:charset w:val="01"/>
    <w:family w:val="modern"/>
    <w:pitch w:val="default"/>
    <w:sig w:usb0="E0000AFF" w:usb1="40007843" w:usb2="00000001" w:usb3="00000000" w:csb0="400001BF" w:csb1="DFF70000"/>
  </w:font>
  <w:font w:name="Symbol">
    <w:altName w:val="Kingsoft Sign"/>
    <w:panose1 w:val="05050102010706020507"/>
    <w:charset w:val="02"/>
    <w:family w:val="roman"/>
    <w:pitch w:val="default"/>
    <w:sig w:usb0="00000000" w:usb1="00000000" w:usb2="00000000" w:usb3="00000000" w:csb0="80000000" w:csb1="00000000"/>
  </w:font>
  <w:font w:name="Calibri">
    <w:altName w:val="Helvetica Neue"/>
    <w:panose1 w:val="020F0502020204030204"/>
    <w:charset w:val="00"/>
    <w:family w:val="swiss"/>
    <w:pitch w:val="default"/>
    <w:sig w:usb0="00000000" w:usb1="00000000" w:usb2="00000001" w:usb3="00000000" w:csb0="0000019F" w:csb1="00000000"/>
  </w:font>
  <w:font w:name="Helvetica Neue">
    <w:panose1 w:val="02000503000000020004"/>
    <w:charset w:val="00"/>
    <w:family w:val="auto"/>
    <w:pitch w:val="default"/>
    <w:sig w:usb0="E50002FF" w:usb1="500079DB" w:usb2="00000010" w:usb3="00000000" w:csb0="00000000" w:csb1="00000000"/>
  </w:font>
  <w:font w:name="汉仪书宋二KW">
    <w:panose1 w:val="00020600040101010101"/>
    <w:charset w:val="86"/>
    <w:family w:val="auto"/>
    <w:pitch w:val="default"/>
    <w:sig w:usb0="A00002BF" w:usb1="18EF7CFA" w:usb2="00000016" w:usb3="00000000" w:csb0="00040000" w:csb1="00000000"/>
  </w:font>
  <w:font w:name="汉仪书宋二简">
    <w:altName w:val="华文宋体"/>
    <w:panose1 w:val="02010600000101010101"/>
    <w:charset w:val="86"/>
    <w:family w:val="modern"/>
    <w:pitch w:val="default"/>
    <w:sig w:usb0="00000000" w:usb1="00000000" w:usb2="00000002" w:usb3="00000000" w:csb0="00040000" w:csb1="00000000"/>
  </w:font>
  <w:font w:name="华文宋体">
    <w:panose1 w:val="02010600040101010101"/>
    <w:charset w:val="86"/>
    <w:family w:val="auto"/>
    <w:pitch w:val="default"/>
    <w:sig w:usb0="80000287" w:usb1="280F3C52" w:usb2="00000016" w:usb3="00000000" w:csb0="0004001F" w:csb1="00000000"/>
  </w:font>
  <w:font w:name="Times New Roman Regular">
    <w:panose1 w:val="02020503050405090304"/>
    <w:charset w:val="00"/>
    <w:family w:val="auto"/>
    <w:pitch w:val="default"/>
    <w:sig w:usb0="E0000AFF" w:usb1="00007843" w:usb2="00000001" w:usb3="00000000" w:csb0="400001BF" w:csb1="DFF70000"/>
  </w:font>
  <w:font w:name="汉仪中黑KW">
    <w:panose1 w:val="00020600040101010101"/>
    <w:charset w:val="86"/>
    <w:family w:val="auto"/>
    <w:pitch w:val="default"/>
    <w:sig w:usb0="A00002BF" w:usb1="18EF7CFA" w:usb2="00000016" w:usb3="00000000" w:csb0="00040000" w:csb1="00000000"/>
  </w:font>
  <w:font w:name="Kingsoft Sign">
    <w:panose1 w:val="05050102010706020507"/>
    <w:charset w:val="00"/>
    <w:family w:val="auto"/>
    <w:pitch w:val="default"/>
    <w:sig w:usb0="00000000" w:usb1="10000000" w:usb2="0000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66"/>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CFBDAEF9"/>
    <w:rsid w:val="0D9A55A2"/>
    <w:rsid w:val="13EF1752"/>
    <w:rsid w:val="16EFD392"/>
    <w:rsid w:val="177DA370"/>
    <w:rsid w:val="17DFFA75"/>
    <w:rsid w:val="18BFC09B"/>
    <w:rsid w:val="1BEF9C01"/>
    <w:rsid w:val="1BFB8A79"/>
    <w:rsid w:val="1FFDE82A"/>
    <w:rsid w:val="1FFE3DC8"/>
    <w:rsid w:val="25E4E361"/>
    <w:rsid w:val="2FF57ABD"/>
    <w:rsid w:val="37F9300F"/>
    <w:rsid w:val="39CD9E08"/>
    <w:rsid w:val="3A6EC62B"/>
    <w:rsid w:val="3AA211B0"/>
    <w:rsid w:val="3DDD8785"/>
    <w:rsid w:val="3EFF2196"/>
    <w:rsid w:val="3EFFCDE3"/>
    <w:rsid w:val="3F7B64F1"/>
    <w:rsid w:val="3F7D6D90"/>
    <w:rsid w:val="3FDF38B5"/>
    <w:rsid w:val="4D7AF3B1"/>
    <w:rsid w:val="4F7E5D39"/>
    <w:rsid w:val="4FC50588"/>
    <w:rsid w:val="4FEF7A7F"/>
    <w:rsid w:val="5BF630B3"/>
    <w:rsid w:val="5D1E5E35"/>
    <w:rsid w:val="5D2F548A"/>
    <w:rsid w:val="5D9CC53C"/>
    <w:rsid w:val="5DBFD756"/>
    <w:rsid w:val="5F67BE34"/>
    <w:rsid w:val="5FDFC522"/>
    <w:rsid w:val="63F79634"/>
    <w:rsid w:val="676B1FCF"/>
    <w:rsid w:val="67ACB7A7"/>
    <w:rsid w:val="6BBF548D"/>
    <w:rsid w:val="6BEE3C17"/>
    <w:rsid w:val="6CFC5835"/>
    <w:rsid w:val="6EBFFE06"/>
    <w:rsid w:val="6EDC6954"/>
    <w:rsid w:val="6F7FD66B"/>
    <w:rsid w:val="6FC75035"/>
    <w:rsid w:val="6FE9DFA5"/>
    <w:rsid w:val="6FF6B73E"/>
    <w:rsid w:val="6FF7B5C8"/>
    <w:rsid w:val="72B16660"/>
    <w:rsid w:val="72FEDFAF"/>
    <w:rsid w:val="74EF0DAF"/>
    <w:rsid w:val="75FFDC8C"/>
    <w:rsid w:val="76576194"/>
    <w:rsid w:val="777BBBAD"/>
    <w:rsid w:val="78FF9F1C"/>
    <w:rsid w:val="79B72732"/>
    <w:rsid w:val="7A8FECFA"/>
    <w:rsid w:val="7B6D3C00"/>
    <w:rsid w:val="7B77E946"/>
    <w:rsid w:val="7BBDD88A"/>
    <w:rsid w:val="7BFFD2F7"/>
    <w:rsid w:val="7C7DDD51"/>
    <w:rsid w:val="7D473A11"/>
    <w:rsid w:val="7D7FD33D"/>
    <w:rsid w:val="7DBDD90E"/>
    <w:rsid w:val="7DBFEFAD"/>
    <w:rsid w:val="7DF9200D"/>
    <w:rsid w:val="7E3F6002"/>
    <w:rsid w:val="7E9F6469"/>
    <w:rsid w:val="7EFFC158"/>
    <w:rsid w:val="7F3B9F4C"/>
    <w:rsid w:val="7F3C3286"/>
    <w:rsid w:val="7F695405"/>
    <w:rsid w:val="7F6B748A"/>
    <w:rsid w:val="7FB49696"/>
    <w:rsid w:val="7FBF0F91"/>
    <w:rsid w:val="7FE7235C"/>
    <w:rsid w:val="7FF31721"/>
    <w:rsid w:val="7FFCE884"/>
    <w:rsid w:val="8ABEE47C"/>
    <w:rsid w:val="AEAF67DC"/>
    <w:rsid w:val="AECFAD74"/>
    <w:rsid w:val="AED07A5A"/>
    <w:rsid w:val="AEFFF231"/>
    <w:rsid w:val="AF7349BF"/>
    <w:rsid w:val="B1FDE468"/>
    <w:rsid w:val="B3FEA9EF"/>
    <w:rsid w:val="B7FEF551"/>
    <w:rsid w:val="BBBE4515"/>
    <w:rsid w:val="BBD68691"/>
    <w:rsid w:val="BFD7C2A8"/>
    <w:rsid w:val="BFDF5E9D"/>
    <w:rsid w:val="BFFF175C"/>
    <w:rsid w:val="BFFFC478"/>
    <w:rsid w:val="C2FF7057"/>
    <w:rsid w:val="CBDA46FA"/>
    <w:rsid w:val="CDF9AD73"/>
    <w:rsid w:val="CEAF22DB"/>
    <w:rsid w:val="CFABA3EB"/>
    <w:rsid w:val="CFBDAEF9"/>
    <w:rsid w:val="CFFF1593"/>
    <w:rsid w:val="D7F8DDAE"/>
    <w:rsid w:val="D99D7B6E"/>
    <w:rsid w:val="DBF64670"/>
    <w:rsid w:val="DFDD6831"/>
    <w:rsid w:val="E5718167"/>
    <w:rsid w:val="E5AB3AAB"/>
    <w:rsid w:val="E5DD9418"/>
    <w:rsid w:val="E787CCF8"/>
    <w:rsid w:val="E7BFCB01"/>
    <w:rsid w:val="EA3CD53D"/>
    <w:rsid w:val="EB6E8309"/>
    <w:rsid w:val="EBD730EB"/>
    <w:rsid w:val="EC2D9E1A"/>
    <w:rsid w:val="EECA7655"/>
    <w:rsid w:val="EF06E542"/>
    <w:rsid w:val="EF73E6F1"/>
    <w:rsid w:val="EF7FB042"/>
    <w:rsid w:val="EFB7ADF2"/>
    <w:rsid w:val="EFCFFD3A"/>
    <w:rsid w:val="EFDF470A"/>
    <w:rsid w:val="EFDFF3E6"/>
    <w:rsid w:val="EFE712E6"/>
    <w:rsid w:val="EFF7C6A6"/>
    <w:rsid w:val="F0D7EC59"/>
    <w:rsid w:val="F1B927A4"/>
    <w:rsid w:val="F3FF92B4"/>
    <w:rsid w:val="F56E2A6E"/>
    <w:rsid w:val="F5EEDA60"/>
    <w:rsid w:val="F6DFFC0C"/>
    <w:rsid w:val="F73F225B"/>
    <w:rsid w:val="FABE4737"/>
    <w:rsid w:val="FBBD659A"/>
    <w:rsid w:val="FBDF91EB"/>
    <w:rsid w:val="FBFF7EF4"/>
    <w:rsid w:val="FD375179"/>
    <w:rsid w:val="FD6C9E97"/>
    <w:rsid w:val="FD6EB3EE"/>
    <w:rsid w:val="FDBDD900"/>
    <w:rsid w:val="FDF59568"/>
    <w:rsid w:val="FEA64923"/>
    <w:rsid w:val="FED769C8"/>
    <w:rsid w:val="FF3362C6"/>
    <w:rsid w:val="FF6F6FFE"/>
    <w:rsid w:val="FF7BF13D"/>
    <w:rsid w:val="FF943FE1"/>
    <w:rsid w:val="FFEFF665"/>
    <w:rsid w:val="FFF72BE1"/>
    <w:rsid w:val="FFFBE5A1"/>
    <w:rsid w:val="FFFF283E"/>
    <w:rsid w:val="FFFF3C31"/>
    <w:rsid w:val="FFFF8129"/>
    <w:rsid w:val="FFFF911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unhideWhenUsed/>
    <w:qFormat/>
    <w:uiPriority w:val="99"/>
    <w:pPr>
      <w:widowControl/>
      <w:spacing w:before="100" w:beforeAutospacing="1" w:after="100" w:afterAutospacing="1" w:line="384" w:lineRule="exact"/>
      <w:ind w:firstLine="721" w:firstLineChars="200"/>
      <w:jc w:val="left"/>
    </w:pPr>
    <w:rPr>
      <w:rFonts w:ascii="宋体" w:hAnsi="宋体" w:eastAsia="汉仪书宋二简" w:cs="宋体"/>
      <w:color w:val="auto"/>
      <w:kern w:val="0"/>
      <w:sz w:val="24"/>
      <w:szCs w:val="24"/>
      <w:lang w:val="en-US" w:eastAsia="zh-CN" w:bidi="ar-SA"/>
    </w:rPr>
  </w:style>
  <w:style w:type="table" w:styleId="4">
    <w:name w:val="Table Grid"/>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0</Words>
  <Characters>0</Characters>
  <Lines>0</Lines>
  <Paragraphs>0</Paragraphs>
  <TotalTime>9</TotalTime>
  <ScaleCrop>false</ScaleCrop>
  <LinksUpToDate>false</LinksUpToDate>
  <CharactersWithSpaces>0</CharactersWithSpaces>
  <Application>WPS Office_12.1.25869.25869_F1E327BC-269C-435d-A152-05C5408002CA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2026-02-07T08:22:00Z</dcterms:created>
  <dc:creator>Arthur (Xiao) Dong</dc:creator>
  <cp:lastModifiedBy>Arthur (Xiao) Dong</cp:lastModifiedBy>
  <dcterms:modified xsi:type="dcterms:W3CDTF">2026-05-05T22:36:48Z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2052-12.1.25869.25869</vt:lpwstr>
  </property>
  <property fmtid="{D5CDD505-2E9C-101B-9397-08002B2CF9AE}" pid="3" name="ICV">
    <vt:lpwstr>3A31E5C62E8666FD53247769E1688135_41</vt:lpwstr>
  </property>
</Properties>
</file>