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sz w:val="28"/>
          <w:szCs w:val="28"/>
          <w:lang w:val="en-US" w:eastAsia="zh-CN"/>
        </w:rPr>
      </w:pPr>
      <w:r>
        <w:rPr>
          <w:rFonts w:hint="eastAsia"/>
          <w:b/>
          <w:bCs/>
          <w:sz w:val="28"/>
          <w:szCs w:val="28"/>
          <w:lang w:val="en-US" w:eastAsia="zh-CN"/>
        </w:rPr>
        <w:t>商法第二讲课堂笔记（考点3-5）</w:t>
      </w:r>
    </w:p>
    <w:p w14:paraId="4904F4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lang w:val="en-US" w:eastAsia="zh-CN"/>
        </w:rPr>
      </w:pPr>
      <w:r>
        <w:rPr>
          <w:rFonts w:hint="eastAsia" w:ascii="Times New Roman Regular" w:hAnsi="Times New Roman Regular" w:cs="Times New Roman Regular"/>
          <w:b/>
          <w:bCs/>
          <w:sz w:val="21"/>
          <w:szCs w:val="21"/>
          <w:lang w:val="en-US" w:eastAsia="zh-CN"/>
        </w:rPr>
        <w:t>【考点3:公司的资本与财务制度】</w:t>
      </w:r>
    </w:p>
    <w:p w14:paraId="6EB8571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一、公司的投资与担保能力</w:t>
      </w:r>
    </w:p>
    <w:p w14:paraId="089773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（一）转投资能力</w:t>
      </w:r>
    </w:p>
    <w:p w14:paraId="38265E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公司向其他企业投资，按照公司章程的规定由董事会或者股东会决议</w:t>
      </w:r>
    </w:p>
    <w:p w14:paraId="15845F5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（二）担保能力</w:t>
      </w:r>
    </w:p>
    <w:p w14:paraId="1BE4D86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1．公司为他人提供担保，按照公司章程的规定由董事会或者股东会决议</w:t>
      </w:r>
    </w:p>
    <w:p w14:paraId="26A288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2．公司为公司股东或者实际控制人提供担保的，应当经股东会决议。</w:t>
      </w:r>
    </w:p>
    <w:p w14:paraId="1208902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该项表决由出席会议的其他股东所持表决权的过半数通过。</w:t>
      </w:r>
    </w:p>
    <w:p w14:paraId="094ECA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提示：和表决事项有利害关系的股东不得参与该事项的表决。</w:t>
      </w:r>
    </w:p>
    <w:p w14:paraId="6BCF8F7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总结：对外投资和担保董股决议，对内担保股决议</w:t>
      </w:r>
    </w:p>
    <w:p w14:paraId="7E91F84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二、公司资本三原则</w:t>
      </w:r>
    </w:p>
    <w:p w14:paraId="104DC5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（一）基本概念</w:t>
      </w:r>
    </w:p>
    <w:p w14:paraId="3960593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1.有限责任公司</w:t>
      </w:r>
    </w:p>
    <w:p w14:paraId="7AAF16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有限责任公司的注册资本为在公司登记机关登记的全体股东认缴的出资额。全体股东认缴的出资额由股东按照公司章程的规定自公司成立之日起五年内缴足。</w:t>
      </w:r>
    </w:p>
    <w:p w14:paraId="0B1EE51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注意1：按照国家市场监管总局的要求，在2024年7月1日前已登记设立的公司，出资期限超过公司法规定的上述期限的，应当在2027年7月1日前逐步调整至公司法规定的期限以内。</w:t>
      </w:r>
    </w:p>
    <w:p w14:paraId="1D2BEE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注意2：法律、行政法规以及国务院决定对有限责任公司注册资本实缴、注册资本最低限额、股东出资期限另有规定的，从其规定。</w:t>
      </w:r>
    </w:p>
    <w:p w14:paraId="560ED05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2.股份有限公司</w:t>
      </w:r>
    </w:p>
    <w:p w14:paraId="6DF9237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发起设立方式：注册资本为在公司登记机关依法登记的全体发起人认购的股本总额</w:t>
      </w:r>
    </w:p>
    <w:p w14:paraId="010F12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募集设立方式：注册资本为在公司登记机关依法登记的实收股本总额</w:t>
      </w:r>
    </w:p>
    <w:p w14:paraId="15DDE6E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（二）资本确定原则</w:t>
      </w:r>
    </w:p>
    <w:p w14:paraId="7D52FC8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是指公司设立时应在章程中载明公司资本总额，并由发起人认足或缴足，否则公司不能成立</w:t>
      </w:r>
    </w:p>
    <w:p w14:paraId="194461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（三）资本维持原则</w:t>
      </w:r>
    </w:p>
    <w:p w14:paraId="641EE76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该原则具体体现在下列制度上：</w:t>
      </w:r>
    </w:p>
    <w:p w14:paraId="58BBAE8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1．有限责任公司的股东在公司登记成立后不得抽逃出资；</w:t>
      </w:r>
    </w:p>
    <w:p w14:paraId="15086A7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表现形式：</w:t>
      </w:r>
    </w:p>
    <w:p w14:paraId="6840B1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（1）制作虚假财务会计报表虚增利润进行分配；（做假账）</w:t>
      </w:r>
    </w:p>
    <w:p w14:paraId="33E50AA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（2）通过虚构债权债务关系将出资转出；（做假合同）</w:t>
      </w:r>
    </w:p>
    <w:p w14:paraId="0E84E2E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（3）利用关联交易将出资转出；</w:t>
      </w:r>
    </w:p>
    <w:p w14:paraId="605325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（4）其他未经法定程序将出资抽回的行为。</w:t>
      </w:r>
    </w:p>
    <w:p w14:paraId="69D1B6A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违反前款规定的，股东应当返还抽逃的出资；给公司造成损失的，负有责任的董事、监事、高级管理人员应当与该股东承担连带赔偿责任。</w:t>
      </w:r>
    </w:p>
    <w:p w14:paraId="2FAD52F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法律责任：</w:t>
      </w:r>
    </w:p>
    <w:p w14:paraId="0DE0F2D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（1）股东抽逃出资，公司或者其他股东请求其向公司返还出资本息、协助抽逃出资的其他股东、董事、高级管理人员或者实际控制人对此承担连带责任的，人民法院应予支持。</w:t>
      </w:r>
    </w:p>
    <w:p w14:paraId="67E026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公司债权人请求抽逃出资的股东在抽逃出资本息范围内对公司债务不能清偿的部分承担补充赔偿责任、协助抽逃出资的其他股东、董事、高级管理人员或者实际控制人对此承担连带责任的，人民法院应予支持。</w:t>
      </w:r>
    </w:p>
    <w:p w14:paraId="332D0A8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提示1：公司债权人请求抽逃出资的股东承担责任，需要公司债务不能清偿。</w:t>
      </w:r>
    </w:p>
    <w:p w14:paraId="6936AE9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提示2：如果不具备上述身份的，按照《民法典》第1168条的规定，以共同侵权处理。</w:t>
      </w:r>
    </w:p>
    <w:p w14:paraId="4D519B4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（3）股份有限公司的发起人、认股人缴纳股款或者交付非货币财产出资后，除未按期募足股份、发起人未按期召开成立大会或者成立大会决议不设立公司的情形外，不得抽回其股本</w:t>
      </w:r>
    </w:p>
    <w:p w14:paraId="540B48E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2．股份公司不得收购本公司的股份，但是，有下列情形之一的除外：</w:t>
      </w:r>
    </w:p>
    <w:p w14:paraId="42A72CC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（1）减少公司注册资本；</w:t>
      </w:r>
    </w:p>
    <w:p w14:paraId="00C9CAC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（2）与持有本公司股份的其他公司合并；</w:t>
      </w:r>
    </w:p>
    <w:p w14:paraId="2A57B7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（3）将股份用于员工持股计划或者股权激励；</w:t>
      </w:r>
    </w:p>
    <w:p w14:paraId="27DBF4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（4）股东因对股东大会[注 新《公司法》已经删去“股东大会”的表述，但相关法律及司法解释尚未修改，因此讲义中部分保留了“股东大会”的表述。]注作出的公司合并、分立决议持异议，要求公司收购其股份；</w:t>
      </w:r>
    </w:p>
    <w:p w14:paraId="1E4B623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（5）将股份用于转换上市公司发行的可转换为股票的公司债券；</w:t>
      </w:r>
    </w:p>
    <w:p w14:paraId="2F56ED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（6）上市公司为维护公司价值及股东权益所必需。</w:t>
      </w:r>
    </w:p>
    <w:p w14:paraId="2FCD217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公司因前款第（1）项、第（2）项规定的情形收购本公司股份的，应当经股东会决议；公司因前款第（3）项、第（5）项、第（6）项规定的情形收购本公司股份的，可以依照公司章程或者股东会的授权，经三分之二以上董事出席的董事会会议决议。</w:t>
      </w:r>
    </w:p>
    <w:p w14:paraId="5A2551D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注意：（4）需由股东会决议，（3）、（5）、（6）在没有章程和股东会的授权的情况下，仍然是由股东会决议。</w:t>
      </w:r>
    </w:p>
    <w:p w14:paraId="451E7DB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公司依照本条第一款规定收购本公司股份后，属于第（1）项情形的，应当自收购之日起十日内注销；属于第（2）项、第（4）项情形的，应当在六个月内转让或者注销；属于第（3）项、第（5）项、第（6）项情形的，公司合计持有的本公司股份数不得超过本公司已发行股份总额的百分之十，并应当在三年内转让或者注销。</w:t>
      </w:r>
    </w:p>
    <w:p w14:paraId="6A7FAE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上市公司收购本公司股份的，应当通过公开的集中交易方式进行</w:t>
      </w:r>
    </w:p>
    <w:p w14:paraId="2B72B8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（四）资本不变原则</w:t>
      </w:r>
    </w:p>
    <w:p w14:paraId="3D1D7C0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是指公司资本总额一旦确定，非经法定程序，不得任意变动。</w:t>
      </w:r>
    </w:p>
    <w:p w14:paraId="79B5C70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公司增加注册资本实行股东自治，公司减少注册资本实行严格的限制</w:t>
      </w:r>
    </w:p>
    <w:p w14:paraId="087CF3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三、公司的财务、会计、收益分配</w:t>
      </w:r>
    </w:p>
    <w:p w14:paraId="7551F09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（一）公积金</w:t>
      </w:r>
    </w:p>
    <w:p w14:paraId="6CD7458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1．公司分配当年税后利润时，应当提取利润的10%列入公司法定公积金</w:t>
      </w:r>
    </w:p>
    <w:p w14:paraId="797B5BD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2．公司法定公积金累计额为公司注册资本的50%以上的，可以不再提取</w:t>
      </w:r>
    </w:p>
    <w:p w14:paraId="0D0540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3．法定公积金转为注册资本时，所留存的该项公积金不得少于转增前公司注册资本的25%</w:t>
      </w:r>
    </w:p>
    <w:p w14:paraId="4B0959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（二）公司收益分配顺序</w:t>
      </w:r>
    </w:p>
    <w:p w14:paraId="753BAC3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弥补亏损→提取法定公积金→提取任意公积金→向股东支付股利</w:t>
      </w:r>
    </w:p>
    <w:p w14:paraId="744E0CD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1．公司的法定公积金不足以弥补以前年度亏损的，在依照上述规定提取法定公积金之前，应当先用当年利润弥补亏损</w:t>
      </w:r>
    </w:p>
    <w:p w14:paraId="6A065E8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2．公司从税后利润中提取法定公积金后，经股东会决议，还可以从税后利润中提取任意公积金</w:t>
      </w:r>
    </w:p>
    <w:p w14:paraId="0A3D70A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3．公司弥补亏损和提取公积金后所余税后利润，有限责任公司按照股东实缴的出资比例分配利润，全体股东约定不按照出资比例分配利润的除外</w:t>
      </w:r>
    </w:p>
    <w:p w14:paraId="373A68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4．公司违反本法规定向股东分配利润的，股东应当将违反规定分配的利润退还公司；给公司造成损失的，股东及负有责任的董事、监事、高级管理人员应当承担赔偿责任</w:t>
      </w:r>
    </w:p>
    <w:p w14:paraId="35D5945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5．股东会作出分配利润的决议的，董事会应当在股东会决议作出之日起六个月内进行分配</w:t>
      </w:r>
    </w:p>
    <w:p w14:paraId="18D986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（三）利润分配的相关诉讼</w:t>
      </w:r>
    </w:p>
    <w:p w14:paraId="144AAAF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1．股东请求公司分配利润案件，应当列公司为被告。一审法庭辩论终结前，其他股东基于同一分配方案请求分配利润并申请参加诉讼的，应当列为共同原告。</w:t>
      </w:r>
    </w:p>
    <w:p w14:paraId="74F2C61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2．股东提交载明具体分配方案的股东会的有效决议，请求公司分配利润，公司拒绝分配利润且其关于无法执行决议的抗辩理由不成立的，人民法院应当判决公司按照决议载明的具体分配方案向股东分配利润。</w:t>
      </w:r>
    </w:p>
    <w:p w14:paraId="2A53A94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注意：此处股东会的决议是分红的前提条件</w:t>
      </w:r>
    </w:p>
    <w:p w14:paraId="13EF63D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0CD57A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【考点4:公司治理结构】</w:t>
      </w:r>
    </w:p>
    <w:p w14:paraId="58274C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一、公司的权利能力和行为能力</w:t>
      </w:r>
    </w:p>
    <w:p w14:paraId="648DF46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公司的意思能力由法人机关形成，行为能力由法定代表人实施。</w:t>
      </w:r>
    </w:p>
    <w:p w14:paraId="68726D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公司法定代表人依照公司章程的规定，由代表公司执行公司事务的董事或者经理担任。</w:t>
      </w:r>
    </w:p>
    <w:p w14:paraId="7D51B9B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担任法定代表人的董事或者经理辞任的，视为同时辞去法定代表人。</w:t>
      </w:r>
    </w:p>
    <w:p w14:paraId="2F5930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4.</w:t>
      </w:r>
      <w:r>
        <w:rPr>
          <w:rFonts w:hint="default" w:ascii="Times New Roman Regular" w:hAnsi="Times New Roman Regular" w:cs="Times New Roman Regular"/>
          <w:sz w:val="21"/>
          <w:szCs w:val="21"/>
          <w:u w:val="none"/>
          <w:lang w:val="en-US" w:eastAsia="zh-CN"/>
        </w:rPr>
        <w:t>法定代表人以公司名义从事的民事活动，其法律后果由公司承受。</w:t>
      </w:r>
    </w:p>
    <w:p w14:paraId="463A20E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5.</w:t>
      </w:r>
      <w:r>
        <w:rPr>
          <w:rFonts w:hint="default" w:ascii="Times New Roman Regular" w:hAnsi="Times New Roman Regular" w:cs="Times New Roman Regular"/>
          <w:sz w:val="21"/>
          <w:szCs w:val="21"/>
          <w:u w:val="none"/>
          <w:lang w:val="en-US" w:eastAsia="zh-CN"/>
        </w:rPr>
        <w:t>公司章程或者股东会对法定代表人职权的限制，不得对抗善意相对人。</w:t>
      </w:r>
    </w:p>
    <w:p w14:paraId="51D3F24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6.</w:t>
      </w:r>
      <w:r>
        <w:rPr>
          <w:rFonts w:hint="default" w:ascii="Times New Roman Regular" w:hAnsi="Times New Roman Regular" w:cs="Times New Roman Regular"/>
          <w:sz w:val="21"/>
          <w:szCs w:val="21"/>
          <w:u w:val="none"/>
          <w:lang w:val="en-US" w:eastAsia="zh-CN"/>
        </w:rPr>
        <w:t>法定代表人因执行职务造成他人损害的，由公司承担民事责任。公司承担民事责任后，依照法律或者公司章程的规定，可以向有过错的法定代表人追偿</w:t>
      </w:r>
    </w:p>
    <w:p w14:paraId="20CBBC3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7.公司组织机构：股东会、董事会（董事）、监事会（监事）</w:t>
      </w:r>
    </w:p>
    <w:p w14:paraId="6F525B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二、公司的高层人员：董监高</w:t>
      </w:r>
    </w:p>
    <w:p w14:paraId="672CC5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（一）任职资格禁止</w:t>
      </w:r>
    </w:p>
    <w:p w14:paraId="6C3C26E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常考具体年限和身份。如“因贪污被判刑，执行期满6年，能否担任？”（可以，因为5年期限已满）。</w:t>
      </w:r>
    </w:p>
    <w:p w14:paraId="62FA0A2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（二）忠实义务和勤勉义务</w:t>
      </w:r>
    </w:p>
    <w:p w14:paraId="5F96CA9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自我交易和关联交易：</w:t>
      </w:r>
    </w:p>
    <w:p w14:paraId="7D7208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第一百八十二条  董事、监事、高级管理人员，直接或者间接与本公司订立合同或者进行交易，应当就与订立合同或者进行交易有关的事项向董事会或者股东会报告，并按照公司章程的规定经董事会或者股东会决议通过。（自我交易）</w:t>
      </w:r>
    </w:p>
    <w:p w14:paraId="5513C1A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董事、监事、高级管理人员的近亲属，董事、监事、高级管理人员或者其近亲属直接或者间接控制的企业，以及与董事、监事、高级管理人员有其他关联关系的关联人，与公司订立合同或者进行交易，适用前款规定。（关联交易）</w:t>
      </w:r>
    </w:p>
    <w:p w14:paraId="5C3D149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侵占商业利益：</w:t>
      </w:r>
    </w:p>
    <w:p w14:paraId="33B2F1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第一百八十三条  董事、监事、高级管理人员，不得利用职务便利为自己或者他人谋取属于公司的商业机会。但是，有下列情形之一的除外：</w:t>
      </w:r>
    </w:p>
    <w:p w14:paraId="3AD3360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（一）向董事会或者股东会报告，并按照公司章程的规定经董事会或者股东会决议通过；</w:t>
      </w:r>
    </w:p>
    <w:p w14:paraId="7DED5BC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（二）根据法律、行政法规或者公司章程的规定，公司不能利用该商业机会。</w:t>
      </w:r>
    </w:p>
    <w:p w14:paraId="2F0199E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同业竞争：</w:t>
      </w:r>
    </w:p>
    <w:p w14:paraId="430A9D9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第一百八十四条  董事、监事、高级管理人员未向董事会或者股东会报告，并按照公司章程的规定经董事会或者股东会决议通过，不得自营或者为他人经营与其任职公司同类的业务。</w:t>
      </w:r>
    </w:p>
    <w:p w14:paraId="7FA51A7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4</w:t>
      </w:r>
      <w:r>
        <w:rPr>
          <w:rFonts w:hint="default" w:ascii="Times New Roman Regular" w:hAnsi="Times New Roman Regular" w:cs="Times New Roman Regular"/>
          <w:sz w:val="21"/>
          <w:szCs w:val="21"/>
          <w:u w:val="none"/>
          <w:lang w:val="en-US" w:eastAsia="zh-CN"/>
        </w:rPr>
        <w:t>.关联事项表决：</w:t>
      </w:r>
    </w:p>
    <w:p w14:paraId="311AE4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第一百八十五条  董事会对本法第一百八十二条至第一百八十四条规定的事项决议时，关联董事不得参与表决，其表决权不计入表决权总数。出席董事会会议的无关联关系董事人数不足三人的，应当将该事项提交股东会审议。</w:t>
      </w:r>
    </w:p>
    <w:p w14:paraId="3F49520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5.</w:t>
      </w:r>
      <w:r>
        <w:rPr>
          <w:rFonts w:hint="default" w:ascii="Times New Roman Regular" w:hAnsi="Times New Roman Regular" w:cs="Times New Roman Regular"/>
          <w:sz w:val="21"/>
          <w:szCs w:val="21"/>
          <w:u w:val="none"/>
          <w:lang w:val="en-US" w:eastAsia="zh-CN"/>
        </w:rPr>
        <w:t>交易后果：</w:t>
      </w:r>
    </w:p>
    <w:p w14:paraId="7287C10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第一百八十六条  董事、监事、高级管理人员违反本法第一百八十一条至第一百八十四条规定所得的收入应当归公司所有。</w:t>
      </w:r>
    </w:p>
    <w:p w14:paraId="6CD32E9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总结：交易有效</w:t>
      </w:r>
    </w:p>
    <w:p w14:paraId="72F00A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6.</w:t>
      </w:r>
      <w:r>
        <w:rPr>
          <w:rFonts w:hint="default" w:ascii="Times New Roman Regular" w:hAnsi="Times New Roman Regular" w:cs="Times New Roman Regular"/>
          <w:sz w:val="21"/>
          <w:szCs w:val="21"/>
          <w:u w:val="none"/>
          <w:lang w:val="en-US" w:eastAsia="zh-CN"/>
        </w:rPr>
        <w:t>法律责任：</w:t>
      </w:r>
    </w:p>
    <w:p w14:paraId="24E1C4D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第一百八十八条  董事、监事、高级管理人员执行职务违反法律、行政法规或者公司章程的规定，给公司造成损失的，应当承担赔偿责任</w:t>
      </w:r>
    </w:p>
    <w:p w14:paraId="6C509F3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2"/>
          <w:szCs w:val="22"/>
          <w:u w:val="none"/>
          <w:lang w:val="en-US" w:eastAsia="zh-CN"/>
        </w:rPr>
      </w:pPr>
    </w:p>
    <w:p w14:paraId="2DBEDEF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【考点5:公司变更与终止】</w:t>
      </w:r>
    </w:p>
    <w:p w14:paraId="653876D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一、公司的合并与分立</w:t>
      </w:r>
    </w:p>
    <w:p w14:paraId="7C4760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（一）公司合并</w:t>
      </w:r>
    </w:p>
    <w:p w14:paraId="046F6F6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【公式1】吸收合并：甲+乙=甲</w:t>
      </w:r>
    </w:p>
    <w:p w14:paraId="4CFF008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【公式2】新设合并：甲+乙=丙</w:t>
      </w:r>
    </w:p>
    <w:p w14:paraId="58493F7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公司与其持股百分之九十以上的公司合并，被合并的公司不需经股东会决议，但应当通知其他股东，其他股东有权请求公司按照合理的价格收购其股权或者股份。</w:t>
      </w:r>
    </w:p>
    <w:p w14:paraId="73ED37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公司合并支付的价款不超过本公司净资产百分之十的，可以不经股东会决议；但是，公司章程另有规定的除外。</w:t>
      </w:r>
    </w:p>
    <w:p w14:paraId="357CDF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公司依照前两款规定合并不经股东会决议的，应当经董事会决议</w:t>
      </w:r>
      <w:r>
        <w:rPr>
          <w:rFonts w:hint="eastAsia" w:ascii="Times New Roman Regular" w:hAnsi="Times New Roman Regular" w:cs="Times New Roman Regular"/>
          <w:sz w:val="21"/>
          <w:szCs w:val="21"/>
          <w:u w:val="none"/>
          <w:lang w:val="en-US" w:eastAsia="zh-CN"/>
        </w:rPr>
        <w:t>。</w:t>
      </w:r>
    </w:p>
    <w:p w14:paraId="22D1C72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4.</w:t>
      </w:r>
      <w:r>
        <w:rPr>
          <w:rFonts w:hint="default" w:ascii="Times New Roman Regular" w:hAnsi="Times New Roman Regular" w:cs="Times New Roman Regular"/>
          <w:sz w:val="21"/>
          <w:szCs w:val="21"/>
          <w:u w:val="none"/>
          <w:lang w:val="en-US" w:eastAsia="zh-CN"/>
        </w:rPr>
        <w:t>公司合并，应当由合并各方签订合并协议，并编制资产负债表及财产清单。公司应当自作出合并决议之日起10日内通知债权人，并于30日内在报纸上或者国家企业信用信息公示系统公告。债权人自接到通知书之日起30日内，未接到通知书的自公告之日起45日内，可以要求公司清偿债务或者提供相应的担保</w:t>
      </w:r>
      <w:r>
        <w:rPr>
          <w:rFonts w:hint="eastAsia" w:ascii="Times New Roman Regular" w:hAnsi="Times New Roman Regular" w:cs="Times New Roman Regular"/>
          <w:sz w:val="21"/>
          <w:szCs w:val="21"/>
          <w:u w:val="none"/>
          <w:lang w:val="en-US" w:eastAsia="zh-CN"/>
        </w:rPr>
        <w:t>。</w:t>
      </w:r>
    </w:p>
    <w:p w14:paraId="16CBC8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5.</w:t>
      </w:r>
      <w:r>
        <w:rPr>
          <w:rFonts w:hint="default" w:ascii="Times New Roman Regular" w:hAnsi="Times New Roman Regular" w:cs="Times New Roman Regular"/>
          <w:sz w:val="21"/>
          <w:szCs w:val="21"/>
          <w:u w:val="none"/>
          <w:lang w:val="en-US" w:eastAsia="zh-CN"/>
        </w:rPr>
        <w:t>公司合并时，合并各方的债权、债务，应当由合并后存续的公司或者新设的公司承继</w:t>
      </w:r>
      <w:r>
        <w:rPr>
          <w:rFonts w:hint="eastAsia" w:ascii="Times New Roman Regular" w:hAnsi="Times New Roman Regular" w:cs="Times New Roman Regular"/>
          <w:sz w:val="21"/>
          <w:szCs w:val="21"/>
          <w:u w:val="none"/>
          <w:lang w:val="en-US" w:eastAsia="zh-CN"/>
        </w:rPr>
        <w:t>。</w:t>
      </w:r>
    </w:p>
    <w:p w14:paraId="590D92D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（二）公司分立</w:t>
      </w:r>
    </w:p>
    <w:p w14:paraId="7643E8C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【公式1】</w:t>
      </w:r>
      <w:r>
        <w:rPr>
          <w:rFonts w:hint="default" w:ascii="Times New Roman Regular" w:hAnsi="Times New Roman Regular" w:cs="Times New Roman Regular"/>
          <w:sz w:val="21"/>
          <w:szCs w:val="21"/>
          <w:u w:val="none"/>
          <w:lang w:val="en-US" w:eastAsia="zh-CN"/>
        </w:rPr>
        <w:t>解散分立：甲=乙+丙</w:t>
      </w:r>
    </w:p>
    <w:p w14:paraId="0024F7E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【公式2】</w:t>
      </w:r>
      <w:r>
        <w:rPr>
          <w:rFonts w:hint="default" w:ascii="Times New Roman Regular" w:hAnsi="Times New Roman Regular" w:cs="Times New Roman Regular"/>
          <w:sz w:val="21"/>
          <w:szCs w:val="21"/>
          <w:u w:val="none"/>
          <w:lang w:val="en-US" w:eastAsia="zh-CN"/>
        </w:rPr>
        <w:t>派生分立：甲=甲+乙</w:t>
      </w:r>
    </w:p>
    <w:p w14:paraId="1F9B62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公司分立，应当编制资产负债表及财产清单。公司应当自作出分立决议之日起10日内通知债权人，并于30日内在报纸上或者国家企业信用信息公示系统公告。</w:t>
      </w:r>
    </w:p>
    <w:p w14:paraId="56FCF6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公司分立前的债务由分立后的公司承担连带责任；但是，公司在分立前与债权人就债务清偿达成的书面协议另有约定的除外</w:t>
      </w:r>
      <w:r>
        <w:rPr>
          <w:rFonts w:hint="eastAsia" w:ascii="Times New Roman Regular" w:hAnsi="Times New Roman Regular" w:cs="Times New Roman Regular"/>
          <w:sz w:val="21"/>
          <w:szCs w:val="21"/>
          <w:u w:val="none"/>
          <w:lang w:val="en-US" w:eastAsia="zh-CN"/>
        </w:rPr>
        <w:t>。</w:t>
      </w:r>
    </w:p>
    <w:p w14:paraId="0FEC846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二、公司的增资、减资</w:t>
      </w:r>
    </w:p>
    <w:p w14:paraId="2EB7DCC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（一）增资</w:t>
      </w:r>
    </w:p>
    <w:p w14:paraId="626B04D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公司增资时，应当做到三点：</w:t>
      </w:r>
    </w:p>
    <w:p w14:paraId="5D9C77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1．由董事会制定方案，提交股东会决议。</w:t>
      </w:r>
    </w:p>
    <w:p w14:paraId="4298F7D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2．修改公司章程。</w:t>
      </w:r>
    </w:p>
    <w:p w14:paraId="0E1F3C0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3．向公司登记机关办理注册资本的变更登记。</w:t>
      </w:r>
    </w:p>
    <w:p w14:paraId="29F3C94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注意1：减资的规定与此处增资的规定相同。</w:t>
      </w:r>
    </w:p>
    <w:p w14:paraId="0B2D938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注意2：有限责任公司增加注册资本时，股东在同等条件下有权优先按照实缴的出资比例认缴出资。但是，全体股东约定不按照出资比例优先认缴出资的除外。</w:t>
      </w:r>
    </w:p>
    <w:p w14:paraId="0A83B96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注意3：</w:t>
      </w:r>
      <w:r>
        <w:rPr>
          <w:rFonts w:hint="default" w:ascii="Times New Roman Regular" w:hAnsi="Times New Roman Regular" w:cs="Times New Roman Regular"/>
          <w:sz w:val="21"/>
          <w:szCs w:val="21"/>
          <w:u w:val="none"/>
          <w:lang w:val="en-US" w:eastAsia="zh-CN"/>
        </w:rPr>
        <w:t>增加注册资本需要办理工商变更登记</w:t>
      </w:r>
      <w:r>
        <w:rPr>
          <w:rFonts w:hint="eastAsia" w:ascii="Times New Roman Regular" w:hAnsi="Times New Roman Regular" w:cs="Times New Roman Regular"/>
          <w:sz w:val="21"/>
          <w:szCs w:val="21"/>
          <w:u w:val="none"/>
          <w:lang w:val="en-US" w:eastAsia="zh-CN"/>
        </w:rPr>
        <w:t>。</w:t>
      </w:r>
    </w:p>
    <w:p w14:paraId="214BD0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（二）减资</w:t>
      </w:r>
    </w:p>
    <w:p w14:paraId="2EAF1B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1．准备：公司减少注册资本，应当编制资产负债表及财产清单。</w:t>
      </w:r>
    </w:p>
    <w:p w14:paraId="561523B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流程：公司应当自股东会作出减少注册资本决议之日起10日内通知债权人，并于30内在报纸上或者国家企业信用信息公示系统公告。债权人自接到通知之日起30日内，未接到通知的自公告之日起45日内，有权要求公司清偿债务或者提供相应的担保。</w:t>
      </w:r>
    </w:p>
    <w:p w14:paraId="53CD25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3．限制：公司依照规定减少注册资本后，在法定公积金和任意公积金累计额达到公司注册资本百分之五十前，不得分配利润。</w:t>
      </w:r>
    </w:p>
    <w:p w14:paraId="103387A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4．法律责任：违反公司法规定减少注册资本的，股东应当退还其收到的资金，减免股东出资的应当恢复原状；给公司造成损失的，股东及负有责任的董事、监事、高级管理人员应当承担赔偿责任</w:t>
      </w:r>
      <w:r>
        <w:rPr>
          <w:rFonts w:hint="eastAsia" w:ascii="Times New Roman Regular" w:hAnsi="Times New Roman Regular" w:cs="Times New Roman Regular"/>
          <w:sz w:val="21"/>
          <w:szCs w:val="21"/>
          <w:u w:val="none"/>
          <w:lang w:val="en-US" w:eastAsia="zh-CN"/>
        </w:rPr>
        <w:t>。</w:t>
      </w:r>
    </w:p>
    <w:p w14:paraId="1D25363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（剩余内容晚上19：30的课程继续讲解）</w:t>
      </w:r>
      <w:bookmarkStart w:id="0" w:name="_GoBack"/>
      <w:bookmarkEnd w:id="0"/>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EF9C01"/>
    <w:rsid w:val="1BFB8A79"/>
    <w:rsid w:val="1FFDE82A"/>
    <w:rsid w:val="1FFE3DC8"/>
    <w:rsid w:val="25E4E361"/>
    <w:rsid w:val="2FF57ABD"/>
    <w:rsid w:val="37F9300F"/>
    <w:rsid w:val="39CD9E08"/>
    <w:rsid w:val="3AA211B0"/>
    <w:rsid w:val="3DDD8785"/>
    <w:rsid w:val="3EFF2196"/>
    <w:rsid w:val="3EFFCDE3"/>
    <w:rsid w:val="3F7D6D90"/>
    <w:rsid w:val="3FDF38B5"/>
    <w:rsid w:val="4D7AF3B1"/>
    <w:rsid w:val="4F7E5D39"/>
    <w:rsid w:val="4FEF7A7F"/>
    <w:rsid w:val="5BF630B3"/>
    <w:rsid w:val="5D1E5E35"/>
    <w:rsid w:val="5D2F548A"/>
    <w:rsid w:val="5D9CC53C"/>
    <w:rsid w:val="5DBFD756"/>
    <w:rsid w:val="5F67BE34"/>
    <w:rsid w:val="5FDFC522"/>
    <w:rsid w:val="63F79634"/>
    <w:rsid w:val="676B1FCF"/>
    <w:rsid w:val="67ACB7A7"/>
    <w:rsid w:val="6BBF548D"/>
    <w:rsid w:val="6BEE3C17"/>
    <w:rsid w:val="6CFC5835"/>
    <w:rsid w:val="6EBFFE06"/>
    <w:rsid w:val="6EDC6954"/>
    <w:rsid w:val="6F7FD66B"/>
    <w:rsid w:val="6FC75035"/>
    <w:rsid w:val="6FE9DFA5"/>
    <w:rsid w:val="6FF6B73E"/>
    <w:rsid w:val="6FF7B5C8"/>
    <w:rsid w:val="72B16660"/>
    <w:rsid w:val="72FEDFAF"/>
    <w:rsid w:val="74EF0DAF"/>
    <w:rsid w:val="75FFDC8C"/>
    <w:rsid w:val="76576194"/>
    <w:rsid w:val="772F7261"/>
    <w:rsid w:val="78FF9F1C"/>
    <w:rsid w:val="79B72732"/>
    <w:rsid w:val="7A8FECFA"/>
    <w:rsid w:val="7B6D3C00"/>
    <w:rsid w:val="7B77E946"/>
    <w:rsid w:val="7BFFD2F7"/>
    <w:rsid w:val="7C7DDD51"/>
    <w:rsid w:val="7D473A11"/>
    <w:rsid w:val="7D7FD33D"/>
    <w:rsid w:val="7DBDD90E"/>
    <w:rsid w:val="7DBFEFAD"/>
    <w:rsid w:val="7DF9200D"/>
    <w:rsid w:val="7E3F6002"/>
    <w:rsid w:val="7E9F6469"/>
    <w:rsid w:val="7EFFC158"/>
    <w:rsid w:val="7F3B9F4C"/>
    <w:rsid w:val="7F3C3286"/>
    <w:rsid w:val="7F695405"/>
    <w:rsid w:val="7F6B748A"/>
    <w:rsid w:val="7FB49696"/>
    <w:rsid w:val="7FBF0F91"/>
    <w:rsid w:val="7FE7235C"/>
    <w:rsid w:val="7FFCE884"/>
    <w:rsid w:val="8ABEE47C"/>
    <w:rsid w:val="AEAF67DC"/>
    <w:rsid w:val="AECFAD74"/>
    <w:rsid w:val="AED07A5A"/>
    <w:rsid w:val="AEFFF231"/>
    <w:rsid w:val="AF7349BF"/>
    <w:rsid w:val="B1FDE468"/>
    <w:rsid w:val="B3FEA9EF"/>
    <w:rsid w:val="B7FEF551"/>
    <w:rsid w:val="BBD68691"/>
    <w:rsid w:val="BDEFCE0D"/>
    <w:rsid w:val="BFD7C2A8"/>
    <w:rsid w:val="BFDF5E9D"/>
    <w:rsid w:val="BFFFC478"/>
    <w:rsid w:val="C2FF7057"/>
    <w:rsid w:val="CBDA46FA"/>
    <w:rsid w:val="CDF9AD73"/>
    <w:rsid w:val="CEAF22DB"/>
    <w:rsid w:val="CFABA3EB"/>
    <w:rsid w:val="CFBDAEF9"/>
    <w:rsid w:val="CFFF1593"/>
    <w:rsid w:val="D7F8DDAE"/>
    <w:rsid w:val="D99D7B6E"/>
    <w:rsid w:val="DBF64670"/>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1B927A4"/>
    <w:rsid w:val="F3FF92B4"/>
    <w:rsid w:val="F56E2A6E"/>
    <w:rsid w:val="F5EEDA60"/>
    <w:rsid w:val="F6DFFC0C"/>
    <w:rsid w:val="F73F225B"/>
    <w:rsid w:val="FABE4737"/>
    <w:rsid w:val="FBDF91EB"/>
    <w:rsid w:val="FBFF7EF4"/>
    <w:rsid w:val="FD375179"/>
    <w:rsid w:val="FD6C9E97"/>
    <w:rsid w:val="FD6EB3EE"/>
    <w:rsid w:val="FDBDD900"/>
    <w:rsid w:val="FDF59568"/>
    <w:rsid w:val="FEA64923"/>
    <w:rsid w:val="FED769C8"/>
    <w:rsid w:val="FF3362C6"/>
    <w:rsid w:val="FF6F6FFE"/>
    <w:rsid w:val="FF7BF13D"/>
    <w:rsid w:val="FF943FE1"/>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2</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2026-02-06T00:22:00Z</dcterms:created>
  <dc:creator>Arthur (Xiao) Dong</dc:creator>
  <cp:lastModifiedBy>Arthur (Xiao) Dong</cp:lastModifiedBy>
  <dcterms:modified xsi:type="dcterms:W3CDTF">2026-05-05T11:34:05Z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3A31E5C62E8666FD53247769E1688135_41</vt:lpwstr>
  </property>
</Properties>
</file>