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846AE5" w14:textId="56F25AFB" w:rsidR="00995C3A" w:rsidRDefault="00995C3A" w:rsidP="00995C3A">
      <w:pPr>
        <w:pStyle w:val="1"/>
        <w:spacing w:before="0" w:line="240" w:lineRule="exact"/>
        <w:rPr>
          <w:rFonts w:ascii="宋体" w:eastAsia="宋体" w:hAnsi="宋体" w:hint="eastAsia"/>
          <w:b/>
          <w:bCs w:val="0"/>
          <w:color w:val="auto"/>
          <w:sz w:val="21"/>
          <w:szCs w:val="21"/>
        </w:rPr>
      </w:pPr>
      <w:bookmarkStart w:id="0" w:name="_Toc510879074"/>
      <w:bookmarkStart w:id="1" w:name="_Toc4844130"/>
      <w:bookmarkStart w:id="2" w:name="_Toc64384706"/>
      <w:bookmarkStart w:id="3" w:name="_Toc126331799"/>
      <w:bookmarkStart w:id="4" w:name="_Toc126331800"/>
      <w:r>
        <w:rPr>
          <w:rFonts w:ascii="宋体" w:eastAsia="宋体" w:hAnsi="宋体" w:hint="eastAsia"/>
          <w:b/>
          <w:bCs w:val="0"/>
          <w:color w:val="auto"/>
          <w:sz w:val="21"/>
          <w:szCs w:val="21"/>
        </w:rPr>
        <w:t>考点20  其他侦查行为、补充侦查（1</w:t>
      </w:r>
      <w:r w:rsidR="00AA1261">
        <w:rPr>
          <w:rFonts w:ascii="宋体" w:eastAsia="宋体" w:hAnsi="宋体" w:hint="eastAsia"/>
          <w:b/>
          <w:bCs w:val="0"/>
          <w:color w:val="auto"/>
          <w:sz w:val="21"/>
          <w:szCs w:val="21"/>
        </w:rPr>
        <w:t>9</w:t>
      </w:r>
      <w:r>
        <w:rPr>
          <w:rFonts w:ascii="宋体" w:eastAsia="宋体" w:hAnsi="宋体"/>
          <w:b/>
          <w:bCs w:val="0"/>
          <w:color w:val="auto"/>
          <w:sz w:val="21"/>
          <w:szCs w:val="21"/>
        </w:rPr>
        <w:t>:</w:t>
      </w:r>
      <w:r w:rsidR="00AA1261">
        <w:rPr>
          <w:rFonts w:ascii="宋体" w:eastAsia="宋体" w:hAnsi="宋体" w:hint="eastAsia"/>
          <w:b/>
          <w:bCs w:val="0"/>
          <w:color w:val="auto"/>
          <w:sz w:val="21"/>
          <w:szCs w:val="21"/>
        </w:rPr>
        <w:t>3</w:t>
      </w:r>
      <w:r>
        <w:rPr>
          <w:rFonts w:ascii="宋体" w:eastAsia="宋体" w:hAnsi="宋体" w:hint="eastAsia"/>
          <w:b/>
          <w:bCs w:val="0"/>
          <w:color w:val="auto"/>
          <w:sz w:val="21"/>
          <w:szCs w:val="21"/>
        </w:rPr>
        <w:t>0</w:t>
      </w:r>
      <w:r>
        <w:rPr>
          <w:rFonts w:ascii="宋体" w:eastAsia="宋体" w:hAnsi="宋体"/>
          <w:b/>
          <w:bCs w:val="0"/>
          <w:color w:val="auto"/>
          <w:sz w:val="21"/>
          <w:szCs w:val="21"/>
        </w:rPr>
        <w:t>:00-</w:t>
      </w:r>
      <w:r w:rsidR="00846B7A">
        <w:rPr>
          <w:rFonts w:ascii="宋体" w:eastAsia="宋体" w:hAnsi="宋体" w:hint="eastAsia"/>
          <w:b/>
          <w:bCs w:val="0"/>
          <w:color w:val="auto"/>
          <w:sz w:val="21"/>
          <w:szCs w:val="21"/>
        </w:rPr>
        <w:t>20</w:t>
      </w:r>
      <w:r>
        <w:rPr>
          <w:rFonts w:ascii="宋体" w:eastAsia="宋体" w:hAnsi="宋体"/>
          <w:b/>
          <w:bCs w:val="0"/>
          <w:color w:val="auto"/>
          <w:sz w:val="21"/>
          <w:szCs w:val="21"/>
        </w:rPr>
        <w:t>:</w:t>
      </w:r>
      <w:r w:rsidR="00846B7A">
        <w:rPr>
          <w:rFonts w:ascii="宋体" w:eastAsia="宋体" w:hAnsi="宋体" w:hint="eastAsia"/>
          <w:b/>
          <w:bCs w:val="0"/>
          <w:color w:val="auto"/>
          <w:sz w:val="21"/>
          <w:szCs w:val="21"/>
        </w:rPr>
        <w:t>18</w:t>
      </w:r>
      <w:r>
        <w:rPr>
          <w:rFonts w:ascii="宋体" w:eastAsia="宋体" w:hAnsi="宋体"/>
          <w:b/>
          <w:bCs w:val="0"/>
          <w:color w:val="auto"/>
          <w:sz w:val="21"/>
          <w:szCs w:val="21"/>
        </w:rPr>
        <w:t>:00）</w:t>
      </w:r>
    </w:p>
    <w:p w14:paraId="6105A8D5" w14:textId="77777777" w:rsidR="00995C3A" w:rsidRDefault="00995C3A" w:rsidP="00995C3A">
      <w:pPr>
        <w:pStyle w:val="3"/>
        <w:spacing w:line="240" w:lineRule="exact"/>
        <w:ind w:firstLineChars="200" w:firstLine="420"/>
        <w:rPr>
          <w:rFonts w:eastAsia="宋体" w:hint="eastAsia"/>
          <w:sz w:val="21"/>
        </w:rPr>
      </w:pPr>
      <w:r>
        <w:rPr>
          <w:rFonts w:eastAsia="宋体" w:hint="eastAsia"/>
          <w:sz w:val="21"/>
        </w:rPr>
        <w:t>一、搜查</w:t>
      </w:r>
    </w:p>
    <w:p w14:paraId="312AE4D2" w14:textId="77777777" w:rsidR="00995C3A" w:rsidRDefault="00995C3A" w:rsidP="00995C3A">
      <w:pPr>
        <w:pStyle w:val="3"/>
        <w:spacing w:line="240" w:lineRule="exact"/>
        <w:ind w:firstLineChars="200" w:firstLine="420"/>
        <w:rPr>
          <w:rFonts w:eastAsia="宋体" w:hint="eastAsia"/>
          <w:sz w:val="21"/>
        </w:rPr>
      </w:pPr>
      <w:r>
        <w:rPr>
          <w:rFonts w:eastAsia="宋体" w:hint="eastAsia"/>
          <w:sz w:val="21"/>
        </w:rPr>
        <w:t>（一）搜查的范围和对象</w:t>
      </w:r>
    </w:p>
    <w:p w14:paraId="55992647" w14:textId="77777777" w:rsidR="00995C3A" w:rsidRDefault="00995C3A" w:rsidP="00995C3A">
      <w:pPr>
        <w:spacing w:line="240" w:lineRule="exact"/>
        <w:ind w:firstLine="420"/>
        <w:rPr>
          <w:rFonts w:eastAsia="宋体" w:hint="eastAsia"/>
          <w:kern w:val="0"/>
        </w:rPr>
      </w:pPr>
      <w:r>
        <w:rPr>
          <w:rFonts w:eastAsia="宋体" w:hint="eastAsia"/>
          <w:kern w:val="0"/>
        </w:rPr>
        <w:t>经县级以上公安机关负责人批准，侦查人员可以</w:t>
      </w:r>
      <w:r>
        <w:rPr>
          <w:rFonts w:eastAsia="宋体" w:hint="eastAsia"/>
          <w:color w:val="FF0000"/>
          <w:kern w:val="0"/>
        </w:rPr>
        <w:t>对犯罪嫌疑人以及可能隐藏罪犯或者犯罪证据的人的身体、物品、住处和其他有关的地方</w:t>
      </w:r>
      <w:r>
        <w:rPr>
          <w:rFonts w:eastAsia="宋体" w:hint="eastAsia"/>
          <w:kern w:val="0"/>
        </w:rPr>
        <w:t>进行搜查。</w:t>
      </w:r>
    </w:p>
    <w:p w14:paraId="6F5E5166" w14:textId="77777777" w:rsidR="00995C3A" w:rsidRDefault="00995C3A" w:rsidP="00995C3A">
      <w:pPr>
        <w:spacing w:line="240" w:lineRule="exact"/>
        <w:ind w:firstLine="420"/>
        <w:rPr>
          <w:rFonts w:eastAsia="宋体" w:hint="eastAsia"/>
          <w:kern w:val="0"/>
        </w:rPr>
      </w:pPr>
      <w:r>
        <w:rPr>
          <w:rFonts w:eastAsia="宋体" w:hint="eastAsia"/>
        </w:rPr>
        <w:t>（二）紧急情况下的“无证搜查”</w:t>
      </w:r>
    </w:p>
    <w:p w14:paraId="1065AD92" w14:textId="6007AC0C" w:rsidR="00995C3A" w:rsidRDefault="00995C3A" w:rsidP="00995C3A">
      <w:pPr>
        <w:spacing w:line="240" w:lineRule="exact"/>
        <w:ind w:firstLine="420"/>
        <w:rPr>
          <w:rFonts w:eastAsia="宋体" w:hint="eastAsia"/>
          <w:kern w:val="0"/>
        </w:rPr>
      </w:pPr>
      <w:r>
        <w:rPr>
          <w:rFonts w:eastAsia="宋体" w:hint="eastAsia"/>
          <w:color w:val="FF0000"/>
          <w:kern w:val="0"/>
        </w:rPr>
        <w:t>执行拘留、逮捕</w:t>
      </w:r>
      <w:r>
        <w:rPr>
          <w:rFonts w:eastAsia="宋体" w:hint="eastAsia"/>
          <w:kern w:val="0"/>
        </w:rPr>
        <w:t>的时候，遇有下列</w:t>
      </w:r>
      <w:r>
        <w:rPr>
          <w:rFonts w:eastAsia="宋体" w:hint="eastAsia"/>
          <w:color w:val="FF0000"/>
          <w:kern w:val="0"/>
        </w:rPr>
        <w:t>紧急情况</w:t>
      </w:r>
      <w:r>
        <w:rPr>
          <w:rFonts w:eastAsia="宋体" w:hint="eastAsia"/>
          <w:kern w:val="0"/>
        </w:rPr>
        <w:t>之一的，不用搜查证也可以进行搜查：</w:t>
      </w:r>
      <w:r w:rsidR="000259EA">
        <w:rPr>
          <w:rFonts w:eastAsia="宋体" w:hint="eastAsia"/>
          <w:kern w:val="0"/>
        </w:rPr>
        <w:t>1.</w:t>
      </w:r>
      <w:r>
        <w:rPr>
          <w:rFonts w:eastAsia="宋体" w:hint="eastAsia"/>
          <w:kern w:val="0"/>
        </w:rPr>
        <w:t>可能随身携带凶器的；</w:t>
      </w:r>
      <w:r w:rsidR="000259EA">
        <w:rPr>
          <w:rFonts w:eastAsia="宋体" w:hint="eastAsia"/>
          <w:kern w:val="0"/>
        </w:rPr>
        <w:t>2.</w:t>
      </w:r>
      <w:r>
        <w:rPr>
          <w:rFonts w:eastAsia="宋体" w:hint="eastAsia"/>
          <w:kern w:val="0"/>
        </w:rPr>
        <w:t>可能隐藏爆炸、剧毒等危险物品的；</w:t>
      </w:r>
      <w:r w:rsidR="000259EA">
        <w:rPr>
          <w:rFonts w:eastAsia="宋体" w:hint="eastAsia"/>
          <w:kern w:val="0"/>
        </w:rPr>
        <w:t>3.</w:t>
      </w:r>
      <w:r>
        <w:rPr>
          <w:rFonts w:eastAsia="宋体" w:hint="eastAsia"/>
          <w:kern w:val="0"/>
        </w:rPr>
        <w:t>可能隐匿、毁弃、转移犯罪证据的；</w:t>
      </w:r>
      <w:r w:rsidR="000259EA">
        <w:rPr>
          <w:rFonts w:eastAsia="宋体" w:hint="eastAsia"/>
          <w:kern w:val="0"/>
        </w:rPr>
        <w:t>4.</w:t>
      </w:r>
      <w:r>
        <w:rPr>
          <w:rFonts w:eastAsia="宋体" w:hint="eastAsia"/>
          <w:kern w:val="0"/>
        </w:rPr>
        <w:t>可能隐匿其他犯罪嫌疑人的；</w:t>
      </w:r>
      <w:r w:rsidR="000259EA">
        <w:rPr>
          <w:rFonts w:eastAsia="宋体" w:hint="eastAsia"/>
          <w:kern w:val="0"/>
        </w:rPr>
        <w:t>5.</w:t>
      </w:r>
      <w:r>
        <w:rPr>
          <w:rFonts w:eastAsia="宋体" w:hint="eastAsia"/>
          <w:kern w:val="0"/>
        </w:rPr>
        <w:t>其他突然发生的紧急情况。</w:t>
      </w:r>
    </w:p>
    <w:p w14:paraId="27C062BA" w14:textId="77777777" w:rsidR="00995C3A" w:rsidRDefault="00995C3A" w:rsidP="00995C3A">
      <w:pPr>
        <w:spacing w:line="240" w:lineRule="exact"/>
        <w:ind w:firstLine="420"/>
        <w:rPr>
          <w:rFonts w:eastAsia="宋体" w:hint="eastAsia"/>
          <w:kern w:val="0"/>
        </w:rPr>
      </w:pPr>
      <w:r>
        <w:rPr>
          <w:rFonts w:eastAsia="宋体" w:hint="eastAsia"/>
        </w:rPr>
        <w:t>（三）搜查的程序</w:t>
      </w:r>
    </w:p>
    <w:p w14:paraId="1A984540" w14:textId="77777777" w:rsidR="00995C3A" w:rsidRDefault="00995C3A" w:rsidP="00995C3A">
      <w:pPr>
        <w:spacing w:line="240" w:lineRule="exact"/>
        <w:ind w:firstLine="420"/>
        <w:rPr>
          <w:rFonts w:eastAsia="宋体" w:hint="eastAsia"/>
          <w:kern w:val="0"/>
        </w:rPr>
      </w:pPr>
      <w:r>
        <w:rPr>
          <w:rFonts w:eastAsia="宋体" w:hint="eastAsia"/>
          <w:kern w:val="0"/>
        </w:rPr>
        <w:t>1.进行搜查时，应当有</w:t>
      </w:r>
      <w:r>
        <w:rPr>
          <w:rFonts w:eastAsia="宋体" w:hint="eastAsia"/>
          <w:color w:val="FF0000"/>
          <w:kern w:val="0"/>
        </w:rPr>
        <w:t>被搜查人或者他的家属、邻居或者其他见证人</w:t>
      </w:r>
      <w:r>
        <w:rPr>
          <w:rFonts w:eastAsia="宋体" w:hint="eastAsia"/>
          <w:kern w:val="0"/>
        </w:rPr>
        <w:t>在场。</w:t>
      </w:r>
    </w:p>
    <w:p w14:paraId="5EA56D42" w14:textId="77777777" w:rsidR="00995C3A" w:rsidRDefault="00995C3A" w:rsidP="00995C3A">
      <w:pPr>
        <w:spacing w:line="240" w:lineRule="exact"/>
        <w:ind w:firstLine="420"/>
        <w:rPr>
          <w:rFonts w:eastAsia="宋体" w:hint="eastAsia"/>
          <w:kern w:val="0"/>
        </w:rPr>
      </w:pPr>
      <w:r>
        <w:rPr>
          <w:rFonts w:eastAsia="宋体" w:hint="eastAsia"/>
          <w:kern w:val="0"/>
        </w:rPr>
        <w:t>2.搜查的情况应当制作笔录，由</w:t>
      </w:r>
      <w:r>
        <w:rPr>
          <w:rFonts w:eastAsia="宋体" w:hint="eastAsia"/>
          <w:color w:val="FF0000"/>
          <w:kern w:val="0"/>
        </w:rPr>
        <w:t>侦查人员和被搜查人或者他的家属，邻居或者其他见证人签名</w:t>
      </w:r>
      <w:r>
        <w:rPr>
          <w:rFonts w:eastAsia="宋体" w:hint="eastAsia"/>
          <w:kern w:val="0"/>
        </w:rPr>
        <w:t>。如果被搜查人拒绝签名，或者被搜查人在逃，他的家属拒绝签名或者不在场的，侦查人员应当在笔录中注明。</w:t>
      </w:r>
    </w:p>
    <w:p w14:paraId="0B5D61FC" w14:textId="77777777" w:rsidR="00995C3A" w:rsidRDefault="00995C3A" w:rsidP="00995C3A">
      <w:pPr>
        <w:spacing w:line="240" w:lineRule="exact"/>
        <w:ind w:firstLine="420"/>
        <w:rPr>
          <w:rFonts w:eastAsia="宋体" w:hint="eastAsia"/>
          <w:kern w:val="0"/>
        </w:rPr>
      </w:pPr>
      <w:r>
        <w:rPr>
          <w:rFonts w:eastAsia="宋体" w:hint="eastAsia"/>
          <w:kern w:val="0"/>
        </w:rPr>
        <w:t>3.搜查妇女的身体，应当由女工作人员进行。</w:t>
      </w:r>
    </w:p>
    <w:p w14:paraId="1884AE55" w14:textId="77777777" w:rsidR="00995C3A" w:rsidRDefault="00995C3A" w:rsidP="00995C3A">
      <w:pPr>
        <w:pStyle w:val="1"/>
        <w:spacing w:before="0" w:line="240" w:lineRule="exact"/>
        <w:ind w:firstLineChars="200" w:firstLine="420"/>
        <w:jc w:val="both"/>
        <w:rPr>
          <w:rFonts w:ascii="宋体" w:eastAsia="宋体" w:hAnsi="宋体" w:hint="eastAsia"/>
          <w:sz w:val="21"/>
          <w:szCs w:val="21"/>
        </w:rPr>
      </w:pPr>
      <w:bookmarkStart w:id="5" w:name="_Toc64384704"/>
      <w:bookmarkStart w:id="6" w:name="_Toc126331797"/>
      <w:r>
        <w:rPr>
          <w:rFonts w:ascii="宋体" w:eastAsia="宋体" w:hAnsi="宋体" w:hint="eastAsia"/>
          <w:color w:val="auto"/>
          <w:sz w:val="21"/>
          <w:szCs w:val="21"/>
        </w:rPr>
        <w:t>二、查封、扣押、查询和冻结</w:t>
      </w:r>
      <w:bookmarkEnd w:id="5"/>
      <w:bookmarkEnd w:id="6"/>
    </w:p>
    <w:p w14:paraId="3520A5AE" w14:textId="77777777" w:rsidR="00995C3A" w:rsidRDefault="00995C3A" w:rsidP="00995C3A">
      <w:pPr>
        <w:pStyle w:val="3"/>
        <w:spacing w:line="240" w:lineRule="exact"/>
        <w:ind w:firstLineChars="200" w:firstLine="420"/>
        <w:rPr>
          <w:rFonts w:eastAsia="宋体" w:hint="eastAsia"/>
          <w:sz w:val="21"/>
        </w:rPr>
      </w:pPr>
      <w:r>
        <w:rPr>
          <w:rFonts w:eastAsia="宋体" w:hint="eastAsia"/>
          <w:sz w:val="21"/>
        </w:rPr>
        <w:t>（一）查封和扣押</w:t>
      </w:r>
    </w:p>
    <w:p w14:paraId="0C04FBF7" w14:textId="76F2CA2F" w:rsidR="005E73AA" w:rsidRPr="005E73AA" w:rsidRDefault="005E73AA" w:rsidP="005E73AA">
      <w:pPr>
        <w:spacing w:line="240" w:lineRule="exact"/>
        <w:ind w:firstLine="420"/>
        <w:rPr>
          <w:rFonts w:eastAsia="宋体" w:hint="eastAsia"/>
          <w:kern w:val="0"/>
        </w:rPr>
      </w:pPr>
      <w:r>
        <w:rPr>
          <w:rFonts w:eastAsia="宋体" w:hint="eastAsia"/>
          <w:kern w:val="0"/>
        </w:rPr>
        <w:t>1.</w:t>
      </w:r>
      <w:r w:rsidRPr="005E73AA">
        <w:rPr>
          <w:rFonts w:eastAsia="宋体" w:hint="eastAsia"/>
          <w:kern w:val="0"/>
        </w:rPr>
        <w:t>对象：在侦查活动中发现的可用以证明嫌疑人有罪或者无罪的各种财物、文件</w:t>
      </w:r>
    </w:p>
    <w:p w14:paraId="3642E35C" w14:textId="47683AF9" w:rsidR="005E73AA" w:rsidRPr="005E73AA" w:rsidRDefault="005E73AA" w:rsidP="005E73AA">
      <w:pPr>
        <w:spacing w:line="240" w:lineRule="exact"/>
        <w:ind w:firstLine="420"/>
        <w:rPr>
          <w:rFonts w:eastAsia="宋体" w:hint="eastAsia"/>
          <w:kern w:val="0"/>
        </w:rPr>
      </w:pPr>
      <w:r>
        <w:rPr>
          <w:rFonts w:eastAsia="宋体" w:hint="eastAsia"/>
          <w:kern w:val="0"/>
        </w:rPr>
        <w:t>2.</w:t>
      </w:r>
      <w:r w:rsidRPr="005E73AA">
        <w:rPr>
          <w:rFonts w:eastAsia="宋体" w:hint="eastAsia"/>
          <w:kern w:val="0"/>
        </w:rPr>
        <w:t>手续：</w:t>
      </w:r>
    </w:p>
    <w:p w14:paraId="3F1915D7" w14:textId="77777777" w:rsidR="005E73AA" w:rsidRPr="005E73AA" w:rsidRDefault="005E73AA" w:rsidP="005E73AA">
      <w:pPr>
        <w:spacing w:line="240" w:lineRule="exact"/>
        <w:ind w:firstLine="420"/>
        <w:rPr>
          <w:rFonts w:eastAsia="宋体" w:hint="eastAsia"/>
          <w:kern w:val="0"/>
        </w:rPr>
      </w:pPr>
      <w:r w:rsidRPr="005E73AA">
        <w:rPr>
          <w:rFonts w:eastAsia="宋体" w:hint="eastAsia"/>
          <w:kern w:val="0"/>
        </w:rPr>
        <w:t>（1）</w:t>
      </w:r>
      <w:r w:rsidRPr="009B75DE">
        <w:rPr>
          <w:rFonts w:eastAsia="宋体" w:hint="eastAsia"/>
          <w:color w:val="EE0000"/>
          <w:kern w:val="0"/>
        </w:rPr>
        <w:t>扣押决定书</w:t>
      </w:r>
      <w:r w:rsidRPr="005E73AA">
        <w:rPr>
          <w:rFonts w:eastAsia="宋体" w:hint="eastAsia"/>
          <w:kern w:val="0"/>
        </w:rPr>
        <w:t>：在侦查过程中需要</w:t>
      </w:r>
      <w:r w:rsidRPr="009B75DE">
        <w:rPr>
          <w:rFonts w:eastAsia="宋体" w:hint="eastAsia"/>
          <w:color w:val="EE0000"/>
          <w:kern w:val="0"/>
        </w:rPr>
        <w:t>扣押财物、文件</w:t>
      </w:r>
      <w:r w:rsidRPr="005E73AA">
        <w:rPr>
          <w:rFonts w:eastAsia="宋体" w:hint="eastAsia"/>
          <w:kern w:val="0"/>
        </w:rPr>
        <w:t>的，应当经办案部门负责人批准，制作扣押决定书；在现场勘查或者搜查中需要扣押财物、文件的，由现场指挥人员决定；但扣押财物、文件价值较高或者可能严重影响正常生产经营的，应当经县级以上公安机关负责人批准，制作扣押决定书。</w:t>
      </w:r>
    </w:p>
    <w:p w14:paraId="4067B5A4" w14:textId="77777777" w:rsidR="005E73AA" w:rsidRPr="005E73AA" w:rsidRDefault="005E73AA" w:rsidP="005E73AA">
      <w:pPr>
        <w:spacing w:line="240" w:lineRule="exact"/>
        <w:ind w:firstLine="420"/>
        <w:rPr>
          <w:rFonts w:eastAsia="宋体" w:hint="eastAsia"/>
          <w:kern w:val="0"/>
        </w:rPr>
      </w:pPr>
      <w:r w:rsidRPr="005E73AA">
        <w:rPr>
          <w:rFonts w:eastAsia="宋体" w:hint="eastAsia"/>
          <w:kern w:val="0"/>
        </w:rPr>
        <w:t>（2）查封决定书：在侦查过程中需要查封</w:t>
      </w:r>
      <w:r w:rsidRPr="009B75DE">
        <w:rPr>
          <w:rFonts w:eastAsia="宋体" w:hint="eastAsia"/>
          <w:color w:val="EE0000"/>
          <w:kern w:val="0"/>
        </w:rPr>
        <w:t>土地、房屋等不动产</w:t>
      </w:r>
      <w:r w:rsidRPr="005E73AA">
        <w:rPr>
          <w:rFonts w:eastAsia="宋体" w:hint="eastAsia"/>
          <w:kern w:val="0"/>
        </w:rPr>
        <w:t>，或者船舶、航空器以及其他不宜移动的大型机器、设备等特定动产的，应当经县级以上公安机关负责人批准并制作查封决定书。</w:t>
      </w:r>
    </w:p>
    <w:p w14:paraId="65B03AEE" w14:textId="77777777" w:rsidR="005E73AA" w:rsidRPr="005E73AA" w:rsidRDefault="005E73AA" w:rsidP="005E73AA">
      <w:pPr>
        <w:spacing w:line="240" w:lineRule="exact"/>
        <w:ind w:firstLine="420"/>
        <w:rPr>
          <w:rFonts w:eastAsia="宋体" w:hint="eastAsia"/>
          <w:kern w:val="0"/>
        </w:rPr>
      </w:pPr>
      <w:r w:rsidRPr="005E73AA">
        <w:rPr>
          <w:rFonts w:eastAsia="宋体" w:hint="eastAsia"/>
          <w:kern w:val="0"/>
        </w:rPr>
        <w:t>3．程序：制作笔录和清单：查封、扣押的情况应当制作笔录，由</w:t>
      </w:r>
      <w:r w:rsidRPr="009B75DE">
        <w:rPr>
          <w:rFonts w:eastAsia="宋体" w:hint="eastAsia"/>
          <w:color w:val="EE0000"/>
          <w:kern w:val="0"/>
        </w:rPr>
        <w:t>侦查人员、持有人和见证人签名</w:t>
      </w:r>
      <w:r w:rsidRPr="005E73AA">
        <w:rPr>
          <w:rFonts w:eastAsia="宋体" w:hint="eastAsia"/>
          <w:kern w:val="0"/>
        </w:rPr>
        <w:t>。对于无法确定持有人或者持有人拒绝签名的，侦查人员应当在笔录中注明。对查封、扣押的财物和文件，应当会同在场见证人和被查封、扣押财物、文件的持有人查点清楚，当场开列查封、扣押清单一式三份。</w:t>
      </w:r>
    </w:p>
    <w:p w14:paraId="4AE9AAE0" w14:textId="34D19AF2" w:rsidR="00C31178" w:rsidRPr="005E73AA" w:rsidRDefault="005E73AA" w:rsidP="005E73AA">
      <w:pPr>
        <w:spacing w:line="240" w:lineRule="exact"/>
        <w:ind w:firstLine="420"/>
        <w:rPr>
          <w:rFonts w:eastAsia="宋体" w:hint="eastAsia"/>
          <w:color w:val="EE0000"/>
          <w:kern w:val="0"/>
        </w:rPr>
      </w:pPr>
      <w:r w:rsidRPr="005E73AA">
        <w:rPr>
          <w:rFonts w:eastAsia="宋体" w:hint="eastAsia"/>
          <w:kern w:val="0"/>
        </w:rPr>
        <w:t>4．返还被害人：</w:t>
      </w:r>
      <w:r w:rsidRPr="005E73AA">
        <w:rPr>
          <w:rFonts w:eastAsia="宋体" w:hint="eastAsia"/>
          <w:color w:val="EE0000"/>
          <w:kern w:val="0"/>
        </w:rPr>
        <w:t>有关犯罪事实查证属实后，对于有证据证明权属明确且无争议的被害人合法财产及其孳息</w:t>
      </w:r>
      <w:r w:rsidRPr="005E73AA">
        <w:rPr>
          <w:rFonts w:eastAsia="宋体" w:hint="eastAsia"/>
          <w:kern w:val="0"/>
        </w:rPr>
        <w:t>，且返还不损害其他被害人或者利害关系人的利益，不影响案件正常办理的，应当在登记、拍照或者录音录像和估价后，报经县级以上公安机关负责人批准，开具发还清单返还，查找不到被害人，或者通知被害人后，无人领取的，</w:t>
      </w:r>
      <w:r w:rsidRPr="005E73AA">
        <w:rPr>
          <w:rFonts w:eastAsia="宋体" w:hint="eastAsia"/>
          <w:color w:val="EE0000"/>
          <w:kern w:val="0"/>
        </w:rPr>
        <w:t>应当将有关财产及其孳息随案移送。</w:t>
      </w:r>
    </w:p>
    <w:p w14:paraId="682329AB" w14:textId="77777777" w:rsidR="00995C3A" w:rsidRDefault="00995C3A" w:rsidP="00995C3A">
      <w:pPr>
        <w:spacing w:line="240" w:lineRule="exact"/>
        <w:ind w:firstLine="420"/>
        <w:rPr>
          <w:rFonts w:eastAsia="宋体" w:hint="eastAsia"/>
          <w:kern w:val="0"/>
        </w:rPr>
      </w:pPr>
      <w:r>
        <w:rPr>
          <w:rFonts w:eastAsia="宋体" w:hint="eastAsia"/>
        </w:rPr>
        <w:t>（二）查询和冻结</w:t>
      </w:r>
    </w:p>
    <w:p w14:paraId="28027118" w14:textId="77777777" w:rsidR="00995C3A" w:rsidRDefault="00995C3A" w:rsidP="00995C3A">
      <w:pPr>
        <w:spacing w:line="240" w:lineRule="exact"/>
        <w:ind w:firstLine="420"/>
        <w:rPr>
          <w:rFonts w:eastAsia="宋体" w:hint="eastAsia"/>
          <w:kern w:val="0"/>
        </w:rPr>
      </w:pPr>
      <w:r>
        <w:rPr>
          <w:rFonts w:eastAsia="宋体" w:hint="eastAsia"/>
          <w:color w:val="FF0000"/>
          <w:kern w:val="0"/>
        </w:rPr>
        <w:t>不得重复冻结，但可以轮候冻结</w:t>
      </w:r>
      <w:r>
        <w:rPr>
          <w:rFonts w:eastAsia="宋体" w:hint="eastAsia"/>
          <w:kern w:val="0"/>
        </w:rPr>
        <w:t>。</w:t>
      </w:r>
    </w:p>
    <w:p w14:paraId="00B975BF" w14:textId="77777777" w:rsidR="00995C3A" w:rsidRDefault="00995C3A" w:rsidP="00995C3A">
      <w:pPr>
        <w:pStyle w:val="1"/>
        <w:spacing w:before="0" w:line="240" w:lineRule="exact"/>
        <w:ind w:firstLineChars="200" w:firstLine="420"/>
        <w:jc w:val="both"/>
        <w:rPr>
          <w:rFonts w:ascii="宋体" w:eastAsia="宋体" w:hAnsi="宋体" w:hint="eastAsia"/>
          <w:bCs w:val="0"/>
          <w:color w:val="auto"/>
          <w:sz w:val="21"/>
          <w:szCs w:val="21"/>
        </w:rPr>
      </w:pPr>
      <w:bookmarkStart w:id="7" w:name="_Toc64384705"/>
      <w:bookmarkStart w:id="8" w:name="_Toc126331798"/>
      <w:r>
        <w:rPr>
          <w:rFonts w:ascii="宋体" w:eastAsia="宋体" w:hAnsi="宋体" w:hint="eastAsia"/>
          <w:bCs w:val="0"/>
          <w:color w:val="auto"/>
          <w:sz w:val="21"/>
          <w:szCs w:val="21"/>
        </w:rPr>
        <w:t>三、通缉</w:t>
      </w:r>
      <w:bookmarkEnd w:id="7"/>
      <w:bookmarkEnd w:id="8"/>
    </w:p>
    <w:p w14:paraId="65E6D390" w14:textId="0B8B1413" w:rsidR="00995C3A" w:rsidRDefault="00995C3A" w:rsidP="00995C3A">
      <w:pPr>
        <w:pStyle w:val="3"/>
        <w:spacing w:line="240" w:lineRule="exact"/>
        <w:ind w:firstLineChars="200" w:firstLine="420"/>
        <w:rPr>
          <w:rFonts w:eastAsia="宋体" w:hint="eastAsia"/>
          <w:sz w:val="21"/>
        </w:rPr>
      </w:pPr>
      <w:r>
        <w:rPr>
          <w:rFonts w:eastAsia="宋体" w:hint="eastAsia"/>
          <w:sz w:val="21"/>
        </w:rPr>
        <w:t>（一）对象</w:t>
      </w:r>
    </w:p>
    <w:p w14:paraId="634F1779" w14:textId="77777777" w:rsidR="00995C3A" w:rsidRDefault="00995C3A" w:rsidP="00995C3A">
      <w:pPr>
        <w:spacing w:line="240" w:lineRule="exact"/>
        <w:ind w:firstLine="420"/>
        <w:rPr>
          <w:rFonts w:eastAsia="宋体" w:hint="eastAsia"/>
          <w:color w:val="FF0000"/>
        </w:rPr>
      </w:pPr>
      <w:r>
        <w:rPr>
          <w:rFonts w:eastAsia="宋体" w:hint="eastAsia"/>
          <w:color w:val="FF0000"/>
        </w:rPr>
        <w:t>注意：必须满足逮捕的条件。</w:t>
      </w:r>
    </w:p>
    <w:p w14:paraId="6C44724B" w14:textId="77777777" w:rsidR="00995C3A" w:rsidRDefault="00995C3A" w:rsidP="00995C3A">
      <w:pPr>
        <w:pStyle w:val="3"/>
        <w:spacing w:line="240" w:lineRule="exact"/>
        <w:ind w:firstLineChars="200" w:firstLine="420"/>
        <w:rPr>
          <w:rFonts w:eastAsia="宋体" w:hint="eastAsia"/>
          <w:sz w:val="21"/>
        </w:rPr>
      </w:pPr>
      <w:r>
        <w:rPr>
          <w:rFonts w:eastAsia="宋体" w:hint="eastAsia"/>
          <w:sz w:val="21"/>
        </w:rPr>
        <w:t>（二）通缉的决定</w:t>
      </w:r>
    </w:p>
    <w:p w14:paraId="18E19252" w14:textId="77777777" w:rsidR="00995C3A" w:rsidRDefault="00995C3A" w:rsidP="00995C3A">
      <w:pPr>
        <w:spacing w:line="240" w:lineRule="exact"/>
        <w:ind w:firstLine="420"/>
        <w:rPr>
          <w:rFonts w:eastAsia="宋体" w:hint="eastAsia"/>
        </w:rPr>
      </w:pPr>
      <w:r>
        <w:rPr>
          <w:rFonts w:eastAsia="宋体" w:hint="eastAsia"/>
          <w:color w:val="FF0000"/>
        </w:rPr>
        <w:t>公、检及监察机关</w:t>
      </w:r>
      <w:r>
        <w:rPr>
          <w:rFonts w:eastAsia="宋体" w:hint="eastAsia"/>
        </w:rPr>
        <w:t>都可以作出通缉的决定。</w:t>
      </w:r>
    </w:p>
    <w:p w14:paraId="20B71CFF" w14:textId="77777777" w:rsidR="00995C3A" w:rsidRDefault="00995C3A" w:rsidP="00995C3A">
      <w:pPr>
        <w:pStyle w:val="3"/>
        <w:spacing w:line="240" w:lineRule="exact"/>
        <w:ind w:firstLineChars="200" w:firstLine="420"/>
        <w:rPr>
          <w:rFonts w:eastAsia="宋体" w:hint="eastAsia"/>
          <w:sz w:val="21"/>
        </w:rPr>
      </w:pPr>
      <w:r>
        <w:rPr>
          <w:rFonts w:eastAsia="宋体" w:hint="eastAsia"/>
          <w:sz w:val="21"/>
        </w:rPr>
        <w:t>（三）通缉令的发布</w:t>
      </w:r>
    </w:p>
    <w:p w14:paraId="369784F9" w14:textId="77777777" w:rsidR="007F0888" w:rsidRDefault="00995C3A" w:rsidP="007F0888">
      <w:pPr>
        <w:spacing w:line="240" w:lineRule="exact"/>
        <w:ind w:firstLine="420"/>
        <w:rPr>
          <w:rFonts w:eastAsia="宋体" w:hint="eastAsia"/>
        </w:rPr>
      </w:pPr>
      <w:r>
        <w:rPr>
          <w:rFonts w:eastAsia="宋体" w:hint="eastAsia"/>
          <w:color w:val="FF0000"/>
        </w:rPr>
        <w:t>只能由公安机关发布</w:t>
      </w:r>
      <w:r>
        <w:rPr>
          <w:rFonts w:eastAsia="宋体" w:hint="eastAsia"/>
        </w:rPr>
        <w:t>。县级以上公安机关在</w:t>
      </w:r>
      <w:r>
        <w:rPr>
          <w:rFonts w:eastAsia="宋体" w:hint="eastAsia"/>
          <w:color w:val="FF0000"/>
        </w:rPr>
        <w:t>自己管辖的地区内</w:t>
      </w:r>
      <w:r>
        <w:rPr>
          <w:rFonts w:eastAsia="宋体" w:hint="eastAsia"/>
        </w:rPr>
        <w:t>，可以直接发布通缉令；超出自己管辖的地区，应当报请有权决定的上级公安机关发布。</w:t>
      </w:r>
    </w:p>
    <w:p w14:paraId="63E01C16" w14:textId="62962F0A" w:rsidR="00167803" w:rsidRPr="007F0888" w:rsidRDefault="00995C3A" w:rsidP="007F0888">
      <w:pPr>
        <w:spacing w:line="240" w:lineRule="exact"/>
        <w:ind w:firstLine="422"/>
        <w:rPr>
          <w:rFonts w:eastAsia="宋体" w:hint="eastAsia"/>
        </w:rPr>
      </w:pPr>
      <w:r>
        <w:rPr>
          <w:rFonts w:eastAsia="宋体" w:hint="eastAsia"/>
          <w:b/>
          <w:color w:val="auto"/>
        </w:rPr>
        <w:t>四、</w:t>
      </w:r>
      <w:r>
        <w:rPr>
          <w:rFonts w:eastAsia="宋体"/>
          <w:b/>
          <w:color w:val="auto"/>
        </w:rPr>
        <w:t xml:space="preserve"> </w:t>
      </w:r>
      <w:r>
        <w:rPr>
          <w:rFonts w:eastAsia="宋体" w:hint="eastAsia"/>
          <w:b/>
          <w:color w:val="auto"/>
        </w:rPr>
        <w:t>补充侦查</w:t>
      </w:r>
      <w:bookmarkEnd w:id="0"/>
      <w:bookmarkEnd w:id="1"/>
      <w:bookmarkEnd w:id="2"/>
      <w:bookmarkEnd w:id="3"/>
    </w:p>
    <w:p w14:paraId="27A25EDF" w14:textId="7654D77E" w:rsidR="00167803" w:rsidRDefault="003A6416">
      <w:pPr>
        <w:pStyle w:val="3"/>
        <w:spacing w:line="240" w:lineRule="exact"/>
        <w:ind w:firstLineChars="200" w:firstLine="420"/>
        <w:rPr>
          <w:rFonts w:eastAsia="宋体" w:hint="eastAsia"/>
          <w:sz w:val="21"/>
        </w:rPr>
      </w:pPr>
      <w:bookmarkStart w:id="9" w:name="_Toc510879075"/>
      <w:r>
        <w:rPr>
          <w:rFonts w:eastAsia="宋体" w:hint="eastAsia"/>
          <w:sz w:val="21"/>
        </w:rPr>
        <w:t>（一）审查逮捕阶段的补充侦查</w:t>
      </w:r>
      <w:bookmarkEnd w:id="9"/>
    </w:p>
    <w:p w14:paraId="1B1E538D" w14:textId="77777777" w:rsidR="00167803" w:rsidRDefault="00000000">
      <w:pPr>
        <w:spacing w:line="240" w:lineRule="exact"/>
        <w:ind w:firstLine="420"/>
        <w:rPr>
          <w:rFonts w:eastAsia="宋体" w:hint="eastAsia"/>
          <w:kern w:val="0"/>
        </w:rPr>
      </w:pPr>
      <w:r>
        <w:rPr>
          <w:rFonts w:eastAsia="宋体" w:hint="eastAsia"/>
          <w:kern w:val="0"/>
        </w:rPr>
        <w:t>人民检察院对于公安机关提请批准逮捕的案件进行审查后，应当根据情况分别作出批准逮捕或者不批准逮捕的决定。对于不批准逮捕的，人民检察院应当说明理由，</w:t>
      </w:r>
      <w:r>
        <w:rPr>
          <w:rFonts w:eastAsia="宋体" w:hint="eastAsia"/>
          <w:color w:val="FF0000"/>
          <w:kern w:val="0"/>
        </w:rPr>
        <w:t>需要补充侦查的，应当同时通知公安机关，而不能自行侦查。</w:t>
      </w:r>
    </w:p>
    <w:p w14:paraId="75780716" w14:textId="77777777" w:rsidR="00167803" w:rsidRDefault="00000000">
      <w:pPr>
        <w:spacing w:line="240" w:lineRule="exact"/>
        <w:ind w:firstLine="420"/>
        <w:rPr>
          <w:rFonts w:eastAsia="宋体" w:hint="eastAsia"/>
          <w:kern w:val="0"/>
        </w:rPr>
      </w:pPr>
      <w:r>
        <w:rPr>
          <w:rFonts w:eastAsia="宋体" w:hint="eastAsia"/>
          <w:kern w:val="0"/>
        </w:rPr>
        <w:t>人民检察院作出不批准逮捕决定，并且通知公安机关补充侦查的案件，公安机关在补充侦查后又提请复议的，</w:t>
      </w:r>
      <w:r>
        <w:rPr>
          <w:rFonts w:eastAsia="宋体" w:hint="eastAsia"/>
          <w:color w:val="FF0000"/>
          <w:kern w:val="0"/>
        </w:rPr>
        <w:t>人民检察院应当告知公安机关重新提请批准逮捕</w:t>
      </w:r>
      <w:r>
        <w:rPr>
          <w:rFonts w:eastAsia="宋体" w:hint="eastAsia"/>
          <w:kern w:val="0"/>
        </w:rPr>
        <w:t>。公安机关坚持复议的，人民检察院不予受理。也即</w:t>
      </w:r>
      <w:r>
        <w:rPr>
          <w:rFonts w:eastAsia="宋体" w:hint="eastAsia"/>
          <w:color w:val="FF0000"/>
          <w:kern w:val="0"/>
        </w:rPr>
        <w:t>公安机关补充侦查后只能重新提请批准逮捕，不能提请复议</w:t>
      </w:r>
      <w:r>
        <w:rPr>
          <w:rFonts w:eastAsia="宋体" w:hint="eastAsia"/>
          <w:kern w:val="0"/>
        </w:rPr>
        <w:t>。</w:t>
      </w:r>
    </w:p>
    <w:p w14:paraId="18B4C00B" w14:textId="05541B10" w:rsidR="00167803" w:rsidRDefault="003A6416">
      <w:pPr>
        <w:pStyle w:val="3"/>
        <w:spacing w:line="240" w:lineRule="exact"/>
        <w:ind w:firstLineChars="200" w:firstLine="420"/>
        <w:rPr>
          <w:rFonts w:eastAsia="宋体" w:hint="eastAsia"/>
          <w:sz w:val="21"/>
        </w:rPr>
      </w:pPr>
      <w:bookmarkStart w:id="10" w:name="_Toc510879076"/>
      <w:r>
        <w:rPr>
          <w:rFonts w:eastAsia="宋体" w:hint="eastAsia"/>
          <w:sz w:val="21"/>
        </w:rPr>
        <w:t>（二）审查起诉阶段的补充侦查</w:t>
      </w:r>
      <w:bookmarkEnd w:id="10"/>
    </w:p>
    <w:p w14:paraId="693832F2" w14:textId="77777777" w:rsidR="00167803" w:rsidRDefault="00000000">
      <w:pPr>
        <w:spacing w:line="240" w:lineRule="exact"/>
        <w:ind w:firstLine="420"/>
        <w:rPr>
          <w:rFonts w:eastAsia="宋体" w:hint="eastAsia"/>
        </w:rPr>
      </w:pPr>
      <w:r>
        <w:rPr>
          <w:rFonts w:eastAsia="宋体"/>
        </w:rPr>
        <w:t>人民检察院审查案件对于需要补充侦查的，可以退回公安补充侦查，也可以自行侦查</w:t>
      </w:r>
      <w:r>
        <w:rPr>
          <w:rFonts w:eastAsia="宋体" w:hint="eastAsia"/>
        </w:rPr>
        <w:t>。</w:t>
      </w:r>
    </w:p>
    <w:p w14:paraId="2C075CA9" w14:textId="21407762" w:rsidR="00167803" w:rsidRDefault="003A6416">
      <w:pPr>
        <w:pStyle w:val="3"/>
        <w:spacing w:line="240" w:lineRule="exact"/>
        <w:ind w:firstLineChars="200" w:firstLine="420"/>
        <w:rPr>
          <w:rFonts w:eastAsia="宋体" w:hint="eastAsia"/>
          <w:sz w:val="21"/>
        </w:rPr>
      </w:pPr>
      <w:bookmarkStart w:id="11" w:name="_Toc510879077"/>
      <w:r>
        <w:rPr>
          <w:rFonts w:eastAsia="宋体" w:hint="eastAsia"/>
          <w:sz w:val="21"/>
        </w:rPr>
        <w:t>（三）法庭审理阶段的补充侦查</w:t>
      </w:r>
      <w:bookmarkEnd w:id="11"/>
    </w:p>
    <w:p w14:paraId="317A84B4" w14:textId="77777777" w:rsidR="00167803" w:rsidRDefault="00000000">
      <w:pPr>
        <w:spacing w:line="240" w:lineRule="exact"/>
        <w:ind w:firstLine="420"/>
        <w:rPr>
          <w:rFonts w:eastAsia="宋体" w:hint="eastAsia"/>
        </w:rPr>
      </w:pPr>
      <w:r>
        <w:rPr>
          <w:rFonts w:eastAsia="宋体" w:hint="eastAsia"/>
        </w:rPr>
        <w:t>人民检察院建议补充侦查，自行侦查的，</w:t>
      </w:r>
      <w:r>
        <w:rPr>
          <w:rFonts w:eastAsia="宋体" w:hint="eastAsia"/>
          <w:color w:val="FF0000"/>
        </w:rPr>
        <w:t>要一个月以内，最多二次</w:t>
      </w:r>
      <w:r>
        <w:rPr>
          <w:rFonts w:eastAsia="宋体" w:hint="eastAsia"/>
        </w:rPr>
        <w:t>。补充侦查后，人民检察院提请人民法院恢复法庭审理，法院重新计算审理期限；未将补充的证据材料移送人民</w:t>
      </w:r>
      <w:r>
        <w:rPr>
          <w:rFonts w:eastAsia="宋体" w:hint="eastAsia"/>
        </w:rPr>
        <w:lastRenderedPageBreak/>
        <w:t>法院的，法院可以根据在案证据作出判决、裁定。</w:t>
      </w:r>
    </w:p>
    <w:p w14:paraId="4441C7E7" w14:textId="77777777" w:rsidR="00167803" w:rsidRDefault="00000000">
      <w:pPr>
        <w:spacing w:line="240" w:lineRule="exact"/>
        <w:ind w:firstLine="420"/>
        <w:rPr>
          <w:rFonts w:eastAsia="宋体" w:hint="eastAsia"/>
          <w:color w:val="FF0000"/>
        </w:rPr>
      </w:pPr>
      <w:r>
        <w:rPr>
          <w:rFonts w:eastAsia="宋体" w:hint="eastAsia"/>
        </w:rPr>
        <w:t>第一，对于合议庭发现被告人</w:t>
      </w:r>
      <w:r>
        <w:rPr>
          <w:rFonts w:eastAsia="宋体" w:hint="eastAsia"/>
          <w:color w:val="FF0000"/>
        </w:rPr>
        <w:t>可能有自首、坦白、立功等法定量刑情节</w:t>
      </w:r>
      <w:r>
        <w:rPr>
          <w:rFonts w:eastAsia="宋体" w:hint="eastAsia"/>
        </w:rPr>
        <w:t>，而人民检察院移送的案卷中没有相关证据材料的，</w:t>
      </w:r>
      <w:r>
        <w:rPr>
          <w:rFonts w:eastAsia="宋体" w:hint="eastAsia"/>
          <w:color w:val="FF0000"/>
        </w:rPr>
        <w:t>应直接通知人民检察院移送，而不是补充侦查</w:t>
      </w:r>
      <w:r>
        <w:rPr>
          <w:rFonts w:eastAsia="宋体" w:hint="eastAsia"/>
        </w:rPr>
        <w:t>。</w:t>
      </w:r>
      <w:r>
        <w:rPr>
          <w:rFonts w:eastAsia="宋体" w:hint="eastAsia"/>
          <w:color w:val="FF0000"/>
        </w:rPr>
        <w:t>（补充：注意与线索的区分）</w:t>
      </w:r>
    </w:p>
    <w:p w14:paraId="2A9ED2F1" w14:textId="77777777" w:rsidR="00167803" w:rsidRDefault="00000000">
      <w:pPr>
        <w:spacing w:line="240" w:lineRule="exact"/>
        <w:ind w:firstLine="420"/>
        <w:rPr>
          <w:rFonts w:eastAsia="宋体" w:hint="eastAsia"/>
          <w:color w:val="FF0000"/>
        </w:rPr>
      </w:pPr>
      <w:r>
        <w:rPr>
          <w:rFonts w:eastAsia="宋体" w:hint="eastAsia"/>
        </w:rPr>
        <w:t>第二，审判期间，人民法院发现</w:t>
      </w:r>
      <w:r>
        <w:rPr>
          <w:rFonts w:eastAsia="宋体" w:hint="eastAsia"/>
          <w:color w:val="FF0000"/>
        </w:rPr>
        <w:t>新的事实，可能影响定罪量刑的，或者需要补查补证的，应当通知人民检察院，由其决定是否补充、变更、追加起诉或者补充侦查（注意，发现新事实不是“可以建议人民检察院补充或者变更起诉”，而是通知检察院，由检察院自行决定）。</w:t>
      </w:r>
    </w:p>
    <w:p w14:paraId="2A0F4237" w14:textId="77777777" w:rsidR="00167803" w:rsidRDefault="00000000">
      <w:pPr>
        <w:spacing w:line="240" w:lineRule="exact"/>
        <w:ind w:firstLine="420"/>
        <w:rPr>
          <w:rFonts w:eastAsia="宋体" w:hint="eastAsia"/>
          <w:color w:val="FF0000"/>
        </w:rPr>
      </w:pPr>
      <w:r>
        <w:rPr>
          <w:rFonts w:eastAsia="宋体" w:hint="eastAsia"/>
          <w:color w:val="FF0000"/>
        </w:rPr>
        <w:t>补充：与后续审查起诉中发现漏罪的处理一并掌握。</w:t>
      </w:r>
    </w:p>
    <w:p w14:paraId="266C0994" w14:textId="3D8F3930" w:rsidR="00167803" w:rsidRDefault="00000000">
      <w:pPr>
        <w:pStyle w:val="1"/>
        <w:spacing w:before="0" w:line="240" w:lineRule="exact"/>
        <w:rPr>
          <w:rFonts w:ascii="宋体" w:eastAsia="宋体" w:hAnsi="宋体" w:hint="eastAsia"/>
          <w:b/>
          <w:bCs w:val="0"/>
          <w:color w:val="auto"/>
          <w:sz w:val="21"/>
          <w:szCs w:val="21"/>
        </w:rPr>
      </w:pPr>
      <w:bookmarkStart w:id="12" w:name="_Toc64384708"/>
      <w:bookmarkStart w:id="13" w:name="_Toc4844131"/>
      <w:bookmarkStart w:id="14" w:name="_Toc126331801"/>
      <w:bookmarkEnd w:id="4"/>
      <w:r>
        <w:rPr>
          <w:rFonts w:ascii="宋体" w:eastAsia="宋体" w:hAnsi="宋体" w:hint="eastAsia"/>
          <w:b/>
          <w:bCs w:val="0"/>
          <w:color w:val="auto"/>
          <w:sz w:val="21"/>
          <w:szCs w:val="21"/>
        </w:rPr>
        <w:t>考点</w:t>
      </w:r>
      <w:r w:rsidR="003A6416">
        <w:rPr>
          <w:rFonts w:ascii="宋体" w:eastAsia="宋体" w:hAnsi="宋体" w:hint="eastAsia"/>
          <w:b/>
          <w:bCs w:val="0"/>
          <w:color w:val="auto"/>
          <w:sz w:val="21"/>
          <w:szCs w:val="21"/>
        </w:rPr>
        <w:t>21</w:t>
      </w:r>
      <w:r>
        <w:rPr>
          <w:rFonts w:ascii="宋体" w:eastAsia="宋体" w:hAnsi="宋体"/>
          <w:b/>
          <w:bCs w:val="0"/>
          <w:color w:val="auto"/>
          <w:sz w:val="21"/>
          <w:szCs w:val="21"/>
        </w:rPr>
        <w:t xml:space="preserve">  </w:t>
      </w:r>
      <w:r>
        <w:rPr>
          <w:rFonts w:ascii="宋体" w:eastAsia="宋体" w:hAnsi="宋体" w:hint="eastAsia"/>
          <w:b/>
          <w:bCs w:val="0"/>
          <w:color w:val="auto"/>
          <w:sz w:val="21"/>
          <w:szCs w:val="21"/>
        </w:rPr>
        <w:t>审查起诉</w:t>
      </w:r>
      <w:bookmarkEnd w:id="12"/>
      <w:bookmarkEnd w:id="13"/>
      <w:bookmarkEnd w:id="14"/>
      <w:r>
        <w:rPr>
          <w:rFonts w:ascii="宋体" w:eastAsia="宋体" w:hAnsi="宋体" w:hint="eastAsia"/>
          <w:b/>
          <w:bCs w:val="0"/>
          <w:color w:val="auto"/>
          <w:sz w:val="21"/>
          <w:szCs w:val="21"/>
        </w:rPr>
        <w:t>（</w:t>
      </w:r>
      <w:r w:rsidR="00846B7A">
        <w:rPr>
          <w:rFonts w:ascii="宋体" w:eastAsia="宋体" w:hAnsi="宋体" w:hint="eastAsia"/>
          <w:b/>
          <w:bCs w:val="0"/>
          <w:color w:val="auto"/>
          <w:sz w:val="21"/>
          <w:szCs w:val="21"/>
        </w:rPr>
        <w:t>20</w:t>
      </w:r>
      <w:r w:rsidR="00846B7A">
        <w:rPr>
          <w:rFonts w:ascii="宋体" w:eastAsia="宋体" w:hAnsi="宋体"/>
          <w:b/>
          <w:bCs w:val="0"/>
          <w:color w:val="auto"/>
          <w:sz w:val="21"/>
          <w:szCs w:val="21"/>
        </w:rPr>
        <w:t>:</w:t>
      </w:r>
      <w:r w:rsidR="00846B7A">
        <w:rPr>
          <w:rFonts w:ascii="宋体" w:eastAsia="宋体" w:hAnsi="宋体" w:hint="eastAsia"/>
          <w:b/>
          <w:bCs w:val="0"/>
          <w:color w:val="auto"/>
          <w:sz w:val="21"/>
          <w:szCs w:val="21"/>
        </w:rPr>
        <w:t>18</w:t>
      </w:r>
      <w:r w:rsidR="00846B7A">
        <w:rPr>
          <w:rFonts w:ascii="宋体" w:eastAsia="宋体" w:hAnsi="宋体"/>
          <w:b/>
          <w:bCs w:val="0"/>
          <w:color w:val="auto"/>
          <w:sz w:val="21"/>
          <w:szCs w:val="21"/>
        </w:rPr>
        <w:t>:00</w:t>
      </w:r>
      <w:r>
        <w:rPr>
          <w:rFonts w:ascii="宋体" w:eastAsia="宋体" w:hAnsi="宋体"/>
          <w:b/>
          <w:bCs w:val="0"/>
          <w:color w:val="auto"/>
          <w:sz w:val="21"/>
          <w:szCs w:val="21"/>
        </w:rPr>
        <w:t>-</w:t>
      </w:r>
      <w:r w:rsidR="008B395C">
        <w:rPr>
          <w:rFonts w:ascii="宋体" w:eastAsia="宋体" w:hAnsi="宋体" w:hint="eastAsia"/>
          <w:b/>
          <w:bCs w:val="0"/>
          <w:color w:val="auto"/>
          <w:sz w:val="21"/>
          <w:szCs w:val="21"/>
        </w:rPr>
        <w:t>21</w:t>
      </w:r>
      <w:r>
        <w:rPr>
          <w:rFonts w:ascii="宋体" w:eastAsia="宋体" w:hAnsi="宋体"/>
          <w:b/>
          <w:bCs w:val="0"/>
          <w:color w:val="auto"/>
          <w:sz w:val="21"/>
          <w:szCs w:val="21"/>
        </w:rPr>
        <w:t>:</w:t>
      </w:r>
      <w:r w:rsidR="008B395C">
        <w:rPr>
          <w:rFonts w:ascii="宋体" w:eastAsia="宋体" w:hAnsi="宋体" w:hint="eastAsia"/>
          <w:b/>
          <w:bCs w:val="0"/>
          <w:color w:val="auto"/>
          <w:sz w:val="21"/>
          <w:szCs w:val="21"/>
        </w:rPr>
        <w:t>00</w:t>
      </w:r>
      <w:r>
        <w:rPr>
          <w:rFonts w:ascii="宋体" w:eastAsia="宋体" w:hAnsi="宋体"/>
          <w:b/>
          <w:bCs w:val="0"/>
          <w:color w:val="auto"/>
          <w:sz w:val="21"/>
          <w:szCs w:val="21"/>
        </w:rPr>
        <w:t>:00）</w:t>
      </w:r>
    </w:p>
    <w:p w14:paraId="19B84530" w14:textId="77777777" w:rsidR="00167803" w:rsidRDefault="00000000" w:rsidP="00EB301B">
      <w:pPr>
        <w:pStyle w:val="3"/>
        <w:spacing w:line="240" w:lineRule="exact"/>
        <w:ind w:firstLineChars="200" w:firstLine="420"/>
        <w:rPr>
          <w:rFonts w:eastAsia="宋体" w:hint="eastAsia"/>
          <w:sz w:val="21"/>
        </w:rPr>
      </w:pPr>
      <w:bookmarkStart w:id="15" w:name="_Toc510879079"/>
      <w:r>
        <w:rPr>
          <w:rFonts w:eastAsia="宋体" w:hint="eastAsia"/>
          <w:sz w:val="21"/>
        </w:rPr>
        <w:t>一、公诉制度</w:t>
      </w:r>
    </w:p>
    <w:p w14:paraId="4D4314C9" w14:textId="77777777" w:rsidR="00167803" w:rsidRDefault="00000000" w:rsidP="00EB301B">
      <w:pPr>
        <w:spacing w:line="240" w:lineRule="exact"/>
        <w:ind w:firstLine="420"/>
        <w:rPr>
          <w:rFonts w:eastAsia="宋体" w:hint="eastAsia"/>
        </w:rPr>
      </w:pPr>
      <w:r>
        <w:rPr>
          <w:rFonts w:eastAsia="宋体" w:hint="eastAsia"/>
        </w:rPr>
        <w:t>现代刑事诉讼普遍强调起诉法定主义与起诉便宜主义的二元并存、相互补充。</w:t>
      </w:r>
    </w:p>
    <w:p w14:paraId="21812E66" w14:textId="77777777" w:rsidR="00167803" w:rsidRDefault="00000000" w:rsidP="00EB301B">
      <w:pPr>
        <w:spacing w:line="240" w:lineRule="exact"/>
        <w:ind w:firstLine="420"/>
        <w:rPr>
          <w:rFonts w:eastAsia="宋体" w:hint="eastAsia"/>
        </w:rPr>
      </w:pPr>
      <w:r>
        <w:rPr>
          <w:rFonts w:eastAsia="宋体" w:hint="eastAsia"/>
        </w:rPr>
        <w:t>我国刑事起诉制度的特点：（1）公诉为主，自诉为辅（2）起诉法定主义为主，兼采起诉便宜主义</w:t>
      </w:r>
    </w:p>
    <w:p w14:paraId="73DDCE8D" w14:textId="77777777" w:rsidR="00167803" w:rsidRDefault="00000000" w:rsidP="00EB301B">
      <w:pPr>
        <w:pStyle w:val="3"/>
        <w:spacing w:line="240" w:lineRule="exact"/>
        <w:ind w:firstLineChars="200" w:firstLine="420"/>
        <w:rPr>
          <w:rFonts w:eastAsia="宋体" w:hint="eastAsia"/>
          <w:sz w:val="21"/>
        </w:rPr>
      </w:pPr>
      <w:r>
        <w:rPr>
          <w:rFonts w:eastAsia="宋体" w:hint="eastAsia"/>
          <w:sz w:val="21"/>
        </w:rPr>
        <w:t>二、审查起诉的方法</w:t>
      </w:r>
      <w:bookmarkEnd w:id="15"/>
    </w:p>
    <w:p w14:paraId="1F49ECB6" w14:textId="77777777" w:rsidR="00167803" w:rsidRDefault="00000000">
      <w:pPr>
        <w:spacing w:line="240" w:lineRule="exact"/>
        <w:ind w:firstLine="420"/>
        <w:rPr>
          <w:rFonts w:eastAsia="宋体" w:hint="eastAsia"/>
        </w:rPr>
      </w:pPr>
      <w:r>
        <w:rPr>
          <w:rFonts w:eastAsia="宋体" w:hint="eastAsia"/>
        </w:rPr>
        <w:t>直接听取意见有困难的，可通知辩护人、被害人及诉讼代理人提出书面意见</w:t>
      </w:r>
    </w:p>
    <w:p w14:paraId="3667CA57" w14:textId="46CA4E70" w:rsidR="00EB301B" w:rsidRDefault="00000000" w:rsidP="00EB301B">
      <w:pPr>
        <w:spacing w:line="240" w:lineRule="exact"/>
        <w:ind w:firstLine="420"/>
        <w:rPr>
          <w:rFonts w:eastAsia="宋体" w:hint="eastAsia"/>
        </w:rPr>
      </w:pPr>
      <w:r>
        <w:rPr>
          <w:rFonts w:eastAsia="宋体" w:hint="eastAsia"/>
        </w:rPr>
        <w:t>重大疑难复杂的案件，确有必要时，派员适时介入侦查活动</w:t>
      </w:r>
      <w:bookmarkStart w:id="16" w:name="_Toc510879080"/>
    </w:p>
    <w:p w14:paraId="24912418" w14:textId="04AB3047" w:rsidR="00167803" w:rsidRDefault="00EB301B">
      <w:pPr>
        <w:spacing w:line="240" w:lineRule="exact"/>
        <w:ind w:firstLine="420"/>
        <w:rPr>
          <w:rFonts w:eastAsia="宋体" w:hint="eastAsia"/>
        </w:rPr>
      </w:pPr>
      <w:r>
        <w:rPr>
          <w:rFonts w:eastAsia="宋体" w:hint="eastAsia"/>
        </w:rPr>
        <w:t>三、审查起诉中各种情况的处理</w:t>
      </w:r>
      <w:bookmarkEnd w:id="16"/>
    </w:p>
    <w:p w14:paraId="6F226BE1" w14:textId="77777777" w:rsidR="00167803" w:rsidRDefault="00000000">
      <w:pPr>
        <w:pStyle w:val="4"/>
        <w:spacing w:line="240" w:lineRule="exact"/>
        <w:ind w:firstLineChars="120" w:firstLine="252"/>
        <w:rPr>
          <w:rFonts w:ascii="宋体" w:eastAsia="宋体" w:hAnsi="宋体" w:hint="eastAsia"/>
          <w:sz w:val="21"/>
          <w:szCs w:val="21"/>
        </w:rPr>
      </w:pPr>
      <w:r>
        <w:rPr>
          <w:rFonts w:ascii="宋体" w:eastAsia="宋体" w:hAnsi="宋体" w:hint="eastAsia"/>
          <w:sz w:val="21"/>
          <w:szCs w:val="21"/>
        </w:rPr>
        <w:t>（一）关于管辖问题的处理</w:t>
      </w:r>
    </w:p>
    <w:p w14:paraId="16919BAA" w14:textId="77777777" w:rsidR="00167803" w:rsidRDefault="00000000">
      <w:pPr>
        <w:pStyle w:val="a7"/>
        <w:spacing w:line="240" w:lineRule="exact"/>
        <w:ind w:firstLine="420"/>
        <w:rPr>
          <w:rFonts w:eastAsia="宋体" w:hAnsi="宋体" w:cs="宋体" w:hint="eastAsia"/>
          <w:sz w:val="21"/>
        </w:rPr>
      </w:pPr>
      <w:r>
        <w:rPr>
          <w:rFonts w:eastAsia="宋体" w:hAnsi="宋体" w:cs="宋体"/>
          <w:sz w:val="21"/>
        </w:rPr>
        <w:t>各级人民检察院提起公诉，</w:t>
      </w:r>
      <w:r>
        <w:rPr>
          <w:rFonts w:eastAsia="宋体" w:hAnsi="宋体" w:cs="宋体"/>
          <w:color w:val="FF0000"/>
          <w:sz w:val="21"/>
        </w:rPr>
        <w:t>应当与人民法院审判管辖相适应</w:t>
      </w:r>
      <w:r>
        <w:rPr>
          <w:rFonts w:eastAsia="宋体" w:hAnsi="宋体" w:cs="宋体"/>
          <w:sz w:val="21"/>
        </w:rPr>
        <w:t>。</w:t>
      </w:r>
    </w:p>
    <w:p w14:paraId="6B0D8539" w14:textId="77777777" w:rsidR="00167803" w:rsidRDefault="00000000">
      <w:pPr>
        <w:pStyle w:val="4"/>
        <w:spacing w:line="240" w:lineRule="exact"/>
        <w:ind w:firstLineChars="120" w:firstLine="252"/>
        <w:rPr>
          <w:rFonts w:ascii="宋体" w:eastAsia="宋体" w:hAnsi="宋体" w:hint="eastAsia"/>
          <w:sz w:val="21"/>
          <w:szCs w:val="21"/>
        </w:rPr>
      </w:pPr>
      <w:r>
        <w:rPr>
          <w:rFonts w:ascii="宋体" w:eastAsia="宋体" w:hAnsi="宋体" w:hint="eastAsia"/>
          <w:sz w:val="21"/>
          <w:szCs w:val="21"/>
        </w:rPr>
        <w:t>（二）关于证据问题的处理</w:t>
      </w:r>
    </w:p>
    <w:p w14:paraId="00BCCBF4" w14:textId="77777777" w:rsidR="00167803" w:rsidRDefault="00000000">
      <w:pPr>
        <w:tabs>
          <w:tab w:val="clear" w:pos="420"/>
        </w:tabs>
        <w:spacing w:line="240" w:lineRule="exact"/>
        <w:ind w:firstLine="420"/>
        <w:jc w:val="left"/>
        <w:rPr>
          <w:rFonts w:eastAsia="宋体" w:cs="汉仪中黑简" w:hint="eastAsia"/>
          <w:bCs/>
          <w:kern w:val="44"/>
        </w:rPr>
      </w:pPr>
      <w:r>
        <w:rPr>
          <w:rFonts w:eastAsia="宋体" w:cs="汉仪中黑简" w:hint="eastAsia"/>
          <w:bCs/>
          <w:kern w:val="44"/>
        </w:rPr>
        <w:t>1．对各种类证据的审查</w:t>
      </w:r>
    </w:p>
    <w:p w14:paraId="65E90703" w14:textId="77777777" w:rsidR="00167803" w:rsidRDefault="00000000">
      <w:pPr>
        <w:spacing w:line="240" w:lineRule="exact"/>
        <w:ind w:firstLine="420"/>
        <w:rPr>
          <w:rFonts w:eastAsia="宋体" w:hint="eastAsia"/>
        </w:rPr>
      </w:pPr>
      <w:r>
        <w:rPr>
          <w:rFonts w:eastAsia="宋体" w:hint="eastAsia"/>
        </w:rPr>
        <w:t>人民检察院在审查起诉中对证据有疑问的，可以采取要求相关人员提供情况、询问、鉴定、补充鉴定或者重新鉴定、复验、复查、审查录音、录像等多种方式，</w:t>
      </w:r>
      <w:r>
        <w:rPr>
          <w:rFonts w:eastAsia="宋体" w:hint="eastAsia"/>
          <w:color w:val="FF0000"/>
        </w:rPr>
        <w:t>对于鉴定、复验、复查等，既可以要求公安机关进行，也可以自己进行并商情公安机关派员参加</w:t>
      </w:r>
      <w:r>
        <w:rPr>
          <w:rFonts w:eastAsia="宋体" w:hint="eastAsia"/>
        </w:rPr>
        <w:t>。</w:t>
      </w:r>
      <w:r>
        <w:rPr>
          <w:rFonts w:eastAsia="宋体" w:hint="eastAsia"/>
          <w:color w:val="FF0000"/>
        </w:rPr>
        <w:t>对于录音、录像，一般只需要审查相关的录音</w:t>
      </w:r>
      <w:r>
        <w:rPr>
          <w:rFonts w:eastAsia="宋体" w:hint="eastAsia"/>
          <w:color w:val="FF0000"/>
          <w:spacing w:val="-60"/>
        </w:rPr>
        <w:t>、</w:t>
      </w:r>
      <w:r>
        <w:rPr>
          <w:rFonts w:eastAsia="宋体" w:hint="eastAsia"/>
          <w:color w:val="FF0000"/>
        </w:rPr>
        <w:t>录像</w:t>
      </w:r>
      <w:r>
        <w:rPr>
          <w:rFonts w:eastAsia="宋体" w:hint="eastAsia"/>
          <w:color w:val="FF0000"/>
          <w:spacing w:val="-60"/>
        </w:rPr>
        <w:t>，</w:t>
      </w:r>
      <w:r>
        <w:rPr>
          <w:rFonts w:eastAsia="宋体" w:hint="eastAsia"/>
          <w:color w:val="FF0000"/>
        </w:rPr>
        <w:t>对于</w:t>
      </w:r>
      <w:r>
        <w:rPr>
          <w:rFonts w:eastAsia="宋体" w:hint="eastAsia"/>
          <w:color w:val="FF0000"/>
          <w:kern w:val="0"/>
        </w:rPr>
        <w:t>重大、疑难、复杂的案件，必要时可以审查全部录音、录像</w:t>
      </w:r>
      <w:r>
        <w:rPr>
          <w:rFonts w:eastAsia="宋体" w:hint="eastAsia"/>
          <w:color w:val="FF0000"/>
          <w:spacing w:val="-60"/>
        </w:rPr>
        <w:t>。</w:t>
      </w:r>
    </w:p>
    <w:p w14:paraId="37BEE0D9" w14:textId="77777777" w:rsidR="00167803" w:rsidRDefault="00000000">
      <w:pPr>
        <w:tabs>
          <w:tab w:val="clear" w:pos="420"/>
        </w:tabs>
        <w:spacing w:line="240" w:lineRule="exact"/>
        <w:ind w:firstLine="420"/>
        <w:jc w:val="left"/>
        <w:rPr>
          <w:rFonts w:eastAsia="宋体" w:cs="汉仪中黑简" w:hint="eastAsia"/>
          <w:bCs/>
          <w:kern w:val="44"/>
        </w:rPr>
      </w:pPr>
      <w:r>
        <w:rPr>
          <w:rFonts w:eastAsia="宋体" w:cs="汉仪中黑简" w:hint="eastAsia"/>
          <w:bCs/>
          <w:kern w:val="44"/>
        </w:rPr>
        <w:t>2．对证据方面特殊情况的处理</w:t>
      </w:r>
    </w:p>
    <w:p w14:paraId="30C4B335" w14:textId="77777777" w:rsidR="00167803" w:rsidRDefault="00000000">
      <w:pPr>
        <w:tabs>
          <w:tab w:val="clear" w:pos="420"/>
        </w:tabs>
        <w:spacing w:line="240" w:lineRule="exact"/>
        <w:ind w:firstLine="420"/>
        <w:jc w:val="left"/>
        <w:rPr>
          <w:rFonts w:eastAsia="宋体" w:hint="eastAsia"/>
        </w:rPr>
      </w:pPr>
      <w:r>
        <w:rPr>
          <w:rFonts w:eastAsia="宋体" w:hint="eastAsia"/>
        </w:rPr>
        <w:t>需要补充提供庭审所必需的证据，书面要求侦查机关提供</w:t>
      </w:r>
    </w:p>
    <w:p w14:paraId="051BD1F2" w14:textId="77777777" w:rsidR="00167803" w:rsidRDefault="00000000">
      <w:pPr>
        <w:tabs>
          <w:tab w:val="clear" w:pos="420"/>
        </w:tabs>
        <w:spacing w:line="240" w:lineRule="exact"/>
        <w:ind w:firstLine="420"/>
        <w:jc w:val="left"/>
        <w:rPr>
          <w:rFonts w:eastAsia="宋体" w:hint="eastAsia"/>
        </w:rPr>
      </w:pPr>
      <w:r>
        <w:rPr>
          <w:rFonts w:eastAsia="宋体" w:hint="eastAsia"/>
        </w:rPr>
        <w:t>可能存在非法取证情形的，要求侦查机关作出书面说明或提供相关证明材料</w:t>
      </w:r>
    </w:p>
    <w:p w14:paraId="1751F4A7" w14:textId="77777777" w:rsidR="00167803" w:rsidRDefault="00000000">
      <w:pPr>
        <w:tabs>
          <w:tab w:val="clear" w:pos="420"/>
        </w:tabs>
        <w:spacing w:line="240" w:lineRule="exact"/>
        <w:ind w:firstLine="420"/>
        <w:jc w:val="left"/>
        <w:rPr>
          <w:rFonts w:eastAsia="宋体" w:hint="eastAsia"/>
        </w:rPr>
      </w:pPr>
      <w:r>
        <w:rPr>
          <w:rFonts w:eastAsia="宋体" w:hint="eastAsia"/>
        </w:rPr>
        <w:t>侦查人员以非法方法收集犯罪嫌疑人供述、被害人陈述、证人证言等证据材料的，依法排除非法证据并提出纠正意见、要求侦查机关另行指派侦查人员重新调查取证、必要时自行调查取证</w:t>
      </w:r>
    </w:p>
    <w:p w14:paraId="7F50CD8D" w14:textId="7ABC4EBF" w:rsidR="00167803" w:rsidRDefault="00000000">
      <w:pPr>
        <w:pStyle w:val="4"/>
        <w:spacing w:line="240" w:lineRule="exact"/>
        <w:ind w:firstLineChars="120" w:firstLine="252"/>
        <w:rPr>
          <w:rFonts w:ascii="宋体" w:eastAsia="宋体" w:hAnsi="宋体" w:hint="eastAsia"/>
          <w:sz w:val="21"/>
          <w:szCs w:val="21"/>
        </w:rPr>
      </w:pPr>
      <w:r>
        <w:rPr>
          <w:rFonts w:ascii="宋体" w:eastAsia="宋体" w:hAnsi="宋体" w:hint="eastAsia"/>
          <w:sz w:val="21"/>
          <w:szCs w:val="21"/>
        </w:rPr>
        <w:t>（</w:t>
      </w:r>
      <w:r w:rsidR="00A02FD2">
        <w:rPr>
          <w:rFonts w:ascii="宋体" w:eastAsia="宋体" w:hAnsi="宋体" w:hint="eastAsia"/>
          <w:sz w:val="21"/>
          <w:szCs w:val="21"/>
        </w:rPr>
        <w:t>三</w:t>
      </w:r>
      <w:r>
        <w:rPr>
          <w:rFonts w:ascii="宋体" w:eastAsia="宋体" w:hAnsi="宋体" w:hint="eastAsia"/>
          <w:sz w:val="21"/>
          <w:szCs w:val="21"/>
        </w:rPr>
        <w:t>）关于犯罪嫌疑人在逃的处理</w:t>
      </w:r>
    </w:p>
    <w:p w14:paraId="59EA8F7C" w14:textId="77777777" w:rsidR="00167803" w:rsidRDefault="00000000">
      <w:pPr>
        <w:spacing w:line="240" w:lineRule="exact"/>
        <w:ind w:firstLine="420"/>
        <w:rPr>
          <w:rFonts w:eastAsia="宋体" w:hint="eastAsia"/>
          <w:color w:val="FF0000"/>
          <w:kern w:val="0"/>
        </w:rPr>
      </w:pPr>
      <w:r>
        <w:rPr>
          <w:rFonts w:eastAsia="宋体" w:hint="eastAsia"/>
          <w:kern w:val="0"/>
        </w:rPr>
        <w:t>对于移送审查起诉的案件，如果犯罪嫌疑人在逃的，应当</w:t>
      </w:r>
      <w:r>
        <w:rPr>
          <w:rFonts w:eastAsia="宋体" w:hint="eastAsia"/>
          <w:color w:val="FF0000"/>
          <w:kern w:val="0"/>
        </w:rPr>
        <w:t>要求公安机关采取措施保证犯罪嫌疑人到案后再移送审查起诉</w:t>
      </w:r>
      <w:r>
        <w:rPr>
          <w:rFonts w:eastAsia="宋体" w:hint="eastAsia"/>
          <w:kern w:val="0"/>
        </w:rPr>
        <w:t>。</w:t>
      </w:r>
      <w:r>
        <w:rPr>
          <w:rFonts w:eastAsia="宋体" w:hint="eastAsia"/>
          <w:color w:val="FF0000"/>
          <w:kern w:val="0"/>
        </w:rPr>
        <w:t>共同犯罪案件中部分犯罪嫌疑人在逃的，对在案的犯罪嫌疑人的审查起诉应当依法进行</w:t>
      </w:r>
      <w:r>
        <w:rPr>
          <w:rFonts w:eastAsia="宋体" w:hint="eastAsia"/>
          <w:kern w:val="0"/>
        </w:rPr>
        <w:t>。</w:t>
      </w:r>
    </w:p>
    <w:p w14:paraId="168F6C3B" w14:textId="160965A5" w:rsidR="00167803" w:rsidRDefault="00000000">
      <w:pPr>
        <w:pStyle w:val="4"/>
        <w:spacing w:line="240" w:lineRule="exact"/>
        <w:ind w:firstLineChars="120" w:firstLine="252"/>
        <w:rPr>
          <w:rFonts w:ascii="宋体" w:eastAsia="宋体" w:hAnsi="宋体" w:hint="eastAsia"/>
          <w:color w:val="FF0000"/>
          <w:sz w:val="21"/>
          <w:szCs w:val="21"/>
        </w:rPr>
      </w:pPr>
      <w:r>
        <w:rPr>
          <w:rFonts w:ascii="宋体" w:eastAsia="宋体" w:hAnsi="宋体" w:hint="eastAsia"/>
          <w:color w:val="FF0000"/>
          <w:sz w:val="21"/>
          <w:szCs w:val="21"/>
        </w:rPr>
        <w:t>（</w:t>
      </w:r>
      <w:r w:rsidR="00913D9C">
        <w:rPr>
          <w:rFonts w:ascii="宋体" w:eastAsia="宋体" w:hAnsi="宋体" w:hint="eastAsia"/>
          <w:color w:val="FF0000"/>
          <w:sz w:val="21"/>
          <w:szCs w:val="21"/>
        </w:rPr>
        <w:t>四</w:t>
      </w:r>
      <w:r>
        <w:rPr>
          <w:rFonts w:ascii="宋体" w:eastAsia="宋体" w:hAnsi="宋体" w:hint="eastAsia"/>
          <w:color w:val="FF0000"/>
          <w:sz w:val="21"/>
          <w:szCs w:val="21"/>
        </w:rPr>
        <w:t>）关于“径行起诉”</w:t>
      </w:r>
    </w:p>
    <w:p w14:paraId="1737C14B" w14:textId="77777777" w:rsidR="00167803" w:rsidRDefault="00000000">
      <w:pPr>
        <w:spacing w:line="240" w:lineRule="exact"/>
        <w:ind w:firstLine="420"/>
        <w:rPr>
          <w:rFonts w:eastAsia="宋体" w:hint="eastAsia"/>
        </w:rPr>
      </w:pPr>
      <w:r>
        <w:rPr>
          <w:rFonts w:eastAsia="宋体" w:hint="eastAsia"/>
        </w:rPr>
        <w:t>人民检察院在办理公安机关移送起诉的案件中，发现遗漏罪行或者有依法应当移送起诉的同案犯罪嫌疑人未移送起诉的，应当要求公安机关补充侦查或者补充移送起诉。对于犯罪事实清楚，证据确实、充分的，也可以直接提起公诉。</w:t>
      </w:r>
    </w:p>
    <w:p w14:paraId="50FF1404" w14:textId="375744F5" w:rsidR="00167803" w:rsidRDefault="008B395C">
      <w:pPr>
        <w:spacing w:line="240" w:lineRule="exact"/>
        <w:ind w:firstLine="420"/>
        <w:rPr>
          <w:rFonts w:eastAsia="宋体" w:hint="eastAsia"/>
        </w:rPr>
      </w:pPr>
      <w:r>
        <w:rPr>
          <w:rFonts w:eastAsia="宋体" w:hint="eastAsia"/>
        </w:rPr>
        <w:t>四、补充、追加和变更起诉</w:t>
      </w:r>
    </w:p>
    <w:p w14:paraId="64AFB903" w14:textId="77777777" w:rsidR="00167803" w:rsidRDefault="00000000">
      <w:pPr>
        <w:spacing w:line="240" w:lineRule="exact"/>
        <w:ind w:firstLine="420"/>
        <w:rPr>
          <w:rFonts w:eastAsia="宋体" w:hint="eastAsia"/>
        </w:rPr>
      </w:pPr>
      <w:r>
        <w:rPr>
          <w:rFonts w:eastAsia="宋体" w:hint="eastAsia"/>
        </w:rPr>
        <w:t>检察院发现遗漏罪行、发现遗漏同案犯罪嫌疑人，补充、追加或者变更起诉</w:t>
      </w:r>
    </w:p>
    <w:p w14:paraId="4459A6F2" w14:textId="77777777" w:rsidR="00167803" w:rsidRDefault="00000000">
      <w:pPr>
        <w:spacing w:line="240" w:lineRule="exact"/>
        <w:ind w:firstLine="420"/>
        <w:rPr>
          <w:rFonts w:eastAsia="宋体" w:hint="eastAsia"/>
          <w:color w:val="FF0000"/>
        </w:rPr>
      </w:pPr>
      <w:r>
        <w:rPr>
          <w:rFonts w:eastAsia="宋体" w:hint="eastAsia"/>
        </w:rPr>
        <w:t>法院发现新的事实可能影响定罪，通知检察院，</w:t>
      </w:r>
      <w:r>
        <w:rPr>
          <w:rFonts w:eastAsia="宋体" w:hint="eastAsia"/>
          <w:color w:val="FF0000"/>
        </w:rPr>
        <w:t>由检察院自行决定是否补充、变更、追加起诉或者补充侦查，检察院不同意或未回复的，根据在案材料依法判决</w:t>
      </w:r>
      <w:r>
        <w:rPr>
          <w:rFonts w:eastAsia="宋体" w:hint="eastAsia"/>
        </w:rPr>
        <w:t>；公诉人当庭发表与起诉书不同的意见，属于变更、追加、补充或者撤回起诉的，要求人民检察院在指定时间内以书面方式提出；必要时，可以宣布休庭，未提出的，根据在案材料依法判决；变更、追加、补充的，</w:t>
      </w:r>
      <w:r>
        <w:rPr>
          <w:rFonts w:eastAsia="宋体" w:hint="eastAsia"/>
          <w:color w:val="FF0000"/>
        </w:rPr>
        <w:t>应当给予辩护人必要的准备时间。</w:t>
      </w:r>
    </w:p>
    <w:p w14:paraId="3E66593F" w14:textId="3BE4FCBB" w:rsidR="00167803" w:rsidRDefault="00000000">
      <w:pPr>
        <w:pStyle w:val="1"/>
        <w:spacing w:before="0" w:line="240" w:lineRule="exact"/>
        <w:rPr>
          <w:rFonts w:ascii="宋体" w:eastAsia="宋体" w:hAnsi="宋体" w:hint="eastAsia"/>
          <w:b/>
          <w:bCs w:val="0"/>
          <w:color w:val="auto"/>
          <w:sz w:val="21"/>
          <w:szCs w:val="21"/>
        </w:rPr>
      </w:pPr>
      <w:bookmarkStart w:id="17" w:name="_Toc4844132"/>
      <w:bookmarkStart w:id="18" w:name="_Toc64384709"/>
      <w:bookmarkStart w:id="19" w:name="_Toc126331802"/>
      <w:bookmarkStart w:id="20" w:name="_Toc64384710"/>
      <w:bookmarkStart w:id="21" w:name="_Toc126331803"/>
      <w:bookmarkStart w:id="22" w:name="_Toc64384711"/>
      <w:bookmarkStart w:id="23" w:name="_Toc4844133"/>
      <w:bookmarkStart w:id="24" w:name="_Toc126331804"/>
      <w:bookmarkStart w:id="25" w:name="_Toc126331809"/>
      <w:r>
        <w:rPr>
          <w:rFonts w:ascii="宋体" w:eastAsia="宋体" w:hAnsi="宋体" w:hint="eastAsia"/>
          <w:b/>
          <w:bCs w:val="0"/>
          <w:color w:val="auto"/>
          <w:sz w:val="21"/>
          <w:szCs w:val="21"/>
        </w:rPr>
        <w:t>考点</w:t>
      </w:r>
      <w:r w:rsidR="003A6416">
        <w:rPr>
          <w:rFonts w:ascii="宋体" w:eastAsia="宋体" w:hAnsi="宋体" w:hint="eastAsia"/>
          <w:b/>
          <w:bCs w:val="0"/>
          <w:color w:val="auto"/>
          <w:sz w:val="21"/>
          <w:szCs w:val="21"/>
        </w:rPr>
        <w:t>22</w:t>
      </w:r>
      <w:r>
        <w:rPr>
          <w:rFonts w:ascii="宋体" w:eastAsia="宋体" w:hAnsi="宋体" w:hint="eastAsia"/>
          <w:b/>
          <w:bCs w:val="0"/>
          <w:color w:val="auto"/>
          <w:sz w:val="21"/>
          <w:szCs w:val="21"/>
        </w:rPr>
        <w:t xml:space="preserve">  与监察法的衔接</w:t>
      </w:r>
      <w:bookmarkEnd w:id="17"/>
      <w:bookmarkEnd w:id="18"/>
      <w:bookmarkEnd w:id="19"/>
      <w:r>
        <w:rPr>
          <w:rFonts w:ascii="宋体" w:eastAsia="宋体" w:hAnsi="宋体" w:hint="eastAsia"/>
          <w:b/>
          <w:bCs w:val="0"/>
          <w:color w:val="auto"/>
          <w:sz w:val="21"/>
          <w:szCs w:val="21"/>
        </w:rPr>
        <w:t>（</w:t>
      </w:r>
      <w:r w:rsidR="008B395C">
        <w:rPr>
          <w:rFonts w:ascii="宋体" w:eastAsia="宋体" w:hAnsi="宋体" w:hint="eastAsia"/>
          <w:b/>
          <w:bCs w:val="0"/>
          <w:color w:val="auto"/>
          <w:sz w:val="21"/>
          <w:szCs w:val="21"/>
        </w:rPr>
        <w:t>21</w:t>
      </w:r>
      <w:r>
        <w:rPr>
          <w:rFonts w:ascii="宋体" w:eastAsia="宋体" w:hAnsi="宋体"/>
          <w:b/>
          <w:bCs w:val="0"/>
          <w:color w:val="auto"/>
          <w:sz w:val="21"/>
          <w:szCs w:val="21"/>
        </w:rPr>
        <w:t>:</w:t>
      </w:r>
      <w:r w:rsidR="008B395C">
        <w:rPr>
          <w:rFonts w:ascii="宋体" w:eastAsia="宋体" w:hAnsi="宋体" w:hint="eastAsia"/>
          <w:b/>
          <w:bCs w:val="0"/>
          <w:color w:val="auto"/>
          <w:sz w:val="21"/>
          <w:szCs w:val="21"/>
        </w:rPr>
        <w:t>0</w:t>
      </w:r>
      <w:r w:rsidR="00DB4DC2">
        <w:rPr>
          <w:rFonts w:ascii="宋体" w:eastAsia="宋体" w:hAnsi="宋体" w:hint="eastAsia"/>
          <w:b/>
          <w:bCs w:val="0"/>
          <w:color w:val="auto"/>
          <w:sz w:val="21"/>
          <w:szCs w:val="21"/>
        </w:rPr>
        <w:t>6</w:t>
      </w:r>
      <w:r>
        <w:rPr>
          <w:rFonts w:ascii="宋体" w:eastAsia="宋体" w:hAnsi="宋体"/>
          <w:b/>
          <w:bCs w:val="0"/>
          <w:color w:val="auto"/>
          <w:sz w:val="21"/>
          <w:szCs w:val="21"/>
        </w:rPr>
        <w:t>:00-</w:t>
      </w:r>
      <w:r w:rsidR="00D07DDF">
        <w:rPr>
          <w:rFonts w:ascii="宋体" w:eastAsia="宋体" w:hAnsi="宋体" w:hint="eastAsia"/>
          <w:b/>
          <w:bCs w:val="0"/>
          <w:color w:val="auto"/>
          <w:sz w:val="21"/>
          <w:szCs w:val="21"/>
        </w:rPr>
        <w:t>21</w:t>
      </w:r>
      <w:r>
        <w:rPr>
          <w:rFonts w:ascii="宋体" w:eastAsia="宋体" w:hAnsi="宋体"/>
          <w:b/>
          <w:bCs w:val="0"/>
          <w:color w:val="auto"/>
          <w:sz w:val="21"/>
          <w:szCs w:val="21"/>
        </w:rPr>
        <w:t>:</w:t>
      </w:r>
      <w:r w:rsidR="00D07DDF">
        <w:rPr>
          <w:rFonts w:ascii="宋体" w:eastAsia="宋体" w:hAnsi="宋体" w:hint="eastAsia"/>
          <w:b/>
          <w:bCs w:val="0"/>
          <w:color w:val="auto"/>
          <w:sz w:val="21"/>
          <w:szCs w:val="21"/>
        </w:rPr>
        <w:t>45</w:t>
      </w:r>
      <w:r>
        <w:rPr>
          <w:rFonts w:ascii="宋体" w:eastAsia="宋体" w:hAnsi="宋体"/>
          <w:b/>
          <w:bCs w:val="0"/>
          <w:color w:val="auto"/>
          <w:sz w:val="21"/>
          <w:szCs w:val="21"/>
        </w:rPr>
        <w:t>:00）</w:t>
      </w:r>
    </w:p>
    <w:p w14:paraId="53907D76" w14:textId="6A1EB9F4" w:rsidR="00CB04AF" w:rsidRDefault="00DB4DC2">
      <w:pPr>
        <w:pStyle w:val="3"/>
        <w:spacing w:line="240" w:lineRule="exact"/>
        <w:ind w:firstLineChars="200" w:firstLine="420"/>
        <w:rPr>
          <w:rFonts w:eastAsia="宋体" w:hint="eastAsia"/>
          <w:sz w:val="21"/>
        </w:rPr>
      </w:pPr>
      <w:r>
        <w:rPr>
          <w:rFonts w:eastAsia="宋体" w:hint="eastAsia"/>
          <w:sz w:val="21"/>
        </w:rPr>
        <w:t>一、</w:t>
      </w:r>
      <w:r w:rsidR="00CB04AF">
        <w:rPr>
          <w:rFonts w:eastAsia="宋体" w:hint="eastAsia"/>
          <w:sz w:val="21"/>
        </w:rPr>
        <w:t>刑事诉讼法与监察法的衔接</w:t>
      </w:r>
    </w:p>
    <w:p w14:paraId="0838985A" w14:textId="5ACB5148" w:rsidR="00167803" w:rsidRDefault="00CB04AF">
      <w:pPr>
        <w:pStyle w:val="3"/>
        <w:spacing w:line="240" w:lineRule="exact"/>
        <w:ind w:firstLineChars="200" w:firstLine="420"/>
        <w:rPr>
          <w:rFonts w:eastAsia="宋体" w:hint="eastAsia"/>
          <w:sz w:val="21"/>
        </w:rPr>
      </w:pPr>
      <w:r>
        <w:rPr>
          <w:rFonts w:eastAsia="宋体" w:hint="eastAsia"/>
          <w:sz w:val="21"/>
        </w:rPr>
        <w:t>（一）</w:t>
      </w:r>
      <w:r w:rsidR="00605BA0">
        <w:rPr>
          <w:rFonts w:eastAsia="宋体" w:hint="eastAsia"/>
          <w:sz w:val="21"/>
        </w:rPr>
        <w:t>检察机关</w:t>
      </w:r>
      <w:r>
        <w:rPr>
          <w:rFonts w:eastAsia="宋体" w:hint="eastAsia"/>
          <w:sz w:val="21"/>
        </w:rPr>
        <w:t>提前介入</w:t>
      </w:r>
    </w:p>
    <w:p w14:paraId="7E3969F7" w14:textId="77777777" w:rsidR="00167803" w:rsidRDefault="00000000">
      <w:pPr>
        <w:spacing w:line="240" w:lineRule="exact"/>
        <w:ind w:firstLine="420"/>
        <w:rPr>
          <w:rFonts w:eastAsia="宋体" w:cs="Times New Roman" w:hint="eastAsia"/>
        </w:rPr>
      </w:pPr>
      <w:r>
        <w:rPr>
          <w:rFonts w:eastAsia="宋体" w:cs="Times New Roman" w:hint="eastAsia"/>
        </w:rPr>
        <w:t>经监察机关</w:t>
      </w:r>
      <w:r>
        <w:rPr>
          <w:rFonts w:eastAsia="宋体" w:cs="Times New Roman" w:hint="eastAsia"/>
          <w:color w:val="FF0000"/>
        </w:rPr>
        <w:t>商请</w:t>
      </w:r>
      <w:r>
        <w:rPr>
          <w:rFonts w:eastAsia="宋体" w:cs="Times New Roman" w:hint="eastAsia"/>
        </w:rPr>
        <w:t>，人民检察院可以派员介入监察机关办理的职务犯罪案件。</w:t>
      </w:r>
    </w:p>
    <w:p w14:paraId="7BA32E8D" w14:textId="66D99CEE" w:rsidR="00167803" w:rsidRDefault="00CB04AF">
      <w:pPr>
        <w:pStyle w:val="3"/>
        <w:spacing w:line="240" w:lineRule="exact"/>
        <w:ind w:firstLineChars="200" w:firstLine="420"/>
        <w:rPr>
          <w:rFonts w:eastAsia="宋体" w:hint="eastAsia"/>
          <w:sz w:val="21"/>
        </w:rPr>
      </w:pPr>
      <w:r>
        <w:rPr>
          <w:rFonts w:eastAsia="宋体" w:hint="eastAsia"/>
          <w:sz w:val="21"/>
        </w:rPr>
        <w:t>（二）监察机关收集证据的证据资格</w:t>
      </w:r>
    </w:p>
    <w:p w14:paraId="3E3DC0F2" w14:textId="77777777" w:rsidR="00167803" w:rsidRDefault="00000000">
      <w:pPr>
        <w:spacing w:line="240" w:lineRule="exact"/>
        <w:ind w:firstLine="420"/>
        <w:rPr>
          <w:rFonts w:eastAsia="宋体" w:cs="Times New Roman" w:hint="eastAsia"/>
        </w:rPr>
      </w:pPr>
      <w:r>
        <w:rPr>
          <w:rFonts w:eastAsia="宋体" w:cs="Times New Roman" w:hint="eastAsia"/>
        </w:rPr>
        <w:t>监察机关依照法律规定收集的物证、书证、证人证言、被调查人供述和辩解、视听资料、电子数据等证据材料，在刑事诉讼中可以作为证据使用。</w:t>
      </w:r>
    </w:p>
    <w:p w14:paraId="621FE924" w14:textId="77777777" w:rsidR="00167803" w:rsidRDefault="00000000">
      <w:pPr>
        <w:spacing w:line="240" w:lineRule="exact"/>
        <w:ind w:firstLine="420"/>
        <w:rPr>
          <w:rFonts w:eastAsia="宋体" w:cs="Times New Roman" w:hint="eastAsia"/>
        </w:rPr>
      </w:pPr>
      <w:r>
        <w:rPr>
          <w:rFonts w:eastAsia="宋体" w:cs="Times New Roman" w:hint="eastAsia"/>
        </w:rPr>
        <w:t>人民检察院经审查认定存在非法取证行为的，对该证据应当予以排除，其他证据不能证明犯罪嫌疑人实施犯罪行为的，应当不批准或者决定逮捕。</w:t>
      </w:r>
      <w:r>
        <w:rPr>
          <w:rFonts w:eastAsia="宋体" w:cs="Times New Roman" w:hint="eastAsia"/>
          <w:color w:val="FF0000"/>
        </w:rPr>
        <w:t>已经移送起诉的，可以依法将案件退回监察机关补充调查或者退回公安机关补充侦查</w:t>
      </w:r>
      <w:r>
        <w:rPr>
          <w:rFonts w:eastAsia="宋体" w:cs="Times New Roman" w:hint="eastAsia"/>
        </w:rPr>
        <w:t>，或者作出不起诉决定。被排除的非法证据应当随案移送，并写明为依法排除的非法证据。人民检察院认为可能存在以刑讯逼供等</w:t>
      </w:r>
      <w:r>
        <w:rPr>
          <w:rFonts w:eastAsia="宋体" w:cs="Times New Roman" w:hint="eastAsia"/>
        </w:rPr>
        <w:lastRenderedPageBreak/>
        <w:t>非法方法收集证据情形的，</w:t>
      </w:r>
      <w:r>
        <w:rPr>
          <w:rFonts w:eastAsia="宋体" w:cs="Times New Roman" w:hint="eastAsia"/>
          <w:color w:val="FF0000"/>
        </w:rPr>
        <w:t>可以书面要求监察机关或者公安机关对证据收集的合法性作出说明</w:t>
      </w:r>
      <w:r>
        <w:rPr>
          <w:rFonts w:eastAsia="宋体" w:cs="Times New Roman" w:hint="eastAsia"/>
        </w:rPr>
        <w:t>。说明应当加盖单位公章，并由调查人员或者侦查人员签名。</w:t>
      </w:r>
    </w:p>
    <w:p w14:paraId="18B2D804" w14:textId="113C659D" w:rsidR="00DB4DC2" w:rsidRPr="00DB4DC2" w:rsidRDefault="00DB4DC2" w:rsidP="00DB4DC2">
      <w:pPr>
        <w:spacing w:line="240" w:lineRule="exact"/>
        <w:ind w:firstLine="420"/>
        <w:rPr>
          <w:rFonts w:eastAsia="宋体" w:cs="Times New Roman" w:hint="eastAsia"/>
        </w:rPr>
      </w:pPr>
      <w:r>
        <w:rPr>
          <w:rFonts w:eastAsia="宋体" w:cs="Times New Roman" w:hint="eastAsia"/>
        </w:rPr>
        <w:t>（三）</w:t>
      </w:r>
      <w:r w:rsidRPr="00DB4DC2">
        <w:rPr>
          <w:rFonts w:eastAsia="宋体" w:cs="Times New Roman" w:hint="eastAsia"/>
        </w:rPr>
        <w:t>监察措施与强制措施的衔接</w:t>
      </w:r>
    </w:p>
    <w:p w14:paraId="2015D976" w14:textId="77777777" w:rsidR="00DB4DC2" w:rsidRPr="00DB4DC2" w:rsidRDefault="00DB4DC2" w:rsidP="00DB4DC2">
      <w:pPr>
        <w:spacing w:line="240" w:lineRule="exact"/>
        <w:ind w:firstLine="420"/>
        <w:rPr>
          <w:rFonts w:eastAsia="宋体" w:cs="Times New Roman" w:hint="eastAsia"/>
        </w:rPr>
      </w:pPr>
      <w:r w:rsidRPr="00DB4DC2">
        <w:rPr>
          <w:rFonts w:eastAsia="宋体" w:cs="Times New Roman" w:hint="eastAsia"/>
        </w:rPr>
        <w:t>对于监察机关移送起诉的已采取留置措施的案件，人民检察院应</w:t>
      </w:r>
      <w:r w:rsidRPr="002E688F">
        <w:rPr>
          <w:rFonts w:eastAsia="宋体" w:cs="Times New Roman" w:hint="eastAsia"/>
          <w:color w:val="EE0000"/>
        </w:rPr>
        <w:t>当对犯罪嫌疑人先行拘留，留置措施自动解除</w:t>
      </w:r>
      <w:r w:rsidRPr="00DB4DC2">
        <w:rPr>
          <w:rFonts w:eastAsia="宋体" w:cs="Times New Roman" w:hint="eastAsia"/>
        </w:rPr>
        <w:t>。人民检察院应当在拘留后的十日以内作出是否逮捕、取保候审或者监视居住的决定。在特殊情况下，决定的时间可以延长一日至四日。人民检察院决定采取强制措施的期间不计入审查起诉期限。</w:t>
      </w:r>
    </w:p>
    <w:p w14:paraId="01444CB4" w14:textId="77777777" w:rsidR="00DB4DC2" w:rsidRPr="00DB4DC2" w:rsidRDefault="00DB4DC2" w:rsidP="00DB4DC2">
      <w:pPr>
        <w:spacing w:line="240" w:lineRule="exact"/>
        <w:ind w:firstLine="420"/>
        <w:rPr>
          <w:rFonts w:eastAsia="宋体" w:cs="Times New Roman" w:hint="eastAsia"/>
        </w:rPr>
      </w:pPr>
      <w:r w:rsidRPr="00DB4DC2">
        <w:rPr>
          <w:rFonts w:eastAsia="宋体" w:cs="Times New Roman" w:hint="eastAsia"/>
        </w:rPr>
        <w:t>人民检察院应当自收到移送起诉的案卷材料之日起三日以内告知犯罪嫌疑人有权委托辩护人。对已经采取留置措施的，应当在执行拘留时告知。</w:t>
      </w:r>
    </w:p>
    <w:p w14:paraId="5AEB290D" w14:textId="565952A0" w:rsidR="00DB4DC2" w:rsidRDefault="00DB4DC2" w:rsidP="00DB4DC2">
      <w:pPr>
        <w:spacing w:line="240" w:lineRule="exact"/>
        <w:ind w:firstLine="420"/>
        <w:rPr>
          <w:rFonts w:eastAsia="宋体" w:cs="Times New Roman" w:hint="eastAsia"/>
        </w:rPr>
      </w:pPr>
      <w:r w:rsidRPr="00DB4DC2">
        <w:rPr>
          <w:rFonts w:eastAsia="宋体" w:cs="Times New Roman" w:hint="eastAsia"/>
        </w:rPr>
        <w:t>对于监察机关移送起诉的未采取留置措施的案件，人民检察院受理后，在审查起诉过程中根据案件情况，可以依照本规则相关规定决定是否采取逮捕、取保候审或者监视居住措施。</w:t>
      </w:r>
    </w:p>
    <w:p w14:paraId="7D3FF320" w14:textId="019BF02B" w:rsidR="00167803" w:rsidRDefault="00CB04AF">
      <w:pPr>
        <w:pStyle w:val="3"/>
        <w:spacing w:line="240" w:lineRule="exact"/>
        <w:ind w:firstLineChars="200" w:firstLine="420"/>
        <w:rPr>
          <w:rFonts w:eastAsia="宋体" w:hint="eastAsia"/>
          <w:sz w:val="21"/>
        </w:rPr>
      </w:pPr>
      <w:r>
        <w:rPr>
          <w:rFonts w:eastAsia="宋体" w:hint="eastAsia"/>
          <w:sz w:val="21"/>
        </w:rPr>
        <w:t>（</w:t>
      </w:r>
      <w:r w:rsidR="00DB4DC2">
        <w:rPr>
          <w:rFonts w:eastAsia="宋体" w:hint="eastAsia"/>
          <w:sz w:val="21"/>
        </w:rPr>
        <w:t>四</w:t>
      </w:r>
      <w:r>
        <w:rPr>
          <w:rFonts w:eastAsia="宋体" w:hint="eastAsia"/>
          <w:sz w:val="21"/>
        </w:rPr>
        <w:t>）</w:t>
      </w:r>
      <w:r w:rsidRPr="00CB04AF">
        <w:rPr>
          <w:rFonts w:eastAsia="宋体" w:hint="eastAsia"/>
          <w:sz w:val="21"/>
        </w:rPr>
        <w:t>退回补充调查与自行补充侦查</w:t>
      </w:r>
    </w:p>
    <w:p w14:paraId="664A8197" w14:textId="77777777" w:rsidR="00CB04AF" w:rsidRPr="00CB04AF" w:rsidRDefault="00CB04AF" w:rsidP="00CB04AF">
      <w:pPr>
        <w:spacing w:line="240" w:lineRule="exact"/>
        <w:ind w:firstLine="420"/>
        <w:rPr>
          <w:rFonts w:eastAsia="宋体" w:cs="Times New Roman" w:hint="eastAsia"/>
        </w:rPr>
      </w:pPr>
      <w:r w:rsidRPr="00CB04AF">
        <w:rPr>
          <w:rFonts w:eastAsia="宋体" w:cs="Times New Roman" w:hint="eastAsia"/>
        </w:rPr>
        <w:t>人民检察院对于监察机关移送起诉的案件进行审查后，认为需要补充核实的，应当退回监察机关补充调查，必要时可以自行补充侦查。</w:t>
      </w:r>
    </w:p>
    <w:p w14:paraId="535A6362" w14:textId="77777777" w:rsidR="00CB04AF" w:rsidRPr="00CB04AF" w:rsidRDefault="00CB04AF" w:rsidP="00CB04AF">
      <w:pPr>
        <w:spacing w:line="240" w:lineRule="exact"/>
        <w:ind w:firstLine="420"/>
        <w:rPr>
          <w:rFonts w:eastAsia="宋体" w:cs="Times New Roman" w:hint="eastAsia"/>
        </w:rPr>
      </w:pPr>
      <w:r w:rsidRPr="00CB04AF">
        <w:rPr>
          <w:rFonts w:eastAsia="宋体" w:cs="Times New Roman" w:hint="eastAsia"/>
        </w:rPr>
        <w:t>对于监察机关移送起诉的案件，具有下列情形之一的，人民检察院可以自行补充侦查：</w:t>
      </w:r>
    </w:p>
    <w:p w14:paraId="4DA38529" w14:textId="77777777" w:rsidR="00CB04AF" w:rsidRPr="00CB04AF" w:rsidRDefault="00CB04AF" w:rsidP="00CB04AF">
      <w:pPr>
        <w:spacing w:line="240" w:lineRule="exact"/>
        <w:ind w:firstLine="420"/>
        <w:rPr>
          <w:rFonts w:eastAsia="宋体" w:cs="Times New Roman" w:hint="eastAsia"/>
        </w:rPr>
      </w:pPr>
      <w:r w:rsidRPr="00CB04AF">
        <w:rPr>
          <w:rFonts w:eastAsia="宋体" w:cs="Times New Roman" w:hint="eastAsia"/>
        </w:rPr>
        <w:t>1．证人证言、犯罪嫌疑人供述和辩解、被害人陈述的内容主要情节一致，个别情节不一致的；</w:t>
      </w:r>
    </w:p>
    <w:p w14:paraId="15385894" w14:textId="77777777" w:rsidR="00CB04AF" w:rsidRPr="00CB04AF" w:rsidRDefault="00CB04AF" w:rsidP="00CB04AF">
      <w:pPr>
        <w:spacing w:line="240" w:lineRule="exact"/>
        <w:ind w:firstLine="420"/>
        <w:rPr>
          <w:rFonts w:eastAsia="宋体" w:cs="Times New Roman" w:hint="eastAsia"/>
        </w:rPr>
      </w:pPr>
      <w:r w:rsidRPr="00CB04AF">
        <w:rPr>
          <w:rFonts w:eastAsia="宋体" w:cs="Times New Roman" w:hint="eastAsia"/>
        </w:rPr>
        <w:t>2．物证、书证等证据材料需要补充鉴定的；</w:t>
      </w:r>
    </w:p>
    <w:p w14:paraId="2DAAE1B6" w14:textId="77777777" w:rsidR="00CB04AF" w:rsidRPr="00CB04AF" w:rsidRDefault="00CB04AF" w:rsidP="00CB04AF">
      <w:pPr>
        <w:spacing w:line="240" w:lineRule="exact"/>
        <w:ind w:firstLine="420"/>
        <w:rPr>
          <w:rFonts w:eastAsia="宋体" w:cs="Times New Roman" w:hint="eastAsia"/>
        </w:rPr>
      </w:pPr>
      <w:r w:rsidRPr="00CB04AF">
        <w:rPr>
          <w:rFonts w:eastAsia="宋体" w:cs="Times New Roman" w:hint="eastAsia"/>
        </w:rPr>
        <w:t>3．其他由人民检察院查证更为便利、更有效率、更有利于查清案件事实的情形。</w:t>
      </w:r>
    </w:p>
    <w:p w14:paraId="3534D832" w14:textId="77777777" w:rsidR="00605BA0" w:rsidRDefault="00CB04AF" w:rsidP="00605BA0">
      <w:pPr>
        <w:spacing w:line="240" w:lineRule="exact"/>
        <w:ind w:firstLine="420"/>
        <w:rPr>
          <w:rFonts w:eastAsia="宋体" w:cs="Times New Roman" w:hint="eastAsia"/>
        </w:rPr>
      </w:pPr>
      <w:r w:rsidRPr="00CB04AF">
        <w:rPr>
          <w:rFonts w:eastAsia="宋体" w:cs="Times New Roman" w:hint="eastAsia"/>
        </w:rPr>
        <w:t>自行补充侦查完毕后，应当将相关证据材料入卷，同时抄送监察机关。人民检察院自行补充侦查的，可以商请监察机关提供协助。</w:t>
      </w:r>
    </w:p>
    <w:p w14:paraId="3DD7C6FB" w14:textId="35CA83F3" w:rsidR="00167803" w:rsidRPr="00605BA0" w:rsidRDefault="00CB04AF" w:rsidP="00605BA0">
      <w:pPr>
        <w:spacing w:line="240" w:lineRule="exact"/>
        <w:ind w:firstLine="422"/>
        <w:rPr>
          <w:rFonts w:eastAsia="宋体" w:cs="Times New Roman" w:hint="eastAsia"/>
        </w:rPr>
      </w:pPr>
      <w:r>
        <w:rPr>
          <w:rFonts w:eastAsia="宋体" w:hint="eastAsia"/>
          <w:b/>
          <w:color w:val="auto"/>
        </w:rPr>
        <w:t>二、《监察法》要点</w:t>
      </w:r>
      <w:bookmarkEnd w:id="20"/>
      <w:bookmarkEnd w:id="21"/>
    </w:p>
    <w:p w14:paraId="448AAC96" w14:textId="77777777" w:rsidR="00CB04AF" w:rsidRPr="00CB04AF" w:rsidRDefault="00CB04AF" w:rsidP="00CB04AF">
      <w:pPr>
        <w:pStyle w:val="3"/>
        <w:spacing w:line="240" w:lineRule="exact"/>
        <w:ind w:firstLineChars="200" w:firstLine="420"/>
        <w:rPr>
          <w:rFonts w:eastAsia="宋体" w:hint="eastAsia"/>
          <w:sz w:val="21"/>
        </w:rPr>
      </w:pPr>
      <w:r>
        <w:rPr>
          <w:rFonts w:eastAsia="宋体" w:hint="eastAsia"/>
          <w:sz w:val="21"/>
        </w:rPr>
        <w:t>（一）</w:t>
      </w:r>
      <w:r w:rsidRPr="00CB04AF">
        <w:rPr>
          <w:rFonts w:eastAsia="宋体" w:hint="eastAsia"/>
          <w:sz w:val="21"/>
        </w:rPr>
        <w:t>上下级监察委之间是领导与被领导的关系</w:t>
      </w:r>
    </w:p>
    <w:p w14:paraId="29DA5C44" w14:textId="77777777" w:rsidR="00CB04AF" w:rsidRDefault="00CB04AF" w:rsidP="00CB04AF">
      <w:pPr>
        <w:pStyle w:val="3"/>
        <w:spacing w:line="240" w:lineRule="exact"/>
        <w:ind w:firstLineChars="200" w:firstLine="420"/>
        <w:rPr>
          <w:rFonts w:eastAsia="宋体" w:hint="eastAsia"/>
          <w:sz w:val="21"/>
        </w:rPr>
      </w:pPr>
      <w:r w:rsidRPr="00CB04AF">
        <w:rPr>
          <w:rFonts w:eastAsia="宋体" w:hint="eastAsia"/>
          <w:sz w:val="21"/>
        </w:rPr>
        <w:t>上级监察机关可以将其所管辖的监察事项指定下级监察机关管辖，也可以将下级监察机关有管辖权的监察事项指定给其他监察机关管辖。监察机关认为所管辖的监察事项重大、复杂，需要由上级监察机关管辖的，可以报请上级监察机关管辖。</w:t>
      </w:r>
    </w:p>
    <w:p w14:paraId="49BBF3D2" w14:textId="4F848475" w:rsidR="00CB04AF" w:rsidRPr="00CB04AF" w:rsidRDefault="00CB04AF" w:rsidP="00CB04AF">
      <w:pPr>
        <w:pStyle w:val="3"/>
        <w:spacing w:line="240" w:lineRule="exact"/>
        <w:ind w:firstLineChars="200" w:firstLine="420"/>
        <w:jc w:val="both"/>
        <w:rPr>
          <w:rFonts w:eastAsia="宋体" w:hint="eastAsia"/>
          <w:sz w:val="21"/>
        </w:rPr>
      </w:pPr>
      <w:r w:rsidRPr="00CB04AF">
        <w:rPr>
          <w:rFonts w:eastAsia="宋体" w:hint="eastAsia"/>
          <w:sz w:val="21"/>
        </w:rPr>
        <w:t>（二）强制到案</w:t>
      </w:r>
    </w:p>
    <w:p w14:paraId="4A859EF9" w14:textId="77777777" w:rsidR="00CB04AF" w:rsidRPr="00CB04AF" w:rsidRDefault="00CB04AF" w:rsidP="00CB04AF">
      <w:pPr>
        <w:spacing w:line="240" w:lineRule="exact"/>
        <w:ind w:firstLine="420"/>
        <w:rPr>
          <w:rFonts w:eastAsia="宋体" w:hint="eastAsia"/>
        </w:rPr>
      </w:pPr>
      <w:r w:rsidRPr="00CB04AF">
        <w:rPr>
          <w:rFonts w:eastAsia="宋体" w:hint="eastAsia"/>
        </w:rPr>
        <w:t>1．条件：监察机关根据案件情况，经依法审批，可以强制涉嫌严重职务违法或者职务犯罪的被调查人到案接受调查。</w:t>
      </w:r>
    </w:p>
    <w:p w14:paraId="36861BF3" w14:textId="03308E94" w:rsidR="00CB04AF" w:rsidRDefault="00CB04AF" w:rsidP="00CB04AF">
      <w:pPr>
        <w:spacing w:line="240" w:lineRule="exact"/>
        <w:ind w:firstLine="420"/>
        <w:rPr>
          <w:rFonts w:eastAsia="宋体" w:hint="eastAsia"/>
        </w:rPr>
      </w:pPr>
      <w:r w:rsidRPr="00CB04AF">
        <w:rPr>
          <w:rFonts w:eastAsia="宋体" w:hint="eastAsia"/>
        </w:rPr>
        <w:t>2．期限：强制到案持续的时间不得超过十二小时；需要采取管护或者留置措施的，强制到案持续的时间不得超过二十四小时。不得以连续强制到案的方式变相拘禁被调查人。</w:t>
      </w:r>
    </w:p>
    <w:p w14:paraId="2A400B8D" w14:textId="4A32542F" w:rsidR="008475C7" w:rsidRPr="008475C7" w:rsidRDefault="008475C7" w:rsidP="008475C7">
      <w:pPr>
        <w:spacing w:line="240" w:lineRule="exact"/>
        <w:ind w:firstLine="420"/>
        <w:rPr>
          <w:rFonts w:eastAsia="宋体" w:hint="eastAsia"/>
        </w:rPr>
      </w:pPr>
      <w:r w:rsidRPr="008475C7">
        <w:rPr>
          <w:rFonts w:eastAsia="宋体" w:hint="eastAsia"/>
        </w:rPr>
        <w:t>（</w:t>
      </w:r>
      <w:r>
        <w:rPr>
          <w:rFonts w:eastAsia="宋体" w:hint="eastAsia"/>
        </w:rPr>
        <w:t>三</w:t>
      </w:r>
      <w:r w:rsidRPr="008475C7">
        <w:rPr>
          <w:rFonts w:eastAsia="宋体" w:hint="eastAsia"/>
        </w:rPr>
        <w:t>）管护</w:t>
      </w:r>
      <w:r>
        <w:rPr>
          <w:rFonts w:eastAsia="宋体" w:hint="eastAsia"/>
        </w:rPr>
        <w:t>（类似拘留）</w:t>
      </w:r>
    </w:p>
    <w:p w14:paraId="7607E7A0" w14:textId="77777777" w:rsidR="008475C7" w:rsidRPr="008475C7" w:rsidRDefault="008475C7" w:rsidP="008475C7">
      <w:pPr>
        <w:spacing w:line="240" w:lineRule="exact"/>
        <w:ind w:firstLine="420"/>
        <w:rPr>
          <w:rFonts w:eastAsia="宋体" w:hint="eastAsia"/>
        </w:rPr>
      </w:pPr>
      <w:r w:rsidRPr="008475C7">
        <w:rPr>
          <w:rFonts w:eastAsia="宋体" w:hint="eastAsia"/>
        </w:rPr>
        <w:t>1．条件：对于未被留置的下列人员，监察机关发现存在逃跑、自杀等重大安全风险的，经依法审批，可以进行管护：（1）涉嫌严重职务违法或者职务犯罪的自动投案人员；（2）在接受谈话、函询、询问过程中，交代涉嫌严重职务违法或者职务犯罪问题的人员；（3）在接受讯问过程中，主动交代涉嫌重大职务犯罪问题的人员。</w:t>
      </w:r>
    </w:p>
    <w:p w14:paraId="284DE94D" w14:textId="77777777" w:rsidR="008475C7" w:rsidRPr="008475C7" w:rsidRDefault="008475C7" w:rsidP="008475C7">
      <w:pPr>
        <w:spacing w:line="240" w:lineRule="exact"/>
        <w:ind w:firstLine="420"/>
        <w:rPr>
          <w:rFonts w:eastAsia="宋体" w:hint="eastAsia"/>
        </w:rPr>
      </w:pPr>
      <w:r w:rsidRPr="008475C7">
        <w:rPr>
          <w:rFonts w:eastAsia="宋体" w:hint="eastAsia"/>
        </w:rPr>
        <w:t>2．</w:t>
      </w:r>
      <w:r w:rsidRPr="008475C7">
        <w:rPr>
          <w:rFonts w:eastAsia="宋体" w:hint="eastAsia"/>
          <w:color w:val="EE0000"/>
        </w:rPr>
        <w:t>管护场所：采取管护措施后，应当立即将被管护人员送留置场所，至迟不得超过二十四小时。</w:t>
      </w:r>
    </w:p>
    <w:p w14:paraId="4FFBF255" w14:textId="77777777" w:rsidR="008475C7" w:rsidRPr="008475C7" w:rsidRDefault="008475C7" w:rsidP="008475C7">
      <w:pPr>
        <w:spacing w:line="240" w:lineRule="exact"/>
        <w:ind w:firstLine="420"/>
        <w:rPr>
          <w:rFonts w:eastAsia="宋体" w:hint="eastAsia"/>
        </w:rPr>
      </w:pPr>
      <w:r w:rsidRPr="008475C7">
        <w:rPr>
          <w:rFonts w:eastAsia="宋体" w:hint="eastAsia"/>
        </w:rPr>
        <w:t>3．期限：监察机关采取管护措施的，应当在七日以内依法作出留置或者解除管护的决定，特殊情况下可以延长一日至三日。</w:t>
      </w:r>
    </w:p>
    <w:p w14:paraId="0F8C8C09" w14:textId="77777777" w:rsidR="008475C7" w:rsidRPr="008475C7" w:rsidRDefault="008475C7" w:rsidP="008475C7">
      <w:pPr>
        <w:spacing w:line="240" w:lineRule="exact"/>
        <w:ind w:firstLine="420"/>
        <w:rPr>
          <w:rFonts w:eastAsia="宋体" w:hint="eastAsia"/>
        </w:rPr>
      </w:pPr>
      <w:r w:rsidRPr="008475C7">
        <w:rPr>
          <w:rFonts w:eastAsia="宋体" w:hint="eastAsia"/>
        </w:rPr>
        <w:t>4．通知：采取管护或者留置措施后，应当在二十四小时以内，通知被管护人员、被留置人员所在单位和家属，但有可能伪造、隐匿、毁灭证据，干扰证人作证或者串供等有碍调查情形的除外。有碍调查的情形消失后，应当立即通知被管护人员、被留置人员所在单位和家属。解除管护或者留置的，应当及时通知被管护人员、被留置人员所在单位和家属。</w:t>
      </w:r>
    </w:p>
    <w:p w14:paraId="69DB37D3" w14:textId="64D38AF6" w:rsidR="008475C7" w:rsidRDefault="008475C7" w:rsidP="008475C7">
      <w:pPr>
        <w:spacing w:line="240" w:lineRule="exact"/>
        <w:ind w:firstLine="420"/>
        <w:rPr>
          <w:rFonts w:eastAsia="宋体" w:hint="eastAsia"/>
        </w:rPr>
      </w:pPr>
      <w:r w:rsidRPr="008475C7">
        <w:rPr>
          <w:rFonts w:eastAsia="宋体" w:hint="eastAsia"/>
        </w:rPr>
        <w:t>5．</w:t>
      </w:r>
      <w:r w:rsidRPr="008475C7">
        <w:rPr>
          <w:rFonts w:eastAsia="宋体" w:hint="eastAsia"/>
          <w:color w:val="EE0000"/>
        </w:rPr>
        <w:t>刑期折抵：被管护人员、被留置人员涉嫌犯罪移送司法机关后，被依法判处管制、拘役或者有期徒刑的，管护、留置一日折抵管制二日，折抵拘役、有期徒刑一日。</w:t>
      </w:r>
    </w:p>
    <w:p w14:paraId="19F95C55" w14:textId="337A2616" w:rsidR="00167803" w:rsidRDefault="00DF76CF" w:rsidP="00DF76CF">
      <w:pPr>
        <w:spacing w:line="240" w:lineRule="exact"/>
        <w:ind w:firstLine="420"/>
        <w:rPr>
          <w:rFonts w:eastAsia="宋体" w:hint="eastAsia"/>
        </w:rPr>
      </w:pPr>
      <w:r>
        <w:rPr>
          <w:rFonts w:eastAsia="宋体" w:hint="eastAsia"/>
        </w:rPr>
        <w:t>（</w:t>
      </w:r>
      <w:r w:rsidR="008475C7">
        <w:rPr>
          <w:rFonts w:eastAsia="宋体" w:hint="eastAsia"/>
        </w:rPr>
        <w:t>四</w:t>
      </w:r>
      <w:r>
        <w:rPr>
          <w:rFonts w:eastAsia="宋体" w:hint="eastAsia"/>
        </w:rPr>
        <w:t>）留置</w:t>
      </w:r>
      <w:r w:rsidR="004D00A9">
        <w:rPr>
          <w:rFonts w:eastAsia="宋体" w:hint="eastAsia"/>
        </w:rPr>
        <w:t>（类似于逮捕）</w:t>
      </w:r>
    </w:p>
    <w:p w14:paraId="0E57F7DB" w14:textId="77777777" w:rsidR="00167803" w:rsidRDefault="00000000">
      <w:pPr>
        <w:spacing w:line="240" w:lineRule="exact"/>
        <w:ind w:firstLine="420"/>
        <w:rPr>
          <w:rFonts w:eastAsia="宋体" w:cs="Times New Roman" w:hint="eastAsia"/>
        </w:rPr>
      </w:pPr>
      <w:r>
        <w:rPr>
          <w:rFonts w:eastAsia="宋体" w:cs="Times New Roman" w:hint="eastAsia"/>
        </w:rPr>
        <w:t>1．条件：</w:t>
      </w:r>
      <w:r>
        <w:rPr>
          <w:rFonts w:eastAsia="宋体" w:cs="Times New Roman" w:hint="eastAsia"/>
          <w:color w:val="FF0000"/>
        </w:rPr>
        <w:t>被调查人涉嫌贪污贿赂、失职渎职等严重职务违法或者职务犯罪，监察机关已经掌握其部分违法犯罪事实及证据，仍有重要问题需要进一步调查</w:t>
      </w:r>
      <w:r>
        <w:rPr>
          <w:rFonts w:eastAsia="宋体" w:cs="Times New Roman" w:hint="eastAsia"/>
        </w:rPr>
        <w:t>，并有下列情形之一的，经监察机关依法审批，可以将其留置在特定场所：（一）涉及案情重大、复杂的；（二）可能逃跑、自杀的；（三）可能串供或者伪造、隐匿、毁灭证据的；（四）可能有其他妨碍调查行为的。</w:t>
      </w:r>
      <w:r>
        <w:rPr>
          <w:rFonts w:eastAsia="宋体" w:cs="Times New Roman" w:hint="eastAsia"/>
          <w:color w:val="FF0000"/>
        </w:rPr>
        <w:t>对涉嫌行贿犯罪或者共同职务犯罪的涉案人员，监察机关可以依照前款规定采取留置措施</w:t>
      </w:r>
      <w:r>
        <w:rPr>
          <w:rFonts w:eastAsia="宋体" w:cs="Times New Roman" w:hint="eastAsia"/>
        </w:rPr>
        <w:t>。留置场所的设置、管理和监督依照国家有关规定执行。</w:t>
      </w:r>
    </w:p>
    <w:p w14:paraId="5FCC5144" w14:textId="3D07846E" w:rsidR="00167803" w:rsidRDefault="00000000">
      <w:pPr>
        <w:spacing w:line="240" w:lineRule="exact"/>
        <w:ind w:firstLine="420"/>
        <w:rPr>
          <w:rFonts w:eastAsia="宋体" w:cs="Times New Roman" w:hint="eastAsia"/>
        </w:rPr>
      </w:pPr>
      <w:r>
        <w:rPr>
          <w:rFonts w:eastAsia="宋体" w:cs="Times New Roman" w:hint="eastAsia"/>
        </w:rPr>
        <w:t>2．期限：监察机关采取留置措施，应当由监察机关领导人员集体研究决定。</w:t>
      </w:r>
      <w:r>
        <w:rPr>
          <w:rFonts w:eastAsia="宋体" w:cs="Times New Roman" w:hint="eastAsia"/>
          <w:color w:val="FF0000"/>
        </w:rPr>
        <w:t>设区的市级以下监察机关采取留置措施，应当报上一级监察机关批准。省级监察机关采取留置措施，应当报国家监察委员会备案。留置时间不得超过三个月。在特殊情况下，可以延长一次，延长时间不得超过三个月。省级以下监察机关采取留置措施的，延长留置时间应当报上一级监察机关批准。</w:t>
      </w:r>
      <w:r>
        <w:rPr>
          <w:rFonts w:eastAsia="宋体" w:cs="Times New Roman" w:hint="eastAsia"/>
        </w:rPr>
        <w:t>监察机关发现采取留置措施不当的，应当及时解除。</w:t>
      </w:r>
    </w:p>
    <w:p w14:paraId="3C568D32" w14:textId="77777777" w:rsidR="00167803" w:rsidRDefault="00000000">
      <w:pPr>
        <w:spacing w:line="240" w:lineRule="exact"/>
        <w:ind w:firstLine="420"/>
        <w:rPr>
          <w:rFonts w:eastAsia="宋体" w:cs="Times New Roman" w:hint="eastAsia"/>
        </w:rPr>
      </w:pPr>
      <w:r>
        <w:rPr>
          <w:rFonts w:eastAsia="宋体" w:cs="Times New Roman" w:hint="eastAsia"/>
        </w:rPr>
        <w:lastRenderedPageBreak/>
        <w:t>3．通知：对被调查人采取留置措施后，</w:t>
      </w:r>
      <w:r>
        <w:rPr>
          <w:rFonts w:eastAsia="宋体" w:cs="Times New Roman" w:hint="eastAsia"/>
          <w:color w:val="FF0000"/>
        </w:rPr>
        <w:t>应当在二十四小时以内</w:t>
      </w:r>
      <w:r>
        <w:rPr>
          <w:rFonts w:eastAsia="宋体" w:cs="Times New Roman" w:hint="eastAsia"/>
        </w:rPr>
        <w:t>，通知被留置人员所在单位和家属，但有可能毁灭、伪造证据，干扰证人作证或者串供等有碍调查情形的除外。有碍调查的情形消失后，应当立即通知被留置人员所在单位和家属。</w:t>
      </w:r>
    </w:p>
    <w:p w14:paraId="21B71124" w14:textId="6BD5862F" w:rsidR="009F0DDD" w:rsidRPr="008718C0" w:rsidRDefault="009F0DDD" w:rsidP="009F0DDD">
      <w:pPr>
        <w:pStyle w:val="1"/>
        <w:spacing w:before="0" w:line="240" w:lineRule="exact"/>
        <w:rPr>
          <w:rFonts w:ascii="宋体" w:eastAsia="宋体" w:hAnsi="宋体" w:hint="eastAsia"/>
          <w:b/>
          <w:bCs w:val="0"/>
          <w:color w:val="FF0000"/>
          <w:sz w:val="22"/>
          <w:szCs w:val="22"/>
        </w:rPr>
      </w:pPr>
      <w:r w:rsidRPr="008718C0">
        <w:rPr>
          <w:rFonts w:ascii="宋体" w:eastAsia="宋体" w:hAnsi="宋体" w:hint="eastAsia"/>
          <w:b/>
          <w:bCs w:val="0"/>
          <w:color w:val="FF0000"/>
          <w:sz w:val="22"/>
          <w:szCs w:val="22"/>
        </w:rPr>
        <w:t>考点</w:t>
      </w:r>
      <w:r>
        <w:rPr>
          <w:rFonts w:ascii="宋体" w:eastAsia="宋体" w:hAnsi="宋体" w:hint="eastAsia"/>
          <w:b/>
          <w:bCs w:val="0"/>
          <w:color w:val="FF0000"/>
          <w:sz w:val="22"/>
          <w:szCs w:val="22"/>
        </w:rPr>
        <w:t>23</w:t>
      </w:r>
      <w:r w:rsidRPr="008718C0">
        <w:rPr>
          <w:rFonts w:ascii="宋体" w:eastAsia="宋体" w:hAnsi="宋体" w:hint="eastAsia"/>
          <w:b/>
          <w:bCs w:val="0"/>
          <w:color w:val="FF0000"/>
          <w:sz w:val="22"/>
          <w:szCs w:val="22"/>
        </w:rPr>
        <w:t xml:space="preserve">  不起诉（</w:t>
      </w:r>
      <w:r w:rsidR="00D07DDF">
        <w:rPr>
          <w:rFonts w:ascii="宋体" w:eastAsia="宋体" w:hAnsi="宋体" w:hint="eastAsia"/>
          <w:b/>
          <w:bCs w:val="0"/>
          <w:color w:val="FF0000"/>
          <w:sz w:val="22"/>
          <w:szCs w:val="22"/>
        </w:rPr>
        <w:t>21</w:t>
      </w:r>
      <w:r w:rsidRPr="008718C0">
        <w:rPr>
          <w:rFonts w:ascii="宋体" w:eastAsia="宋体" w:hAnsi="宋体"/>
          <w:b/>
          <w:bCs w:val="0"/>
          <w:color w:val="FF0000"/>
          <w:sz w:val="22"/>
          <w:szCs w:val="22"/>
        </w:rPr>
        <w:t>:</w:t>
      </w:r>
      <w:r w:rsidR="00D07DDF">
        <w:rPr>
          <w:rFonts w:ascii="宋体" w:eastAsia="宋体" w:hAnsi="宋体" w:hint="eastAsia"/>
          <w:b/>
          <w:bCs w:val="0"/>
          <w:color w:val="FF0000"/>
          <w:sz w:val="22"/>
          <w:szCs w:val="22"/>
        </w:rPr>
        <w:t>45</w:t>
      </w:r>
      <w:r w:rsidRPr="008718C0">
        <w:rPr>
          <w:rFonts w:ascii="宋体" w:eastAsia="宋体" w:hAnsi="宋体"/>
          <w:b/>
          <w:bCs w:val="0"/>
          <w:color w:val="FF0000"/>
          <w:sz w:val="22"/>
          <w:szCs w:val="22"/>
        </w:rPr>
        <w:t>:00-</w:t>
      </w:r>
      <w:r w:rsidR="00C75961">
        <w:rPr>
          <w:rFonts w:ascii="宋体" w:eastAsia="宋体" w:hAnsi="宋体" w:hint="eastAsia"/>
          <w:b/>
          <w:bCs w:val="0"/>
          <w:color w:val="FF0000"/>
          <w:sz w:val="22"/>
          <w:szCs w:val="22"/>
        </w:rPr>
        <w:t>22</w:t>
      </w:r>
      <w:r w:rsidRPr="008718C0">
        <w:rPr>
          <w:rFonts w:ascii="宋体" w:eastAsia="宋体" w:hAnsi="宋体"/>
          <w:b/>
          <w:bCs w:val="0"/>
          <w:color w:val="FF0000"/>
          <w:sz w:val="22"/>
          <w:szCs w:val="22"/>
        </w:rPr>
        <w:t>:</w:t>
      </w:r>
      <w:r w:rsidR="00C75961">
        <w:rPr>
          <w:rFonts w:ascii="宋体" w:eastAsia="宋体" w:hAnsi="宋体" w:hint="eastAsia"/>
          <w:b/>
          <w:bCs w:val="0"/>
          <w:color w:val="FF0000"/>
          <w:sz w:val="22"/>
          <w:szCs w:val="22"/>
        </w:rPr>
        <w:t>13</w:t>
      </w:r>
      <w:r w:rsidRPr="008718C0">
        <w:rPr>
          <w:rFonts w:ascii="宋体" w:eastAsia="宋体" w:hAnsi="宋体"/>
          <w:b/>
          <w:bCs w:val="0"/>
          <w:color w:val="FF0000"/>
          <w:sz w:val="22"/>
          <w:szCs w:val="22"/>
        </w:rPr>
        <w:t>:00）</w:t>
      </w:r>
    </w:p>
    <w:p w14:paraId="07196853" w14:textId="5D202439" w:rsidR="009F0DDD" w:rsidRPr="0087325A" w:rsidRDefault="009F0DDD" w:rsidP="009F0DDD">
      <w:pPr>
        <w:pStyle w:val="3"/>
        <w:spacing w:line="240" w:lineRule="exact"/>
        <w:ind w:firstLineChars="200" w:firstLine="420"/>
        <w:rPr>
          <w:rFonts w:eastAsia="宋体" w:hint="eastAsia"/>
          <w:sz w:val="21"/>
        </w:rPr>
      </w:pPr>
      <w:bookmarkStart w:id="26" w:name="_Toc510879082"/>
      <w:r w:rsidRPr="0087325A">
        <w:rPr>
          <w:rFonts w:eastAsia="宋体" w:hint="eastAsia"/>
          <w:sz w:val="21"/>
        </w:rPr>
        <w:t>一、</w:t>
      </w:r>
      <w:bookmarkEnd w:id="26"/>
      <w:r w:rsidR="00B31E75">
        <w:rPr>
          <w:rFonts w:eastAsia="宋体" w:hint="eastAsia"/>
          <w:sz w:val="21"/>
        </w:rPr>
        <w:t>各类不起诉的适用情形及相关要求</w:t>
      </w:r>
    </w:p>
    <w:p w14:paraId="74C3EE3F" w14:textId="77777777" w:rsidR="009F0DDD" w:rsidRPr="0087325A" w:rsidRDefault="009F0DDD" w:rsidP="009F0DDD">
      <w:pPr>
        <w:pStyle w:val="4"/>
        <w:spacing w:line="240" w:lineRule="exact"/>
        <w:ind w:firstLineChars="200" w:firstLine="420"/>
        <w:rPr>
          <w:rFonts w:ascii="宋体" w:eastAsia="宋体" w:hAnsi="宋体" w:hint="eastAsia"/>
          <w:sz w:val="21"/>
          <w:szCs w:val="21"/>
        </w:rPr>
      </w:pPr>
      <w:r w:rsidRPr="0087325A">
        <w:rPr>
          <w:rFonts w:ascii="宋体" w:eastAsia="宋体" w:hAnsi="宋体" w:hint="eastAsia"/>
          <w:sz w:val="21"/>
          <w:szCs w:val="21"/>
        </w:rPr>
        <w:t>（一）法定不起诉</w:t>
      </w:r>
    </w:p>
    <w:p w14:paraId="1B97ECA3" w14:textId="77777777" w:rsidR="009F0DDD" w:rsidRPr="0087325A" w:rsidRDefault="009F0DDD" w:rsidP="009F0DDD">
      <w:pPr>
        <w:spacing w:line="240" w:lineRule="exact"/>
        <w:ind w:firstLine="420"/>
        <w:rPr>
          <w:rFonts w:eastAsia="宋体" w:cs="仿宋_GB2312" w:hint="eastAsia"/>
          <w:bCs/>
        </w:rPr>
      </w:pPr>
      <w:r w:rsidRPr="0087325A">
        <w:rPr>
          <w:rFonts w:eastAsia="宋体" w:hint="eastAsia"/>
          <w:kern w:val="0"/>
        </w:rPr>
        <w:t>法定不起诉是指，犯罪嫌疑人没有犯罪事实，或者有刑诉法第16条规定的情形之一的，人民检察院应当作出不起诉决定。</w:t>
      </w:r>
      <w:r w:rsidRPr="0087325A">
        <w:rPr>
          <w:rFonts w:eastAsia="宋体" w:cs="仿宋_GB2312" w:hint="eastAsia"/>
          <w:bCs/>
          <w:color w:val="FF0000"/>
        </w:rPr>
        <w:t>对于犯罪嫌疑人没有犯罪事实或者依法不应当追究刑事责任的，人民检察院应当、必须、只能做出不起诉决定</w:t>
      </w:r>
      <w:r w:rsidRPr="0087325A">
        <w:rPr>
          <w:rFonts w:eastAsia="宋体" w:cs="仿宋_GB2312" w:hint="eastAsia"/>
          <w:bCs/>
        </w:rPr>
        <w:t>，没有其他选择。</w:t>
      </w:r>
    </w:p>
    <w:p w14:paraId="2E5DE589" w14:textId="77777777" w:rsidR="009F0DDD" w:rsidRPr="0087325A" w:rsidRDefault="009F0DDD" w:rsidP="009F0DDD">
      <w:pPr>
        <w:pStyle w:val="4"/>
        <w:spacing w:line="240" w:lineRule="exact"/>
        <w:ind w:firstLineChars="200" w:firstLine="420"/>
        <w:rPr>
          <w:rFonts w:ascii="宋体" w:eastAsia="宋体" w:hAnsi="宋体" w:hint="eastAsia"/>
          <w:sz w:val="21"/>
          <w:szCs w:val="21"/>
        </w:rPr>
      </w:pPr>
      <w:r w:rsidRPr="0087325A">
        <w:rPr>
          <w:rFonts w:ascii="宋体" w:eastAsia="宋体" w:hAnsi="宋体" w:hint="eastAsia"/>
          <w:sz w:val="21"/>
          <w:szCs w:val="21"/>
        </w:rPr>
        <w:t>（二）酌定不起诉</w:t>
      </w:r>
    </w:p>
    <w:p w14:paraId="633B74B6" w14:textId="77777777" w:rsidR="009F0DDD" w:rsidRPr="0087325A" w:rsidRDefault="009F0DDD" w:rsidP="009F0DDD">
      <w:pPr>
        <w:spacing w:line="240" w:lineRule="exact"/>
        <w:ind w:firstLine="420"/>
        <w:rPr>
          <w:rFonts w:eastAsia="宋体" w:cs="仿宋_GB2312" w:hint="eastAsia"/>
          <w:bCs/>
        </w:rPr>
      </w:pPr>
      <w:r w:rsidRPr="0087325A">
        <w:rPr>
          <w:rFonts w:eastAsia="宋体" w:hint="eastAsia"/>
        </w:rPr>
        <w:t>酌定不起诉是指，</w:t>
      </w:r>
      <w:r w:rsidRPr="0087325A">
        <w:rPr>
          <w:rFonts w:eastAsia="宋体" w:hint="eastAsia"/>
          <w:kern w:val="0"/>
        </w:rPr>
        <w:t>对于犯罪情节轻微，依照刑法规定不需要判处刑罚或者免除刑罚的，人民检察院可以作出不起诉决定。</w:t>
      </w:r>
      <w:r w:rsidRPr="0087325A">
        <w:rPr>
          <w:rFonts w:eastAsia="宋体" w:hint="eastAsia"/>
        </w:rPr>
        <w:t>酌定不起诉又称相对不起诉。</w:t>
      </w:r>
      <w:r w:rsidRPr="0087325A">
        <w:rPr>
          <w:rFonts w:eastAsia="宋体" w:hint="eastAsia"/>
          <w:color w:val="FF0000"/>
        </w:rPr>
        <w:t>对于犯罪情节轻微，依照刑法规定不需要判处刑罚或者免除刑罚的，人民检察院可以决定不起诉，也可以决定起诉</w:t>
      </w:r>
      <w:r w:rsidRPr="0087325A">
        <w:rPr>
          <w:rFonts w:eastAsia="宋体" w:hint="eastAsia"/>
        </w:rPr>
        <w:t>。</w:t>
      </w:r>
    </w:p>
    <w:p w14:paraId="7AF94FF1" w14:textId="77777777" w:rsidR="009F0DDD" w:rsidRPr="00240BE0" w:rsidRDefault="009F0DDD" w:rsidP="009F0DDD">
      <w:pPr>
        <w:pStyle w:val="4"/>
        <w:spacing w:line="240" w:lineRule="exact"/>
        <w:ind w:firstLineChars="200" w:firstLine="420"/>
        <w:rPr>
          <w:rFonts w:ascii="宋体" w:eastAsia="宋体" w:hAnsi="宋体" w:hint="eastAsia"/>
          <w:sz w:val="21"/>
          <w:szCs w:val="21"/>
        </w:rPr>
      </w:pPr>
      <w:r w:rsidRPr="00240BE0">
        <w:rPr>
          <w:rFonts w:ascii="宋体" w:eastAsia="宋体" w:hAnsi="宋体" w:hint="eastAsia"/>
          <w:sz w:val="21"/>
          <w:szCs w:val="21"/>
        </w:rPr>
        <w:t>（三）</w:t>
      </w:r>
      <w:r w:rsidRPr="00240BE0">
        <w:rPr>
          <w:rFonts w:ascii="宋体" w:eastAsia="宋体" w:hAnsi="宋体"/>
          <w:sz w:val="21"/>
          <w:szCs w:val="21"/>
        </w:rPr>
        <w:t>存疑不起诉</w:t>
      </w:r>
      <w:r w:rsidRPr="00240BE0">
        <w:rPr>
          <w:rFonts w:ascii="宋体" w:eastAsia="宋体" w:hAnsi="宋体" w:hint="eastAsia"/>
          <w:sz w:val="21"/>
          <w:szCs w:val="21"/>
        </w:rPr>
        <w:t>/</w:t>
      </w:r>
      <w:r w:rsidRPr="00240BE0">
        <w:rPr>
          <w:rFonts w:eastAsia="宋体" w:hint="eastAsia"/>
          <w:sz w:val="21"/>
          <w:szCs w:val="21"/>
        </w:rPr>
        <w:t>证据不足不起诉</w:t>
      </w:r>
    </w:p>
    <w:p w14:paraId="497CCAFC" w14:textId="77777777" w:rsidR="009F0DDD" w:rsidRPr="0087325A" w:rsidRDefault="009F0DDD" w:rsidP="009F0DDD">
      <w:pPr>
        <w:spacing w:line="240" w:lineRule="exact"/>
        <w:ind w:firstLine="420"/>
        <w:rPr>
          <w:rFonts w:eastAsia="宋体" w:hint="eastAsia"/>
        </w:rPr>
      </w:pPr>
      <w:r w:rsidRPr="0087325A">
        <w:rPr>
          <w:rFonts w:eastAsia="宋体" w:hint="eastAsia"/>
          <w:kern w:val="0"/>
        </w:rPr>
        <w:t>人民检察院对于</w:t>
      </w:r>
      <w:r w:rsidRPr="0087325A">
        <w:rPr>
          <w:rFonts w:eastAsia="宋体" w:hint="eastAsia"/>
          <w:color w:val="FF0000"/>
          <w:kern w:val="0"/>
        </w:rPr>
        <w:t>二次退回补充侦查的案件，仍然认为证据不足，不符合起诉条件的，应当作出不起诉决定</w:t>
      </w:r>
      <w:r w:rsidRPr="0087325A">
        <w:rPr>
          <w:rFonts w:eastAsia="宋体" w:hint="eastAsia"/>
          <w:kern w:val="0"/>
        </w:rPr>
        <w:t>，和</w:t>
      </w:r>
      <w:r w:rsidRPr="0087325A">
        <w:rPr>
          <w:rFonts w:eastAsia="宋体" w:hint="eastAsia"/>
          <w:color w:val="FF0000"/>
          <w:kern w:val="0"/>
        </w:rPr>
        <w:t>对于经过一次退回补充侦查的案件，认为证据不足，不符合起诉条件，且没有退回补充侦查必要的，可以作出不起诉决定</w:t>
      </w:r>
      <w:r w:rsidRPr="0087325A">
        <w:rPr>
          <w:rFonts w:eastAsia="宋体" w:hint="eastAsia"/>
          <w:kern w:val="0"/>
        </w:rPr>
        <w:t>。</w:t>
      </w:r>
    </w:p>
    <w:p w14:paraId="08C9D793" w14:textId="77777777" w:rsidR="009F0DDD" w:rsidRPr="0087325A" w:rsidRDefault="009F0DDD" w:rsidP="009F0DDD">
      <w:pPr>
        <w:pStyle w:val="3"/>
        <w:spacing w:line="240" w:lineRule="exact"/>
        <w:ind w:firstLineChars="200" w:firstLine="420"/>
        <w:rPr>
          <w:rFonts w:eastAsia="宋体" w:hint="eastAsia"/>
          <w:sz w:val="21"/>
        </w:rPr>
      </w:pPr>
      <w:bookmarkStart w:id="27" w:name="_Toc510879083"/>
      <w:r w:rsidRPr="0087325A">
        <w:rPr>
          <w:rFonts w:eastAsia="宋体" w:hint="eastAsia"/>
          <w:sz w:val="21"/>
        </w:rPr>
        <w:t>二、不起诉的救济程序</w:t>
      </w:r>
      <w:bookmarkEnd w:id="27"/>
    </w:p>
    <w:p w14:paraId="425FCB8A" w14:textId="77777777" w:rsidR="009F0DDD" w:rsidRPr="0087325A" w:rsidRDefault="009F0DDD" w:rsidP="009F0DDD">
      <w:pPr>
        <w:pStyle w:val="4"/>
        <w:spacing w:line="240" w:lineRule="exact"/>
        <w:ind w:firstLineChars="200" w:firstLine="420"/>
        <w:rPr>
          <w:rFonts w:ascii="宋体" w:eastAsia="宋体" w:hAnsi="宋体" w:hint="eastAsia"/>
          <w:sz w:val="21"/>
          <w:szCs w:val="21"/>
        </w:rPr>
      </w:pPr>
      <w:r w:rsidRPr="0087325A">
        <w:rPr>
          <w:rFonts w:ascii="宋体" w:eastAsia="宋体" w:hAnsi="宋体" w:hint="eastAsia"/>
          <w:sz w:val="21"/>
          <w:szCs w:val="21"/>
        </w:rPr>
        <w:t>（一）公安机关要求复议、提请复核</w:t>
      </w:r>
    </w:p>
    <w:p w14:paraId="70103C41" w14:textId="77777777" w:rsidR="009F0DDD" w:rsidRPr="0087325A" w:rsidRDefault="009F0DDD" w:rsidP="009F0DDD">
      <w:pPr>
        <w:pStyle w:val="a7"/>
        <w:spacing w:line="240" w:lineRule="exact"/>
        <w:ind w:firstLine="420"/>
        <w:rPr>
          <w:rFonts w:eastAsia="宋体" w:hAnsi="宋体" w:cs="宋体" w:hint="eastAsia"/>
          <w:sz w:val="21"/>
        </w:rPr>
      </w:pPr>
      <w:r w:rsidRPr="0087325A">
        <w:rPr>
          <w:rFonts w:eastAsia="宋体" w:hAnsi="宋体" w:cs="宋体"/>
          <w:sz w:val="21"/>
        </w:rPr>
        <w:t>对于公安机关移送起诉的案件，人民检察院决定不起诉的，应当将不起诉决定书送达公安机关。</w:t>
      </w:r>
      <w:r w:rsidRPr="0087325A">
        <w:rPr>
          <w:rFonts w:eastAsia="宋体" w:hAnsi="宋体" w:cs="宋体"/>
          <w:color w:val="FF0000"/>
          <w:sz w:val="21"/>
        </w:rPr>
        <w:t>公安机关认为不起诉的决定有错误的时候，可以要求复议，如果意见不被接受，可以向上一级人民检察院提请复核</w:t>
      </w:r>
      <w:r w:rsidRPr="0087325A">
        <w:rPr>
          <w:rFonts w:eastAsia="宋体" w:hAnsi="宋体" w:cs="宋体"/>
          <w:sz w:val="21"/>
        </w:rPr>
        <w:t>。</w:t>
      </w:r>
      <w:r w:rsidRPr="00942925">
        <w:rPr>
          <w:rFonts w:eastAsia="宋体" w:hAnsi="宋体" w:cs="宋体" w:hint="eastAsia"/>
          <w:sz w:val="21"/>
          <w:highlight w:val="yellow"/>
        </w:rPr>
        <w:t>（撤案、不批捕、不起诉的决定——同级复议，上级复核）</w:t>
      </w:r>
    </w:p>
    <w:p w14:paraId="39E482A0" w14:textId="77777777" w:rsidR="009F0DDD" w:rsidRPr="0087325A" w:rsidRDefault="009F0DDD" w:rsidP="009F0DDD">
      <w:pPr>
        <w:pStyle w:val="4"/>
        <w:spacing w:line="240" w:lineRule="exact"/>
        <w:ind w:firstLineChars="200" w:firstLine="420"/>
        <w:rPr>
          <w:rFonts w:ascii="宋体" w:eastAsia="宋体" w:hAnsi="宋体" w:hint="eastAsia"/>
          <w:sz w:val="21"/>
          <w:szCs w:val="21"/>
        </w:rPr>
      </w:pPr>
      <w:r w:rsidRPr="0087325A">
        <w:rPr>
          <w:rFonts w:ascii="宋体" w:eastAsia="宋体" w:hAnsi="宋体" w:hint="eastAsia"/>
          <w:sz w:val="21"/>
          <w:szCs w:val="21"/>
        </w:rPr>
        <w:t>（二）被害人申诉或自诉</w:t>
      </w:r>
    </w:p>
    <w:p w14:paraId="0E73F517" w14:textId="77777777" w:rsidR="009F0DDD" w:rsidRPr="0087325A" w:rsidRDefault="009F0DDD" w:rsidP="009F0DDD">
      <w:pPr>
        <w:pStyle w:val="a7"/>
        <w:spacing w:line="240" w:lineRule="exact"/>
        <w:ind w:firstLine="420"/>
        <w:rPr>
          <w:rFonts w:eastAsia="宋体" w:hAnsi="宋体" w:cs="宋体" w:hint="eastAsia"/>
          <w:sz w:val="21"/>
        </w:rPr>
      </w:pPr>
      <w:r w:rsidRPr="0087325A">
        <w:rPr>
          <w:rFonts w:eastAsia="宋体" w:hAnsi="宋体" w:cs="宋体"/>
          <w:sz w:val="21"/>
        </w:rPr>
        <w:t>对于有被害人的案件，决定不起诉的，人民检察院应当将不起诉决定书送达被害人。被害人如果不服，可以自</w:t>
      </w:r>
      <w:r w:rsidRPr="0087325A">
        <w:rPr>
          <w:rFonts w:eastAsia="宋体" w:hAnsi="宋体" w:cs="宋体"/>
          <w:color w:val="FF0000"/>
          <w:sz w:val="21"/>
        </w:rPr>
        <w:t>收到决定书后七日以内向上一级人民检察院申诉，请求提起公诉</w:t>
      </w:r>
      <w:r w:rsidRPr="0087325A">
        <w:rPr>
          <w:rFonts w:eastAsia="宋体" w:hAnsi="宋体" w:cs="宋体"/>
          <w:sz w:val="21"/>
        </w:rPr>
        <w:t>。人民检察院应当将复查决定告知被害人。对人民检察院维持不起诉决定的，被害人可以向人民法院起诉。被害人也可以不经申诉，直接向人民法院起诉。人民法院受理案件后，人民检察院应当将有关案件材料移送人民法院。</w:t>
      </w:r>
    </w:p>
    <w:p w14:paraId="118E3957" w14:textId="77777777" w:rsidR="009F0DDD" w:rsidRPr="0087325A" w:rsidRDefault="009F0DDD" w:rsidP="009F0DDD">
      <w:pPr>
        <w:pStyle w:val="a7"/>
        <w:spacing w:line="240" w:lineRule="exact"/>
        <w:ind w:firstLine="420"/>
        <w:rPr>
          <w:rFonts w:eastAsia="宋体" w:hAnsi="宋体" w:cs="宋体" w:hint="eastAsia"/>
          <w:sz w:val="21"/>
        </w:rPr>
      </w:pPr>
      <w:r w:rsidRPr="0087325A">
        <w:rPr>
          <w:rFonts w:eastAsia="宋体" w:hAnsi="宋体" w:cs="宋体" w:hint="eastAsia"/>
          <w:sz w:val="21"/>
        </w:rPr>
        <w:t>被害人不服不起诉决定，</w:t>
      </w:r>
      <w:r w:rsidRPr="0087325A">
        <w:rPr>
          <w:rFonts w:eastAsia="宋体" w:hAnsi="宋体" w:cs="宋体" w:hint="eastAsia"/>
          <w:color w:val="FF0000"/>
          <w:sz w:val="21"/>
        </w:rPr>
        <w:t>在收到不起诉决定书七日以后提出申诉的</w:t>
      </w:r>
      <w:r w:rsidRPr="0087325A">
        <w:rPr>
          <w:rFonts w:eastAsia="宋体" w:hAnsi="宋体" w:cs="宋体" w:hint="eastAsia"/>
          <w:sz w:val="21"/>
        </w:rPr>
        <w:t>，</w:t>
      </w:r>
      <w:r w:rsidRPr="0087325A">
        <w:rPr>
          <w:rFonts w:eastAsia="宋体" w:hAnsi="宋体" w:cs="宋体" w:hint="eastAsia"/>
          <w:color w:val="FF0000"/>
          <w:sz w:val="21"/>
        </w:rPr>
        <w:t>由作出不起诉决定的人民检察院负责控告申诉检察的部门进行审查</w:t>
      </w:r>
      <w:r w:rsidRPr="0087325A">
        <w:rPr>
          <w:rFonts w:eastAsia="宋体" w:hAnsi="宋体" w:cs="宋体" w:hint="eastAsia"/>
          <w:sz w:val="21"/>
        </w:rPr>
        <w:t>。经审查，认为不起诉决定正确的，出具审查结论直接答复申诉人，并做好释法说理工作；认为不起诉决定可能存在错误的，移送负责捕诉的部门进行复查。</w:t>
      </w:r>
    </w:p>
    <w:p w14:paraId="183A8B1C" w14:textId="77777777" w:rsidR="009F0DDD" w:rsidRPr="0087325A" w:rsidRDefault="009F0DDD" w:rsidP="009F0DDD">
      <w:pPr>
        <w:pStyle w:val="4"/>
        <w:spacing w:line="240" w:lineRule="exact"/>
        <w:ind w:firstLineChars="200" w:firstLine="420"/>
        <w:rPr>
          <w:rFonts w:ascii="宋体" w:eastAsia="宋体" w:hAnsi="宋体" w:hint="eastAsia"/>
          <w:sz w:val="21"/>
          <w:szCs w:val="21"/>
        </w:rPr>
      </w:pPr>
      <w:r w:rsidRPr="0087325A">
        <w:rPr>
          <w:rFonts w:ascii="宋体" w:eastAsia="宋体" w:hAnsi="宋体" w:hint="eastAsia"/>
          <w:sz w:val="21"/>
          <w:szCs w:val="21"/>
        </w:rPr>
        <w:t>（三）被不起诉人申诉</w:t>
      </w:r>
    </w:p>
    <w:p w14:paraId="18F7761C" w14:textId="77777777" w:rsidR="009F0DDD" w:rsidRPr="0087325A" w:rsidRDefault="009F0DDD" w:rsidP="009F0DDD">
      <w:pPr>
        <w:pStyle w:val="a7"/>
        <w:spacing w:line="240" w:lineRule="exact"/>
        <w:ind w:firstLine="420"/>
        <w:rPr>
          <w:rFonts w:eastAsia="宋体" w:hAnsi="宋体" w:cs="宋体" w:hint="eastAsia"/>
          <w:sz w:val="21"/>
        </w:rPr>
      </w:pPr>
      <w:r w:rsidRPr="0087325A">
        <w:rPr>
          <w:rFonts w:eastAsia="宋体" w:hAnsi="宋体" w:cs="宋体" w:hint="eastAsia"/>
          <w:sz w:val="21"/>
        </w:rPr>
        <w:t>对于人民检察院依照本法第一百七十七条第二款规定作出的不起诉决定，被不起诉人如果不服，可以自收到决定书后七日以内向人民检察院申诉。人民检察院应当作出复查决定，通知被不起诉的人，同时抄送公安机关。</w:t>
      </w:r>
    </w:p>
    <w:p w14:paraId="687AC7D7" w14:textId="77777777" w:rsidR="009F0DDD" w:rsidRPr="0087325A" w:rsidRDefault="009F0DDD" w:rsidP="009F0DDD">
      <w:pPr>
        <w:pStyle w:val="a7"/>
        <w:spacing w:line="240" w:lineRule="exact"/>
        <w:ind w:firstLine="420"/>
        <w:rPr>
          <w:rFonts w:eastAsia="宋体" w:hAnsi="宋体" w:cs="宋体" w:hint="eastAsia"/>
          <w:sz w:val="21"/>
        </w:rPr>
      </w:pPr>
      <w:r w:rsidRPr="0087325A">
        <w:rPr>
          <w:rFonts w:eastAsia="宋体" w:hAnsi="宋体" w:cs="宋体" w:hint="eastAsia"/>
          <w:sz w:val="21"/>
        </w:rPr>
        <w:t>对于人民检察院依照刑事诉讼法第一百七十七条第二款规定作出的不起诉决定，被不起诉人不服，在收到不起诉决定书后七日以内提出申诉的，应当由</w:t>
      </w:r>
      <w:r w:rsidRPr="0087325A">
        <w:rPr>
          <w:rFonts w:eastAsia="宋体" w:hAnsi="宋体" w:cs="宋体" w:hint="eastAsia"/>
          <w:color w:val="FF0000"/>
          <w:sz w:val="21"/>
        </w:rPr>
        <w:t>作出决定的人民检察院负责捕诉的部门进行复查</w:t>
      </w:r>
      <w:r w:rsidRPr="0087325A">
        <w:rPr>
          <w:rFonts w:eastAsia="宋体" w:hAnsi="宋体" w:cs="宋体" w:hint="eastAsia"/>
          <w:sz w:val="21"/>
        </w:rPr>
        <w:t>；被不起诉人在收到不起诉决定书七日以后提出申诉的，由负责控告申诉检察的部门进行审查。</w:t>
      </w:r>
    </w:p>
    <w:p w14:paraId="495181BC" w14:textId="77777777" w:rsidR="009F0DDD" w:rsidRPr="0087325A" w:rsidRDefault="009F0DDD" w:rsidP="009F0DDD">
      <w:pPr>
        <w:pStyle w:val="4"/>
        <w:spacing w:line="240" w:lineRule="exact"/>
        <w:ind w:firstLineChars="200" w:firstLine="420"/>
        <w:rPr>
          <w:rFonts w:ascii="宋体" w:eastAsia="宋体" w:hAnsi="宋体" w:hint="eastAsia"/>
          <w:sz w:val="21"/>
          <w:szCs w:val="21"/>
        </w:rPr>
      </w:pPr>
      <w:r w:rsidRPr="0087325A">
        <w:rPr>
          <w:rFonts w:ascii="宋体" w:eastAsia="宋体" w:hAnsi="宋体" w:hint="eastAsia"/>
          <w:sz w:val="21"/>
          <w:szCs w:val="21"/>
        </w:rPr>
        <w:t>（四）监察机关的复议</w:t>
      </w:r>
    </w:p>
    <w:p w14:paraId="7CE4CE9A" w14:textId="77777777" w:rsidR="0037421F" w:rsidRDefault="009F0DDD" w:rsidP="0037421F">
      <w:pPr>
        <w:pStyle w:val="a7"/>
        <w:spacing w:line="240" w:lineRule="exact"/>
        <w:ind w:firstLine="420"/>
        <w:rPr>
          <w:rFonts w:eastAsia="宋体" w:hAnsi="宋体" w:cs="宋体" w:hint="eastAsia"/>
          <w:sz w:val="21"/>
        </w:rPr>
      </w:pPr>
      <w:r w:rsidRPr="0087325A">
        <w:rPr>
          <w:rFonts w:eastAsia="宋体" w:hAnsi="宋体" w:cs="宋体" w:hint="eastAsia"/>
          <w:sz w:val="21"/>
        </w:rPr>
        <w:t>监察机关认为不起诉的决定有错误，向</w:t>
      </w:r>
      <w:r w:rsidRPr="0087325A">
        <w:rPr>
          <w:rFonts w:eastAsia="宋体" w:hAnsi="宋体" w:cs="宋体" w:hint="eastAsia"/>
          <w:color w:val="FF0000"/>
          <w:sz w:val="21"/>
        </w:rPr>
        <w:t>上一级人民检察院提请复议的，上一级人民检察院应当在收到提请复议意见书后三十日以内，经检察长批准，作出复议决定，通知监察机关</w:t>
      </w:r>
      <w:r w:rsidRPr="0087325A">
        <w:rPr>
          <w:rFonts w:eastAsia="宋体" w:hAnsi="宋体" w:cs="宋体" w:hint="eastAsia"/>
          <w:sz w:val="21"/>
        </w:rPr>
        <w:t>。</w:t>
      </w:r>
    </w:p>
    <w:p w14:paraId="0BF04933" w14:textId="641E63BA" w:rsidR="009F0DDD" w:rsidRPr="0037421F" w:rsidRDefault="009F0DDD" w:rsidP="0037421F">
      <w:pPr>
        <w:pStyle w:val="a7"/>
        <w:spacing w:line="240" w:lineRule="exact"/>
        <w:ind w:firstLine="420"/>
        <w:rPr>
          <w:rFonts w:eastAsia="宋体" w:hAnsi="宋体" w:cs="宋体" w:hint="eastAsia"/>
          <w:sz w:val="21"/>
        </w:rPr>
      </w:pPr>
      <w:r w:rsidRPr="0087325A">
        <w:rPr>
          <w:rFonts w:eastAsia="宋体" w:hAnsi="宋体" w:hint="eastAsia"/>
          <w:sz w:val="21"/>
        </w:rPr>
        <w:t>（五）人民检察院复查</w:t>
      </w:r>
    </w:p>
    <w:p w14:paraId="1C34EFE3" w14:textId="77777777" w:rsidR="009F0DDD" w:rsidRDefault="009F0DDD" w:rsidP="009F0DDD">
      <w:pPr>
        <w:spacing w:line="240" w:lineRule="exact"/>
        <w:ind w:firstLine="420"/>
        <w:rPr>
          <w:rFonts w:eastAsia="宋体" w:hint="eastAsia"/>
        </w:rPr>
      </w:pPr>
      <w:r w:rsidRPr="0087325A">
        <w:rPr>
          <w:rFonts w:eastAsia="宋体" w:hint="eastAsia"/>
        </w:rPr>
        <w:t>人民检察院</w:t>
      </w:r>
      <w:r w:rsidRPr="0075759F">
        <w:rPr>
          <w:rFonts w:eastAsia="宋体" w:hint="eastAsia"/>
        </w:rPr>
        <w:t>发现不起诉确有错误，符合起诉条件</w:t>
      </w:r>
      <w:r>
        <w:rPr>
          <w:rFonts w:eastAsia="宋体" w:hint="eastAsia"/>
        </w:rPr>
        <w:t>，</w:t>
      </w:r>
      <w:r w:rsidRPr="0087325A">
        <w:rPr>
          <w:rFonts w:eastAsia="宋体" w:hint="eastAsia"/>
        </w:rPr>
        <w:t>作出不起诉决定的人民检察院</w:t>
      </w:r>
      <w:r>
        <w:rPr>
          <w:rFonts w:eastAsia="宋体" w:hint="eastAsia"/>
        </w:rPr>
        <w:t>——</w:t>
      </w:r>
      <w:r w:rsidRPr="0075759F">
        <w:rPr>
          <w:rFonts w:eastAsia="宋体"/>
        </w:rPr>
        <w:t>撤销不起诉决定，提起公诉</w:t>
      </w:r>
      <w:r>
        <w:rPr>
          <w:rFonts w:eastAsia="宋体" w:hint="eastAsia"/>
        </w:rPr>
        <w:t>；</w:t>
      </w:r>
      <w:r w:rsidRPr="0087325A">
        <w:rPr>
          <w:rFonts w:eastAsia="宋体" w:hint="eastAsia"/>
        </w:rPr>
        <w:t>最高人民检察院及上级人民检察院</w:t>
      </w:r>
      <w:r>
        <w:rPr>
          <w:rFonts w:eastAsia="宋体" w:hint="eastAsia"/>
        </w:rPr>
        <w:t>——</w:t>
      </w:r>
      <w:r w:rsidRPr="0075759F">
        <w:rPr>
          <w:rFonts w:eastAsia="宋体"/>
        </w:rPr>
        <w:t>撤销不起诉决定或指令下级人民检察院纠正</w:t>
      </w:r>
    </w:p>
    <w:p w14:paraId="7B52E6CD" w14:textId="42B20180" w:rsidR="009F0DDD" w:rsidRPr="0087325A" w:rsidRDefault="009F0DDD" w:rsidP="009F0DDD">
      <w:pPr>
        <w:spacing w:line="240" w:lineRule="exact"/>
        <w:ind w:firstLineChars="0" w:firstLine="0"/>
        <w:jc w:val="center"/>
        <w:rPr>
          <w:rFonts w:eastAsia="宋体" w:hint="eastAsia"/>
          <w:b/>
          <w:bCs/>
          <w:color w:val="auto"/>
        </w:rPr>
      </w:pPr>
      <w:bookmarkStart w:id="28" w:name="_Toc4844134"/>
      <w:bookmarkStart w:id="29" w:name="_Toc64384712"/>
      <w:bookmarkStart w:id="30" w:name="_Toc126331805"/>
      <w:r w:rsidRPr="0087325A">
        <w:rPr>
          <w:rFonts w:eastAsia="宋体" w:hint="eastAsia"/>
          <w:b/>
          <w:bCs/>
          <w:color w:val="auto"/>
        </w:rPr>
        <w:t>考点</w:t>
      </w:r>
      <w:r>
        <w:rPr>
          <w:rFonts w:eastAsia="宋体" w:hint="eastAsia"/>
          <w:b/>
          <w:bCs/>
          <w:color w:val="auto"/>
        </w:rPr>
        <w:t>24</w:t>
      </w:r>
      <w:r w:rsidRPr="0087325A">
        <w:rPr>
          <w:rFonts w:eastAsia="宋体"/>
          <w:b/>
          <w:bCs/>
          <w:color w:val="auto"/>
        </w:rPr>
        <w:t xml:space="preserve">  刑事审判</w:t>
      </w:r>
      <w:bookmarkStart w:id="31" w:name="_Hlk535744398"/>
      <w:bookmarkEnd w:id="28"/>
      <w:bookmarkEnd w:id="29"/>
      <w:bookmarkEnd w:id="30"/>
      <w:r>
        <w:rPr>
          <w:rFonts w:eastAsia="宋体" w:hint="eastAsia"/>
          <w:b/>
          <w:bCs/>
          <w:color w:val="auto"/>
        </w:rPr>
        <w:t>概述</w:t>
      </w:r>
      <w:r w:rsidRPr="0087325A">
        <w:rPr>
          <w:rFonts w:eastAsia="宋体" w:hint="eastAsia"/>
          <w:b/>
          <w:bCs/>
          <w:color w:val="auto"/>
        </w:rPr>
        <w:t>（</w:t>
      </w:r>
      <w:r w:rsidR="0037421F">
        <w:rPr>
          <w:rFonts w:eastAsia="宋体" w:hint="eastAsia"/>
          <w:b/>
          <w:bCs/>
          <w:color w:val="auto"/>
        </w:rPr>
        <w:t>22</w:t>
      </w:r>
      <w:r w:rsidRPr="00E3132D">
        <w:rPr>
          <w:rFonts w:eastAsia="宋体" w:hint="eastAsia"/>
          <w:b/>
          <w:bCs/>
          <w:color w:val="auto"/>
        </w:rPr>
        <w:t>:</w:t>
      </w:r>
      <w:r w:rsidR="0037421F">
        <w:rPr>
          <w:rFonts w:eastAsia="宋体" w:hint="eastAsia"/>
          <w:b/>
          <w:bCs/>
          <w:color w:val="auto"/>
        </w:rPr>
        <w:t>13</w:t>
      </w:r>
      <w:r w:rsidRPr="00E3132D">
        <w:rPr>
          <w:rFonts w:eastAsia="宋体" w:hint="eastAsia"/>
          <w:b/>
          <w:bCs/>
          <w:color w:val="auto"/>
        </w:rPr>
        <w:t>:</w:t>
      </w:r>
      <w:r w:rsidRPr="0087325A">
        <w:rPr>
          <w:rFonts w:eastAsia="宋体"/>
          <w:b/>
          <w:bCs/>
          <w:color w:val="auto"/>
        </w:rPr>
        <w:t>00-</w:t>
      </w:r>
      <w:r>
        <w:rPr>
          <w:rFonts w:eastAsia="宋体" w:hint="eastAsia"/>
          <w:b/>
          <w:bCs/>
          <w:color w:val="auto"/>
        </w:rPr>
        <w:t>2</w:t>
      </w:r>
      <w:r w:rsidR="00036668">
        <w:rPr>
          <w:rFonts w:eastAsia="宋体" w:hint="eastAsia"/>
          <w:b/>
          <w:bCs/>
          <w:color w:val="auto"/>
        </w:rPr>
        <w:t>2</w:t>
      </w:r>
      <w:r w:rsidRPr="0087325A">
        <w:rPr>
          <w:rFonts w:eastAsia="宋体"/>
          <w:b/>
          <w:bCs/>
          <w:color w:val="auto"/>
        </w:rPr>
        <w:t>:</w:t>
      </w:r>
      <w:r w:rsidR="00E81F53">
        <w:rPr>
          <w:rFonts w:eastAsia="宋体" w:hint="eastAsia"/>
          <w:b/>
          <w:bCs/>
          <w:color w:val="auto"/>
        </w:rPr>
        <w:t>5</w:t>
      </w:r>
      <w:r w:rsidR="00052A36">
        <w:rPr>
          <w:rFonts w:eastAsia="宋体" w:hint="eastAsia"/>
          <w:b/>
          <w:bCs/>
          <w:color w:val="auto"/>
        </w:rPr>
        <w:t>3</w:t>
      </w:r>
      <w:r w:rsidRPr="0087325A">
        <w:rPr>
          <w:rFonts w:eastAsia="宋体"/>
          <w:b/>
          <w:bCs/>
          <w:color w:val="auto"/>
        </w:rPr>
        <w:t>:00）</w:t>
      </w:r>
    </w:p>
    <w:bookmarkEnd w:id="31"/>
    <w:p w14:paraId="53B099DE" w14:textId="06E743C1" w:rsidR="009F0DDD" w:rsidRPr="006F482B" w:rsidRDefault="008C1BE6" w:rsidP="009F0DDD">
      <w:pPr>
        <w:spacing w:line="240" w:lineRule="exact"/>
        <w:ind w:firstLine="420"/>
        <w:rPr>
          <w:rFonts w:eastAsia="宋体" w:cs="仿宋_GB2312" w:hint="eastAsia"/>
          <w:bCs/>
        </w:rPr>
      </w:pPr>
      <w:r>
        <w:rPr>
          <w:rFonts w:eastAsia="宋体" w:cs="仿宋_GB2312" w:hint="eastAsia"/>
          <w:bCs/>
        </w:rPr>
        <w:t>一</w:t>
      </w:r>
      <w:r w:rsidR="009F0DDD">
        <w:rPr>
          <w:rFonts w:eastAsia="宋体" w:cs="仿宋_GB2312" w:hint="eastAsia"/>
          <w:bCs/>
        </w:rPr>
        <w:t>、</w:t>
      </w:r>
      <w:r w:rsidR="009F0DDD" w:rsidRPr="004D34E3">
        <w:rPr>
          <w:rFonts w:eastAsia="宋体" w:cs="仿宋_GB2312" w:hint="eastAsia"/>
          <w:bCs/>
        </w:rPr>
        <w:t>我国刑事审判的</w:t>
      </w:r>
      <w:r w:rsidR="009F0DDD" w:rsidRPr="009F37EA">
        <w:rPr>
          <w:rFonts w:eastAsia="宋体" w:cs="仿宋_GB2312" w:hint="eastAsia"/>
          <w:bCs/>
        </w:rPr>
        <w:t>原则</w:t>
      </w:r>
    </w:p>
    <w:p w14:paraId="390BC060" w14:textId="77777777" w:rsidR="009F0DDD" w:rsidRPr="0087325A" w:rsidRDefault="009F0DDD" w:rsidP="009F0DDD">
      <w:pPr>
        <w:pStyle w:val="3"/>
        <w:spacing w:line="240" w:lineRule="exact"/>
        <w:ind w:firstLineChars="200" w:firstLine="420"/>
        <w:rPr>
          <w:rFonts w:eastAsia="宋体" w:hint="eastAsia"/>
          <w:sz w:val="21"/>
        </w:rPr>
      </w:pPr>
      <w:r w:rsidRPr="0087325A">
        <w:rPr>
          <w:rFonts w:eastAsia="宋体" w:hint="eastAsia"/>
          <w:sz w:val="21"/>
        </w:rPr>
        <w:t>（一）审判公开原则</w:t>
      </w:r>
    </w:p>
    <w:p w14:paraId="12DFFDD7" w14:textId="77777777" w:rsidR="009F0DDD" w:rsidRPr="0087325A" w:rsidRDefault="009F0DDD" w:rsidP="009F0DDD">
      <w:pPr>
        <w:pStyle w:val="4"/>
        <w:spacing w:line="240" w:lineRule="exact"/>
        <w:ind w:firstLineChars="200" w:firstLine="420"/>
        <w:rPr>
          <w:rFonts w:ascii="宋体" w:eastAsia="宋体" w:hAnsi="宋体" w:hint="eastAsia"/>
          <w:sz w:val="21"/>
          <w:szCs w:val="21"/>
        </w:rPr>
      </w:pPr>
      <w:r>
        <w:rPr>
          <w:rFonts w:ascii="宋体" w:eastAsia="宋体" w:hAnsi="宋体" w:hint="eastAsia"/>
          <w:sz w:val="21"/>
          <w:szCs w:val="21"/>
        </w:rPr>
        <w:t>1.</w:t>
      </w:r>
      <w:r w:rsidRPr="0087325A">
        <w:rPr>
          <w:rFonts w:ascii="宋体" w:eastAsia="宋体" w:hAnsi="宋体" w:hint="eastAsia"/>
          <w:sz w:val="21"/>
          <w:szCs w:val="21"/>
        </w:rPr>
        <w:t>审判公开的概念</w:t>
      </w:r>
    </w:p>
    <w:p w14:paraId="3619E837" w14:textId="77777777" w:rsidR="009F0DDD" w:rsidRPr="0087325A" w:rsidRDefault="009F0DDD" w:rsidP="009F0DDD">
      <w:pPr>
        <w:spacing w:line="240" w:lineRule="exact"/>
        <w:ind w:firstLine="420"/>
        <w:rPr>
          <w:rFonts w:eastAsia="宋体" w:hint="eastAsia"/>
        </w:rPr>
      </w:pPr>
      <w:r w:rsidRPr="0087325A">
        <w:rPr>
          <w:rFonts w:eastAsia="宋体" w:hint="eastAsia"/>
          <w:color w:val="FF0000"/>
        </w:rPr>
        <w:t>包括审理过程的公开和审判结果的公开</w:t>
      </w:r>
      <w:r w:rsidRPr="0087325A">
        <w:rPr>
          <w:rFonts w:eastAsia="宋体" w:hint="eastAsia"/>
        </w:rPr>
        <w:t>。</w:t>
      </w:r>
      <w:r w:rsidRPr="0087325A">
        <w:rPr>
          <w:rFonts w:eastAsia="宋体" w:hint="eastAsia"/>
          <w:color w:val="FF0000"/>
        </w:rPr>
        <w:t>包括向当事人公开和向社会公开。</w:t>
      </w:r>
    </w:p>
    <w:p w14:paraId="1AEE47EC" w14:textId="77777777" w:rsidR="009F0DDD" w:rsidRDefault="009F0DDD" w:rsidP="009F0DDD">
      <w:pPr>
        <w:pStyle w:val="4"/>
        <w:spacing w:line="240" w:lineRule="exact"/>
        <w:ind w:firstLineChars="200" w:firstLine="420"/>
        <w:rPr>
          <w:rFonts w:ascii="宋体" w:eastAsia="宋体" w:hAnsi="宋体" w:hint="eastAsia"/>
          <w:sz w:val="21"/>
          <w:szCs w:val="21"/>
        </w:rPr>
      </w:pPr>
      <w:r>
        <w:rPr>
          <w:rFonts w:ascii="宋体" w:eastAsia="宋体" w:hAnsi="宋体" w:hint="eastAsia"/>
          <w:sz w:val="21"/>
          <w:szCs w:val="21"/>
        </w:rPr>
        <w:t>2.</w:t>
      </w:r>
      <w:r w:rsidRPr="0087325A">
        <w:rPr>
          <w:rFonts w:ascii="宋体" w:eastAsia="宋体" w:hAnsi="宋体" w:hint="eastAsia"/>
          <w:sz w:val="21"/>
          <w:szCs w:val="21"/>
        </w:rPr>
        <w:t>审判公开的基本规定</w:t>
      </w:r>
    </w:p>
    <w:p w14:paraId="4249D637" w14:textId="77777777" w:rsidR="009F0DDD" w:rsidRDefault="009F0DDD" w:rsidP="009F0DDD">
      <w:pPr>
        <w:spacing w:line="240" w:lineRule="exact"/>
        <w:ind w:firstLine="420"/>
        <w:rPr>
          <w:rFonts w:eastAsia="宋体" w:hint="eastAsia"/>
        </w:rPr>
      </w:pPr>
      <w:r w:rsidRPr="00381C46">
        <w:rPr>
          <w:rFonts w:eastAsia="宋体" w:hint="eastAsia"/>
          <w:bCs/>
          <w:color w:val="FF0000"/>
        </w:rPr>
        <w:t>应当不公开</w:t>
      </w:r>
      <w:r>
        <w:rPr>
          <w:rFonts w:eastAsia="宋体" w:hint="eastAsia"/>
          <w:bCs/>
        </w:rPr>
        <w:t>：</w:t>
      </w:r>
      <w:r w:rsidRPr="0087325A">
        <w:rPr>
          <w:rFonts w:eastAsia="宋体" w:hint="eastAsia"/>
        </w:rPr>
        <w:t>涉及</w:t>
      </w:r>
      <w:r w:rsidRPr="0087325A">
        <w:rPr>
          <w:rFonts w:eastAsia="宋体" w:hint="eastAsia"/>
          <w:bCs/>
        </w:rPr>
        <w:t>国家秘密</w:t>
      </w:r>
      <w:r w:rsidRPr="0087325A">
        <w:rPr>
          <w:rFonts w:eastAsia="宋体" w:hint="eastAsia"/>
        </w:rPr>
        <w:t>的案件</w:t>
      </w:r>
      <w:r>
        <w:rPr>
          <w:rFonts w:eastAsia="宋体" w:hint="eastAsia"/>
        </w:rPr>
        <w:t>、</w:t>
      </w:r>
      <w:r w:rsidRPr="0087325A">
        <w:rPr>
          <w:rFonts w:eastAsia="宋体" w:hint="eastAsia"/>
          <w:bCs/>
        </w:rPr>
        <w:t>个人隐私</w:t>
      </w:r>
      <w:r w:rsidRPr="0087325A">
        <w:rPr>
          <w:rFonts w:eastAsia="宋体" w:hint="eastAsia"/>
        </w:rPr>
        <w:t>的案件</w:t>
      </w:r>
      <w:r>
        <w:rPr>
          <w:rFonts w:eastAsia="宋体" w:hint="eastAsia"/>
        </w:rPr>
        <w:t>、</w:t>
      </w:r>
      <w:r w:rsidRPr="0087325A">
        <w:rPr>
          <w:rFonts w:eastAsia="宋体" w:hint="eastAsia"/>
          <w:bCs/>
        </w:rPr>
        <w:t>审</w:t>
      </w:r>
      <w:r w:rsidRPr="0087325A">
        <w:rPr>
          <w:rFonts w:eastAsia="宋体" w:hint="eastAsia"/>
        </w:rPr>
        <w:t>判时不满十八周岁的案件</w:t>
      </w:r>
    </w:p>
    <w:p w14:paraId="25ABDFA3" w14:textId="77777777" w:rsidR="009F0DDD" w:rsidRDefault="009F0DDD" w:rsidP="009F0DDD">
      <w:pPr>
        <w:spacing w:line="240" w:lineRule="exact"/>
        <w:ind w:firstLine="420"/>
        <w:rPr>
          <w:rFonts w:eastAsia="宋体" w:hint="eastAsia"/>
          <w:bCs/>
        </w:rPr>
      </w:pPr>
      <w:r w:rsidRPr="0087325A">
        <w:rPr>
          <w:rFonts w:eastAsia="宋体" w:hint="eastAsia"/>
          <w:bCs/>
        </w:rPr>
        <w:t>可以不公开</w:t>
      </w:r>
      <w:r>
        <w:rPr>
          <w:rFonts w:eastAsia="宋体" w:hint="eastAsia"/>
          <w:bCs/>
        </w:rPr>
        <w:t>：</w:t>
      </w:r>
      <w:r w:rsidRPr="0087325A">
        <w:rPr>
          <w:rFonts w:eastAsia="宋体" w:hint="eastAsia"/>
        </w:rPr>
        <w:t>涉及</w:t>
      </w:r>
      <w:r w:rsidRPr="0087325A">
        <w:rPr>
          <w:rFonts w:eastAsia="宋体" w:hint="eastAsia"/>
          <w:bCs/>
        </w:rPr>
        <w:t>商业秘密</w:t>
      </w:r>
      <w:r w:rsidRPr="0087325A">
        <w:rPr>
          <w:rFonts w:eastAsia="宋体" w:hint="eastAsia"/>
        </w:rPr>
        <w:t>的案件</w:t>
      </w:r>
      <w:r>
        <w:rPr>
          <w:rFonts w:eastAsia="宋体" w:hint="eastAsia"/>
        </w:rPr>
        <w:t>，</w:t>
      </w:r>
      <w:r w:rsidRPr="0087325A">
        <w:rPr>
          <w:rFonts w:eastAsia="宋体" w:hint="eastAsia"/>
        </w:rPr>
        <w:t>当事人</w:t>
      </w:r>
      <w:r w:rsidRPr="0087325A">
        <w:rPr>
          <w:rFonts w:eastAsia="宋体" w:hint="eastAsia"/>
          <w:bCs/>
        </w:rPr>
        <w:t>申请</w:t>
      </w:r>
      <w:r w:rsidRPr="0087325A">
        <w:rPr>
          <w:rFonts w:eastAsia="宋体" w:hint="eastAsia"/>
        </w:rPr>
        <w:t>不公开审理的，可以决定不公开审理</w:t>
      </w:r>
    </w:p>
    <w:p w14:paraId="4DAF3A05" w14:textId="77777777" w:rsidR="009F0DDD" w:rsidRDefault="009F0DDD" w:rsidP="009F0DDD">
      <w:pPr>
        <w:spacing w:line="240" w:lineRule="exact"/>
        <w:ind w:firstLine="420"/>
        <w:rPr>
          <w:rFonts w:eastAsia="宋体" w:hint="eastAsia"/>
          <w:bCs/>
        </w:rPr>
      </w:pPr>
      <w:r w:rsidRPr="0087325A">
        <w:rPr>
          <w:rFonts w:eastAsia="宋体" w:hint="eastAsia"/>
        </w:rPr>
        <w:t>宣判必须公开，但评议一律秘密进行。</w:t>
      </w:r>
    </w:p>
    <w:p w14:paraId="5651A86F" w14:textId="77777777" w:rsidR="009F0DDD" w:rsidRPr="0075759F" w:rsidRDefault="009F0DDD" w:rsidP="009F0DDD">
      <w:pPr>
        <w:spacing w:line="240" w:lineRule="exact"/>
        <w:ind w:firstLine="420"/>
        <w:rPr>
          <w:rFonts w:eastAsia="宋体" w:hint="eastAsia"/>
          <w:bCs/>
        </w:rPr>
      </w:pPr>
      <w:r>
        <w:rPr>
          <w:rFonts w:eastAsia="宋体" w:hint="eastAsia"/>
        </w:rPr>
        <w:t>（二）</w:t>
      </w:r>
      <w:r w:rsidRPr="0087325A">
        <w:rPr>
          <w:rFonts w:eastAsia="宋体" w:hint="eastAsia"/>
        </w:rPr>
        <w:t>直接言词原则</w:t>
      </w:r>
    </w:p>
    <w:p w14:paraId="15B78344" w14:textId="77777777" w:rsidR="009F0DDD" w:rsidRDefault="009F0DDD" w:rsidP="009F0DDD">
      <w:pPr>
        <w:spacing w:line="240" w:lineRule="exact"/>
        <w:ind w:firstLine="420"/>
        <w:rPr>
          <w:rFonts w:eastAsia="宋体" w:hint="eastAsia"/>
        </w:rPr>
      </w:pPr>
      <w:r w:rsidRPr="0087325A">
        <w:rPr>
          <w:rFonts w:eastAsia="宋体" w:hint="eastAsia"/>
        </w:rPr>
        <w:t>直接言词原则包括直接原则和言词原则两项原则。</w:t>
      </w:r>
    </w:p>
    <w:p w14:paraId="3C33927B" w14:textId="77777777" w:rsidR="009F0DDD" w:rsidRPr="0087325A" w:rsidRDefault="009F0DDD" w:rsidP="009F0DDD">
      <w:pPr>
        <w:spacing w:line="240" w:lineRule="exact"/>
        <w:ind w:firstLine="420"/>
        <w:rPr>
          <w:rFonts w:eastAsia="宋体" w:hint="eastAsia"/>
        </w:rPr>
      </w:pPr>
      <w:r>
        <w:rPr>
          <w:rFonts w:eastAsia="宋体" w:hint="eastAsia"/>
        </w:rPr>
        <w:lastRenderedPageBreak/>
        <w:t>1.</w:t>
      </w:r>
      <w:r w:rsidRPr="0087325A">
        <w:rPr>
          <w:rFonts w:eastAsia="宋体" w:hint="eastAsia"/>
        </w:rPr>
        <w:t>直接原则</w:t>
      </w:r>
    </w:p>
    <w:p w14:paraId="21875D2A" w14:textId="77777777" w:rsidR="009F0DDD" w:rsidRDefault="009F0DDD" w:rsidP="009F0DDD">
      <w:pPr>
        <w:spacing w:line="240" w:lineRule="exact"/>
        <w:ind w:firstLine="420"/>
        <w:rPr>
          <w:rFonts w:eastAsia="宋体" w:hint="eastAsia"/>
        </w:rPr>
      </w:pPr>
      <w:r>
        <w:rPr>
          <w:rFonts w:eastAsia="宋体" w:hint="eastAsia"/>
        </w:rPr>
        <w:t>（1）</w:t>
      </w:r>
      <w:r w:rsidRPr="0087325A">
        <w:rPr>
          <w:rFonts w:eastAsia="宋体" w:hint="eastAsia"/>
          <w:color w:val="FF0000"/>
        </w:rPr>
        <w:t>直接审理原则</w:t>
      </w:r>
      <w:r w:rsidRPr="0087325A">
        <w:rPr>
          <w:rFonts w:eastAsia="宋体" w:hint="eastAsia"/>
        </w:rPr>
        <w:t>：庭审中，法官，公诉人，诉讼参与人应当在场，除非法律另有规定，上述人员不在场的审判无效。</w:t>
      </w:r>
      <w:r>
        <w:rPr>
          <w:rFonts w:eastAsia="宋体" w:hint="eastAsia"/>
        </w:rPr>
        <w:t>（2）</w:t>
      </w:r>
      <w:r w:rsidRPr="0087325A">
        <w:rPr>
          <w:rFonts w:eastAsia="宋体" w:hint="eastAsia"/>
          <w:color w:val="FF0000"/>
        </w:rPr>
        <w:t>直接采证原则</w:t>
      </w:r>
      <w:r w:rsidRPr="0087325A">
        <w:rPr>
          <w:rFonts w:eastAsia="宋体" w:hint="eastAsia"/>
        </w:rPr>
        <w:t>：法官必须亲自、当庭调查证据，不得以书面审查方式采信证据。</w:t>
      </w:r>
    </w:p>
    <w:p w14:paraId="610DDDFC" w14:textId="77777777" w:rsidR="009F0DDD" w:rsidRPr="0087325A" w:rsidRDefault="009F0DDD" w:rsidP="009F0DDD">
      <w:pPr>
        <w:spacing w:line="240" w:lineRule="exact"/>
        <w:ind w:firstLine="420"/>
        <w:rPr>
          <w:rFonts w:eastAsia="宋体" w:hint="eastAsia"/>
        </w:rPr>
      </w:pPr>
      <w:r>
        <w:rPr>
          <w:rFonts w:eastAsia="宋体" w:hint="eastAsia"/>
        </w:rPr>
        <w:t>2.</w:t>
      </w:r>
      <w:r w:rsidRPr="0087325A">
        <w:rPr>
          <w:rFonts w:eastAsia="宋体" w:hint="eastAsia"/>
        </w:rPr>
        <w:t>言词原则</w:t>
      </w:r>
    </w:p>
    <w:p w14:paraId="6C0A028E" w14:textId="77777777" w:rsidR="009F0DDD" w:rsidRDefault="009F0DDD" w:rsidP="009F0DDD">
      <w:pPr>
        <w:spacing w:line="240" w:lineRule="exact"/>
        <w:ind w:firstLine="420"/>
        <w:rPr>
          <w:rFonts w:eastAsia="宋体" w:hint="eastAsia"/>
        </w:rPr>
      </w:pPr>
      <w:r w:rsidRPr="0087325A">
        <w:rPr>
          <w:rFonts w:eastAsia="宋体" w:hint="eastAsia"/>
        </w:rPr>
        <w:t>是指法庭审理必须以口头陈述的方式进行。除非法律有明确规定，凡是未经口头调查之证据，不得作为定案的依据采纳。目前刑诉法中没有明确的条文直接规定直接言词原则，但审判程序中关于证人、鉴定人出庭的规定，关于庭审质证的规定等等，都体现了审判中的直接言词原则的精神。</w:t>
      </w:r>
    </w:p>
    <w:p w14:paraId="57110502" w14:textId="77777777" w:rsidR="009F0DDD" w:rsidRPr="0087325A" w:rsidRDefault="009F0DDD" w:rsidP="009F0DDD">
      <w:pPr>
        <w:spacing w:line="240" w:lineRule="exact"/>
        <w:ind w:firstLine="420"/>
        <w:rPr>
          <w:rFonts w:eastAsia="宋体" w:hint="eastAsia"/>
        </w:rPr>
      </w:pPr>
      <w:r>
        <w:rPr>
          <w:rFonts w:eastAsia="宋体" w:hint="eastAsia"/>
        </w:rPr>
        <w:t>（三）</w:t>
      </w:r>
      <w:r w:rsidRPr="0087325A">
        <w:rPr>
          <w:rFonts w:eastAsia="宋体" w:hint="eastAsia"/>
        </w:rPr>
        <w:t>集中审理原则</w:t>
      </w:r>
    </w:p>
    <w:p w14:paraId="42FA0EA5" w14:textId="77777777" w:rsidR="009F0DDD" w:rsidRPr="0087325A" w:rsidRDefault="009F0DDD" w:rsidP="009F0DDD">
      <w:pPr>
        <w:spacing w:line="240" w:lineRule="exact"/>
        <w:ind w:firstLine="420"/>
        <w:rPr>
          <w:rFonts w:eastAsia="宋体" w:hint="eastAsia"/>
        </w:rPr>
      </w:pPr>
      <w:r w:rsidRPr="0087325A">
        <w:rPr>
          <w:rFonts w:eastAsia="宋体" w:hint="eastAsia"/>
        </w:rPr>
        <w:t>1．一个案件组成一个审判庭进行审理。2．法庭成员不可更换。3．证据调查与法庭辩论集中进行。4．庭审不中断并迅速作出裁判。</w:t>
      </w:r>
    </w:p>
    <w:p w14:paraId="2C5FA4BC" w14:textId="7AEC2014" w:rsidR="008C1BE6" w:rsidRDefault="008C1BE6" w:rsidP="008C1BE6">
      <w:pPr>
        <w:pStyle w:val="3"/>
        <w:spacing w:line="240" w:lineRule="exact"/>
        <w:ind w:firstLineChars="200" w:firstLine="420"/>
        <w:rPr>
          <w:rFonts w:eastAsia="宋体" w:hint="eastAsia"/>
          <w:sz w:val="21"/>
        </w:rPr>
      </w:pPr>
      <w:bookmarkStart w:id="32" w:name="_Toc510879091"/>
      <w:r>
        <w:rPr>
          <w:rFonts w:eastAsia="宋体" w:hint="eastAsia"/>
          <w:sz w:val="21"/>
        </w:rPr>
        <w:t>二</w:t>
      </w:r>
      <w:r w:rsidRPr="0087325A">
        <w:rPr>
          <w:rFonts w:eastAsia="宋体" w:hint="eastAsia"/>
          <w:sz w:val="21"/>
        </w:rPr>
        <w:t>、</w:t>
      </w:r>
      <w:r>
        <w:rPr>
          <w:rFonts w:eastAsia="宋体" w:hint="eastAsia"/>
          <w:sz w:val="21"/>
        </w:rPr>
        <w:t>合议庭</w:t>
      </w:r>
    </w:p>
    <w:p w14:paraId="6C3F993C" w14:textId="42237299" w:rsidR="008C1BE6" w:rsidRPr="0087325A" w:rsidRDefault="008C1BE6" w:rsidP="008C1BE6">
      <w:pPr>
        <w:pStyle w:val="3"/>
        <w:spacing w:line="240" w:lineRule="exact"/>
        <w:ind w:firstLineChars="200" w:firstLine="420"/>
        <w:rPr>
          <w:rFonts w:eastAsia="宋体" w:hint="eastAsia"/>
          <w:sz w:val="21"/>
        </w:rPr>
      </w:pPr>
      <w:r>
        <w:rPr>
          <w:rFonts w:eastAsia="宋体" w:hint="eastAsia"/>
          <w:sz w:val="21"/>
        </w:rPr>
        <w:t>（一）</w:t>
      </w:r>
      <w:r w:rsidRPr="0087325A">
        <w:rPr>
          <w:rFonts w:eastAsia="宋体" w:hint="eastAsia"/>
          <w:sz w:val="21"/>
        </w:rPr>
        <w:t>合议庭的适用范围和组成方式</w:t>
      </w:r>
      <w:bookmarkEnd w:id="32"/>
      <w:r w:rsidR="007D2C2D">
        <w:rPr>
          <w:rFonts w:eastAsia="宋体" w:hint="eastAsia"/>
          <w:sz w:val="21"/>
        </w:rPr>
        <w:t>【一审37 二审35 二审没有陪审员 复核没有陪审员】</w:t>
      </w:r>
    </w:p>
    <w:p w14:paraId="5EE683F0" w14:textId="77777777" w:rsidR="008C1BE6" w:rsidRPr="0087325A" w:rsidRDefault="008C1BE6" w:rsidP="008C1BE6">
      <w:pPr>
        <w:pStyle w:val="a7"/>
        <w:spacing w:line="240" w:lineRule="exact"/>
        <w:ind w:firstLine="420"/>
        <w:rPr>
          <w:rFonts w:eastAsia="宋体" w:hAnsi="宋体" w:cs="宋体" w:hint="eastAsia"/>
          <w:sz w:val="21"/>
        </w:rPr>
      </w:pPr>
      <w:r w:rsidRPr="0087325A">
        <w:rPr>
          <w:rFonts w:eastAsia="宋体" w:hAnsi="宋体" w:cs="宋体" w:hint="eastAsia"/>
          <w:sz w:val="21"/>
        </w:rPr>
        <w:t>合议庭由审判员担任审判长。院长或者庭长参加审理案件时，由其本人担任审判长。审判员依法独任审判时，行使与审判长相同的职权。</w:t>
      </w:r>
    </w:p>
    <w:p w14:paraId="4C6072D1" w14:textId="77777777" w:rsidR="008C1BE6" w:rsidRPr="0087325A" w:rsidRDefault="008C1BE6" w:rsidP="008C1BE6">
      <w:pPr>
        <w:pStyle w:val="a7"/>
        <w:spacing w:line="240" w:lineRule="exact"/>
        <w:ind w:firstLine="420"/>
        <w:rPr>
          <w:rFonts w:eastAsia="宋体" w:hAnsi="宋体" w:cs="宋体" w:hint="eastAsia"/>
          <w:sz w:val="21"/>
        </w:rPr>
      </w:pPr>
      <w:r w:rsidRPr="0087325A">
        <w:rPr>
          <w:rFonts w:eastAsia="宋体" w:hAnsi="宋体" w:cs="宋体" w:hint="eastAsia"/>
          <w:sz w:val="21"/>
        </w:rPr>
        <w:t>基层人民法院、中级人民法院审判第一审案件，应当由</w:t>
      </w:r>
      <w:r w:rsidRPr="0087325A">
        <w:rPr>
          <w:rFonts w:eastAsia="宋体" w:hAnsi="宋体" w:cs="宋体" w:hint="eastAsia"/>
          <w:color w:val="FF0000"/>
          <w:sz w:val="21"/>
        </w:rPr>
        <w:t>审判员三人或者由审判员和人民陪审员共三人或者七人组成合议庭进行</w:t>
      </w:r>
      <w:r w:rsidRPr="0087325A">
        <w:rPr>
          <w:rFonts w:eastAsia="宋体" w:hAnsi="宋体" w:cs="宋体" w:hint="eastAsia"/>
          <w:sz w:val="21"/>
        </w:rPr>
        <w:t>（</w:t>
      </w:r>
      <w:r w:rsidRPr="0087325A">
        <w:rPr>
          <w:rFonts w:eastAsia="宋体" w:hAnsi="宋体" w:cs="宋体" w:hint="eastAsia"/>
          <w:color w:val="FF0000"/>
          <w:sz w:val="21"/>
        </w:rPr>
        <w:t>注意：新增加的七人制合议庭</w:t>
      </w:r>
      <w:r w:rsidRPr="0087325A">
        <w:rPr>
          <w:rFonts w:eastAsia="宋体" w:hAnsi="宋体" w:cs="宋体" w:hint="eastAsia"/>
          <w:sz w:val="21"/>
        </w:rPr>
        <w:t>），但是基层人民法院</w:t>
      </w:r>
      <w:r w:rsidRPr="0087325A">
        <w:rPr>
          <w:rFonts w:eastAsia="宋体" w:hAnsi="宋体" w:cs="宋体" w:hint="eastAsia"/>
          <w:color w:val="FF0000"/>
          <w:sz w:val="21"/>
        </w:rPr>
        <w:t>适用简易程序、速裁程序的案件可以由审判员一人独任审判</w:t>
      </w:r>
      <w:r w:rsidRPr="0087325A">
        <w:rPr>
          <w:rFonts w:eastAsia="宋体" w:hAnsi="宋体" w:cs="宋体" w:hint="eastAsia"/>
          <w:sz w:val="21"/>
        </w:rPr>
        <w:t>。</w:t>
      </w:r>
    </w:p>
    <w:p w14:paraId="2B219398" w14:textId="77777777" w:rsidR="008C1BE6" w:rsidRPr="0087325A" w:rsidRDefault="008C1BE6" w:rsidP="008C1BE6">
      <w:pPr>
        <w:pStyle w:val="a7"/>
        <w:spacing w:line="240" w:lineRule="exact"/>
        <w:ind w:firstLine="420"/>
        <w:rPr>
          <w:rFonts w:eastAsia="宋体" w:hAnsi="宋体" w:cs="宋体" w:hint="eastAsia"/>
          <w:sz w:val="21"/>
        </w:rPr>
      </w:pPr>
      <w:r w:rsidRPr="0087325A">
        <w:rPr>
          <w:rFonts w:eastAsia="宋体" w:hAnsi="宋体" w:cs="宋体" w:hint="eastAsia"/>
          <w:sz w:val="21"/>
        </w:rPr>
        <w:t>高级人民法院审判第一审案件，</w:t>
      </w:r>
      <w:r w:rsidRPr="0087325A">
        <w:rPr>
          <w:rFonts w:eastAsia="宋体" w:hAnsi="宋体" w:cs="宋体" w:hint="eastAsia"/>
          <w:color w:val="FF0000"/>
          <w:sz w:val="21"/>
        </w:rPr>
        <w:t>应当由审判员三人至七人或者由审判员和人民陪审员共三人或者七人组成合议庭</w:t>
      </w:r>
      <w:r w:rsidRPr="0087325A">
        <w:rPr>
          <w:rFonts w:eastAsia="宋体" w:hAnsi="宋体" w:cs="宋体" w:hint="eastAsia"/>
          <w:sz w:val="21"/>
        </w:rPr>
        <w:t>进行。</w:t>
      </w:r>
    </w:p>
    <w:p w14:paraId="4227F5A0" w14:textId="77777777" w:rsidR="008C1BE6" w:rsidRPr="0087325A" w:rsidRDefault="008C1BE6" w:rsidP="008C1BE6">
      <w:pPr>
        <w:pStyle w:val="a7"/>
        <w:spacing w:line="240" w:lineRule="exact"/>
        <w:ind w:firstLine="420"/>
        <w:rPr>
          <w:rFonts w:eastAsia="宋体" w:hAnsi="宋体" w:cs="宋体" w:hint="eastAsia"/>
          <w:sz w:val="21"/>
        </w:rPr>
      </w:pPr>
      <w:r w:rsidRPr="0087325A">
        <w:rPr>
          <w:rFonts w:eastAsia="宋体" w:hAnsi="宋体" w:cs="宋体" w:hint="eastAsia"/>
          <w:sz w:val="21"/>
        </w:rPr>
        <w:t>最高人民法院审判第一审案件，应当由</w:t>
      </w:r>
      <w:r w:rsidRPr="0087325A">
        <w:rPr>
          <w:rFonts w:eastAsia="宋体" w:hAnsi="宋体" w:cs="宋体" w:hint="eastAsia"/>
          <w:color w:val="FF0000"/>
          <w:sz w:val="21"/>
        </w:rPr>
        <w:t>审判员三人至七人组成合议庭</w:t>
      </w:r>
      <w:r w:rsidRPr="0087325A">
        <w:rPr>
          <w:rFonts w:eastAsia="宋体" w:hAnsi="宋体" w:cs="宋体" w:hint="eastAsia"/>
          <w:sz w:val="21"/>
        </w:rPr>
        <w:t>进行。</w:t>
      </w:r>
    </w:p>
    <w:p w14:paraId="1206D8F0" w14:textId="77777777" w:rsidR="008C1BE6" w:rsidRPr="0087325A" w:rsidRDefault="008C1BE6" w:rsidP="008C1BE6">
      <w:pPr>
        <w:pStyle w:val="a7"/>
        <w:spacing w:line="240" w:lineRule="exact"/>
        <w:ind w:firstLine="420"/>
        <w:rPr>
          <w:rFonts w:eastAsia="宋体" w:hAnsi="宋体" w:cs="宋体" w:hint="eastAsia"/>
          <w:sz w:val="21"/>
        </w:rPr>
      </w:pPr>
      <w:r w:rsidRPr="0087325A">
        <w:rPr>
          <w:rFonts w:eastAsia="宋体" w:hAnsi="宋体" w:cs="宋体" w:hint="eastAsia"/>
          <w:sz w:val="21"/>
        </w:rPr>
        <w:t>人民法院审判上诉和抗诉案件，由</w:t>
      </w:r>
      <w:r w:rsidRPr="0087325A">
        <w:rPr>
          <w:rFonts w:eastAsia="宋体" w:hAnsi="宋体" w:cs="宋体" w:hint="eastAsia"/>
          <w:color w:val="FF0000"/>
          <w:sz w:val="21"/>
        </w:rPr>
        <w:t>审判员三人或者五人组成合议庭</w:t>
      </w:r>
      <w:r w:rsidRPr="0087325A">
        <w:rPr>
          <w:rFonts w:eastAsia="宋体" w:hAnsi="宋体" w:cs="宋体" w:hint="eastAsia"/>
          <w:sz w:val="21"/>
        </w:rPr>
        <w:t>进行。</w:t>
      </w:r>
    </w:p>
    <w:p w14:paraId="2BBD328D" w14:textId="77777777" w:rsidR="008C1BE6" w:rsidRPr="0087325A" w:rsidRDefault="008C1BE6" w:rsidP="008C1BE6">
      <w:pPr>
        <w:pStyle w:val="a7"/>
        <w:spacing w:line="240" w:lineRule="exact"/>
        <w:ind w:firstLine="420"/>
        <w:rPr>
          <w:rFonts w:eastAsia="宋体" w:hAnsi="宋体" w:cs="宋体" w:hint="eastAsia"/>
          <w:sz w:val="21"/>
        </w:rPr>
      </w:pPr>
      <w:r w:rsidRPr="0087325A">
        <w:rPr>
          <w:rFonts w:eastAsia="宋体" w:hAnsi="宋体" w:cs="宋体" w:hint="eastAsia"/>
          <w:sz w:val="21"/>
        </w:rPr>
        <w:t>适用简易程序审理案件，</w:t>
      </w:r>
      <w:r w:rsidRPr="0087325A">
        <w:rPr>
          <w:rFonts w:eastAsia="宋体" w:hAnsi="宋体" w:cs="宋体" w:hint="eastAsia"/>
          <w:color w:val="FF0000"/>
          <w:sz w:val="21"/>
        </w:rPr>
        <w:t>对可能判处三年有期徒刑以下刑罚的，可以组成合议庭进行审判，也可以由审判员一人独任审判</w:t>
      </w:r>
      <w:r w:rsidRPr="0087325A">
        <w:rPr>
          <w:rFonts w:eastAsia="宋体" w:hAnsi="宋体" w:cs="宋体" w:hint="eastAsia"/>
          <w:sz w:val="21"/>
        </w:rPr>
        <w:t>；对可能判处的有期徒刑超过三年的，</w:t>
      </w:r>
      <w:r w:rsidRPr="0087325A">
        <w:rPr>
          <w:rFonts w:eastAsia="宋体" w:hAnsi="宋体" w:cs="宋体" w:hint="eastAsia"/>
          <w:color w:val="FF0000"/>
          <w:sz w:val="21"/>
        </w:rPr>
        <w:t>应当组成合议庭进行审判</w:t>
      </w:r>
      <w:r w:rsidRPr="0087325A">
        <w:rPr>
          <w:rFonts w:eastAsia="宋体" w:hAnsi="宋体" w:cs="宋体" w:hint="eastAsia"/>
          <w:sz w:val="21"/>
        </w:rPr>
        <w:t>。</w:t>
      </w:r>
    </w:p>
    <w:p w14:paraId="14490A04" w14:textId="77777777" w:rsidR="008C1BE6" w:rsidRPr="0087325A" w:rsidRDefault="008C1BE6" w:rsidP="008C1BE6">
      <w:pPr>
        <w:pStyle w:val="a7"/>
        <w:spacing w:line="240" w:lineRule="exact"/>
        <w:ind w:firstLine="420"/>
        <w:rPr>
          <w:rFonts w:eastAsia="宋体" w:hAnsi="宋体" w:cs="宋体" w:hint="eastAsia"/>
          <w:sz w:val="21"/>
        </w:rPr>
      </w:pPr>
      <w:r w:rsidRPr="0087325A">
        <w:rPr>
          <w:rFonts w:eastAsia="宋体" w:hAnsi="宋体" w:cs="宋体" w:hint="eastAsia"/>
          <w:sz w:val="21"/>
        </w:rPr>
        <w:t>最高人民法院</w:t>
      </w:r>
      <w:r w:rsidRPr="0087325A">
        <w:rPr>
          <w:rFonts w:eastAsia="宋体" w:hAnsi="宋体" w:cs="宋体" w:hint="eastAsia"/>
          <w:color w:val="FF0000"/>
          <w:sz w:val="21"/>
        </w:rPr>
        <w:t>复核死刑案件</w:t>
      </w:r>
      <w:r w:rsidRPr="0087325A">
        <w:rPr>
          <w:rFonts w:eastAsia="宋体" w:hAnsi="宋体" w:cs="宋体" w:hint="eastAsia"/>
          <w:sz w:val="21"/>
        </w:rPr>
        <w:t>，高级人民法院</w:t>
      </w:r>
      <w:r w:rsidRPr="0087325A">
        <w:rPr>
          <w:rFonts w:eastAsia="宋体" w:hAnsi="宋体" w:cs="宋体" w:hint="eastAsia"/>
          <w:color w:val="FF0000"/>
          <w:sz w:val="21"/>
        </w:rPr>
        <w:t>复核死刑缓期执行</w:t>
      </w:r>
      <w:r w:rsidRPr="0087325A">
        <w:rPr>
          <w:rFonts w:eastAsia="宋体" w:hAnsi="宋体" w:cs="宋体" w:hint="eastAsia"/>
          <w:sz w:val="21"/>
        </w:rPr>
        <w:t>的案件，应当由</w:t>
      </w:r>
      <w:r w:rsidRPr="0087325A">
        <w:rPr>
          <w:rFonts w:eastAsia="宋体" w:hAnsi="宋体" w:cs="宋体" w:hint="eastAsia"/>
          <w:color w:val="FF0000"/>
          <w:sz w:val="21"/>
        </w:rPr>
        <w:t>审判员三人组成合议庭</w:t>
      </w:r>
      <w:r w:rsidRPr="0087325A">
        <w:rPr>
          <w:rFonts w:eastAsia="宋体" w:hAnsi="宋体" w:cs="宋体" w:hint="eastAsia"/>
          <w:sz w:val="21"/>
        </w:rPr>
        <w:t>进行。</w:t>
      </w:r>
    </w:p>
    <w:p w14:paraId="5111F72C" w14:textId="107670E7" w:rsidR="008C1BE6" w:rsidRPr="0087325A" w:rsidRDefault="008C1BE6" w:rsidP="008C1BE6">
      <w:pPr>
        <w:pStyle w:val="a7"/>
        <w:spacing w:line="240" w:lineRule="exact"/>
        <w:ind w:firstLine="420"/>
        <w:rPr>
          <w:rFonts w:eastAsia="宋体" w:hAnsi="宋体" w:cs="宋体" w:hint="eastAsia"/>
          <w:sz w:val="21"/>
        </w:rPr>
      </w:pPr>
      <w:r w:rsidRPr="0087325A">
        <w:rPr>
          <w:rFonts w:eastAsia="宋体" w:hAnsi="宋体" w:cs="宋体" w:hint="eastAsia"/>
          <w:sz w:val="21"/>
        </w:rPr>
        <w:t>基层人民法院、中级人民法院、高级人民法院审判下列第一审刑事案件，由审判员和人民陪审员组成合议庭进行：</w:t>
      </w:r>
      <w:r w:rsidR="00385099">
        <w:rPr>
          <w:rFonts w:eastAsia="宋体" w:hAnsi="宋体" w:cs="宋体" w:hint="eastAsia"/>
          <w:sz w:val="21"/>
        </w:rPr>
        <w:t>1.</w:t>
      </w:r>
      <w:r w:rsidRPr="0087325A">
        <w:rPr>
          <w:rFonts w:eastAsia="宋体" w:hAnsi="宋体" w:cs="宋体" w:hint="eastAsia"/>
          <w:sz w:val="21"/>
        </w:rPr>
        <w:t>涉及群体利益、公共利益的；</w:t>
      </w:r>
      <w:r w:rsidR="00385099">
        <w:rPr>
          <w:rFonts w:eastAsia="宋体" w:hAnsi="宋体" w:cs="宋体" w:hint="eastAsia"/>
          <w:sz w:val="21"/>
        </w:rPr>
        <w:t>2.</w:t>
      </w:r>
      <w:r w:rsidRPr="0087325A">
        <w:rPr>
          <w:rFonts w:eastAsia="宋体" w:hAnsi="宋体" w:cs="宋体" w:hint="eastAsia"/>
          <w:sz w:val="21"/>
        </w:rPr>
        <w:t>人民群众广泛关注或者其他社会影响较大的；</w:t>
      </w:r>
      <w:r w:rsidR="00385099">
        <w:rPr>
          <w:rFonts w:eastAsia="宋体" w:hAnsi="宋体" w:cs="宋体" w:hint="eastAsia"/>
          <w:sz w:val="21"/>
        </w:rPr>
        <w:t>3.</w:t>
      </w:r>
      <w:r w:rsidRPr="0087325A">
        <w:rPr>
          <w:rFonts w:eastAsia="宋体" w:hAnsi="宋体" w:cs="宋体" w:hint="eastAsia"/>
          <w:sz w:val="21"/>
        </w:rPr>
        <w:t>案情复杂或者有其他情形，需要由人民陪审员参加审判的。</w:t>
      </w:r>
    </w:p>
    <w:p w14:paraId="394423E8" w14:textId="041B7998" w:rsidR="008C1BE6" w:rsidRPr="0087325A" w:rsidRDefault="008C1BE6" w:rsidP="008C1BE6">
      <w:pPr>
        <w:pStyle w:val="a7"/>
        <w:spacing w:line="240" w:lineRule="exact"/>
        <w:ind w:firstLine="420"/>
        <w:rPr>
          <w:rFonts w:eastAsia="宋体" w:hAnsi="宋体" w:cs="宋体" w:hint="eastAsia"/>
          <w:sz w:val="21"/>
        </w:rPr>
      </w:pPr>
      <w:r w:rsidRPr="0087325A">
        <w:rPr>
          <w:rFonts w:eastAsia="宋体" w:hAnsi="宋体" w:cs="宋体" w:hint="eastAsia"/>
          <w:sz w:val="21"/>
        </w:rPr>
        <w:t>基层人民法院、中级人民法院、高级人民法院审判下列第一审刑事案件，</w:t>
      </w:r>
      <w:r w:rsidRPr="0087325A">
        <w:rPr>
          <w:rFonts w:eastAsia="宋体" w:hAnsi="宋体" w:cs="宋体" w:hint="eastAsia"/>
          <w:color w:val="FF0000"/>
          <w:sz w:val="21"/>
        </w:rPr>
        <w:t>由审判员和人民陪审员组成七人合议庭进行</w:t>
      </w:r>
      <w:r w:rsidRPr="0087325A">
        <w:rPr>
          <w:rFonts w:eastAsia="宋体" w:hAnsi="宋体" w:cs="宋体" w:hint="eastAsia"/>
          <w:sz w:val="21"/>
        </w:rPr>
        <w:t>：</w:t>
      </w:r>
      <w:r w:rsidR="00385099">
        <w:rPr>
          <w:rFonts w:eastAsia="宋体" w:hAnsi="宋体" w:cs="宋体" w:hint="eastAsia"/>
          <w:sz w:val="21"/>
        </w:rPr>
        <w:t>1.</w:t>
      </w:r>
      <w:r w:rsidRPr="0087325A">
        <w:rPr>
          <w:rFonts w:eastAsia="宋体" w:hAnsi="宋体" w:cs="宋体" w:hint="eastAsia"/>
          <w:sz w:val="21"/>
        </w:rPr>
        <w:t>可能判处十年以上有期徒刑、无期徒刑、死刑，且社会影响重大的；</w:t>
      </w:r>
      <w:r w:rsidR="00385099">
        <w:rPr>
          <w:rFonts w:eastAsia="宋体" w:hAnsi="宋体" w:cs="宋体" w:hint="eastAsia"/>
          <w:sz w:val="21"/>
        </w:rPr>
        <w:t>2.</w:t>
      </w:r>
      <w:r w:rsidRPr="0087325A">
        <w:rPr>
          <w:rFonts w:eastAsia="宋体" w:hAnsi="宋体" w:cs="宋体" w:hint="eastAsia"/>
          <w:sz w:val="21"/>
        </w:rPr>
        <w:t>涉及征地拆迁、生态环境保护、食品药品安全，且社会影响重大的；</w:t>
      </w:r>
      <w:r w:rsidR="007D2C2D">
        <w:rPr>
          <w:rFonts w:eastAsia="宋体" w:hAnsi="宋体" w:cs="宋体" w:hint="eastAsia"/>
          <w:sz w:val="21"/>
        </w:rPr>
        <w:t>3.</w:t>
      </w:r>
      <w:r w:rsidRPr="0087325A">
        <w:rPr>
          <w:rFonts w:eastAsia="宋体" w:hAnsi="宋体" w:cs="宋体" w:hint="eastAsia"/>
          <w:sz w:val="21"/>
        </w:rPr>
        <w:t>其他社会影响重大的。</w:t>
      </w:r>
    </w:p>
    <w:p w14:paraId="06225BB8" w14:textId="77777777" w:rsidR="008C1BE6" w:rsidRDefault="008C1BE6" w:rsidP="008C1BE6">
      <w:pPr>
        <w:pStyle w:val="3"/>
        <w:spacing w:line="240" w:lineRule="exact"/>
        <w:ind w:firstLineChars="200" w:firstLine="420"/>
        <w:rPr>
          <w:rFonts w:eastAsia="宋体" w:hint="eastAsia"/>
          <w:sz w:val="21"/>
        </w:rPr>
      </w:pPr>
      <w:bookmarkStart w:id="33" w:name="_Toc510879093"/>
      <w:r>
        <w:rPr>
          <w:rFonts w:eastAsia="宋体" w:hint="eastAsia"/>
          <w:sz w:val="21"/>
        </w:rPr>
        <w:t>（二）</w:t>
      </w:r>
      <w:r w:rsidRPr="0087325A">
        <w:rPr>
          <w:rFonts w:eastAsia="宋体" w:hint="eastAsia"/>
          <w:sz w:val="21"/>
        </w:rPr>
        <w:t>合议庭的活动原则和程序</w:t>
      </w:r>
      <w:bookmarkEnd w:id="33"/>
    </w:p>
    <w:p w14:paraId="6F254C8D" w14:textId="77777777" w:rsidR="008C1BE6" w:rsidRPr="00677D40" w:rsidRDefault="008C1BE6" w:rsidP="008C1BE6">
      <w:pPr>
        <w:spacing w:line="240" w:lineRule="exact"/>
        <w:ind w:firstLine="420"/>
        <w:rPr>
          <w:rFonts w:eastAsia="宋体" w:hint="eastAsia"/>
          <w:color w:val="FF0000"/>
        </w:rPr>
      </w:pPr>
      <w:r w:rsidRPr="00677D40">
        <w:rPr>
          <w:rFonts w:eastAsia="宋体" w:hint="eastAsia"/>
          <w:color w:val="FF0000"/>
        </w:rPr>
        <w:t>《法院解释》第</w:t>
      </w:r>
      <w:r w:rsidRPr="00677D40">
        <w:rPr>
          <w:rFonts w:eastAsia="宋体"/>
          <w:color w:val="FF0000"/>
        </w:rPr>
        <w:t>301条：庭审结束后、评议前，部分合议庭成员不能继续履行审判职责的，人民法院应当依法更换合议庭组成人员，重新开庭审理。评议后、宣判前，部分合议庭成员因调动、退休等正常原因不能参加宣判，在不改变原评议结论的情况下，可以由审判本案的其他审判员宣判，裁判文书上仍署审判本案的合议庭成员的姓名。</w:t>
      </w:r>
    </w:p>
    <w:p w14:paraId="04F6AB99" w14:textId="77777777" w:rsidR="008C1BE6" w:rsidRPr="0087325A" w:rsidRDefault="008C1BE6" w:rsidP="008C1BE6">
      <w:pPr>
        <w:pStyle w:val="4"/>
        <w:spacing w:line="240" w:lineRule="exact"/>
        <w:ind w:firstLineChars="200" w:firstLine="420"/>
        <w:rPr>
          <w:rFonts w:ascii="宋体" w:eastAsia="宋体" w:hAnsi="宋体" w:hint="eastAsia"/>
          <w:sz w:val="21"/>
          <w:szCs w:val="21"/>
        </w:rPr>
      </w:pPr>
      <w:r>
        <w:rPr>
          <w:rFonts w:ascii="宋体" w:eastAsia="宋体" w:hAnsi="宋体" w:hint="eastAsia"/>
          <w:sz w:val="21"/>
          <w:szCs w:val="21"/>
        </w:rPr>
        <w:t>1.</w:t>
      </w:r>
      <w:r w:rsidRPr="0087325A">
        <w:rPr>
          <w:rFonts w:ascii="宋体" w:eastAsia="宋体" w:hAnsi="宋体" w:hint="eastAsia"/>
          <w:sz w:val="21"/>
          <w:szCs w:val="21"/>
        </w:rPr>
        <w:t>评议规则</w:t>
      </w:r>
    </w:p>
    <w:p w14:paraId="0621AF21" w14:textId="77777777" w:rsidR="008C1BE6" w:rsidRPr="0087325A" w:rsidRDefault="008C1BE6" w:rsidP="008C1BE6">
      <w:pPr>
        <w:pStyle w:val="a7"/>
        <w:spacing w:line="240" w:lineRule="exact"/>
        <w:ind w:firstLine="420"/>
        <w:rPr>
          <w:rFonts w:eastAsia="宋体" w:hAnsi="宋体" w:cs="宋体" w:hint="eastAsia"/>
          <w:sz w:val="21"/>
        </w:rPr>
      </w:pPr>
      <w:r w:rsidRPr="0087325A">
        <w:rPr>
          <w:rFonts w:eastAsia="宋体" w:hAnsi="宋体" w:cs="宋体"/>
          <w:color w:val="FF0000"/>
          <w:sz w:val="21"/>
        </w:rPr>
        <w:t>开庭审理和评议案件，应当由同一合议庭进行</w:t>
      </w:r>
      <w:r w:rsidRPr="0087325A">
        <w:rPr>
          <w:rFonts w:eastAsia="宋体" w:hAnsi="宋体" w:cs="宋体"/>
          <w:sz w:val="21"/>
        </w:rPr>
        <w:t>。合议庭成员在评议案件时，应当独立表达意见并说明理由。</w:t>
      </w:r>
      <w:r w:rsidRPr="0087325A">
        <w:rPr>
          <w:rFonts w:eastAsia="宋体" w:hAnsi="宋体" w:cs="宋体"/>
          <w:color w:val="FF0000"/>
          <w:sz w:val="21"/>
        </w:rPr>
        <w:t>意见分歧的，应当按多数意见作出决定，但少数意见应当记入笔录</w:t>
      </w:r>
      <w:r w:rsidRPr="0087325A">
        <w:rPr>
          <w:rFonts w:eastAsia="宋体" w:hAnsi="宋体" w:cs="宋体"/>
          <w:sz w:val="21"/>
        </w:rPr>
        <w:t>。评议笔录由合议庭的组成人员在审阅确认无误后签名。</w:t>
      </w:r>
      <w:r w:rsidRPr="0087325A">
        <w:rPr>
          <w:rFonts w:eastAsia="宋体" w:hAnsi="宋体" w:cs="宋体"/>
          <w:color w:val="FF0000"/>
          <w:sz w:val="21"/>
        </w:rPr>
        <w:t>评议情况应当保密</w:t>
      </w:r>
      <w:r w:rsidRPr="0087325A">
        <w:rPr>
          <w:rFonts w:eastAsia="宋体" w:hAnsi="宋体" w:cs="宋体"/>
          <w:sz w:val="21"/>
        </w:rPr>
        <w:t>。</w:t>
      </w:r>
    </w:p>
    <w:p w14:paraId="55482E59" w14:textId="77777777" w:rsidR="008C1BE6" w:rsidRDefault="008C1BE6" w:rsidP="008C1BE6">
      <w:pPr>
        <w:pStyle w:val="4"/>
        <w:spacing w:line="240" w:lineRule="exact"/>
        <w:ind w:firstLineChars="200" w:firstLine="420"/>
        <w:rPr>
          <w:rFonts w:ascii="宋体" w:eastAsia="宋体" w:hAnsi="宋体" w:hint="eastAsia"/>
          <w:sz w:val="21"/>
          <w:szCs w:val="21"/>
        </w:rPr>
      </w:pPr>
      <w:r>
        <w:rPr>
          <w:rFonts w:ascii="宋体" w:eastAsia="宋体" w:hAnsi="宋体" w:hint="eastAsia"/>
          <w:sz w:val="21"/>
          <w:szCs w:val="21"/>
        </w:rPr>
        <w:t>2.</w:t>
      </w:r>
      <w:r w:rsidRPr="0087325A">
        <w:rPr>
          <w:rFonts w:ascii="宋体" w:eastAsia="宋体" w:hAnsi="宋体" w:hint="eastAsia"/>
          <w:sz w:val="21"/>
          <w:szCs w:val="21"/>
        </w:rPr>
        <w:t>提交审判委员会讨论决定的案件范围和程序</w:t>
      </w:r>
    </w:p>
    <w:p w14:paraId="4D26F05C" w14:textId="77777777" w:rsidR="008C1BE6" w:rsidRDefault="008C1BE6" w:rsidP="008C1BE6">
      <w:pPr>
        <w:spacing w:line="240" w:lineRule="exact"/>
        <w:ind w:firstLine="420"/>
        <w:rPr>
          <w:rFonts w:eastAsia="宋体" w:hint="eastAsia"/>
        </w:rPr>
      </w:pPr>
      <w:r w:rsidRPr="00494A7B">
        <w:rPr>
          <w:rFonts w:eastAsia="宋体" w:cstheme="majorBidi" w:hint="eastAsia"/>
          <w:bCs/>
          <w:color w:val="FF0000"/>
        </w:rPr>
        <w:t>应当提请范围</w:t>
      </w:r>
      <w:r>
        <w:rPr>
          <w:rFonts w:eastAsia="宋体" w:cstheme="majorBidi" w:hint="eastAsia"/>
          <w:bCs/>
        </w:rPr>
        <w:t>：（1）</w:t>
      </w:r>
      <w:r w:rsidRPr="00482B99">
        <w:rPr>
          <w:rFonts w:eastAsia="宋体" w:cstheme="majorBidi" w:hint="eastAsia"/>
          <w:bCs/>
        </w:rPr>
        <w:t>高级人民法院、中级人民法院拟判处死刑立即执行的案件，以及中级人民法院拟判处死刑缓期执行的案件</w:t>
      </w:r>
      <w:r>
        <w:rPr>
          <w:rFonts w:eastAsia="宋体" w:cstheme="majorBidi" w:hint="eastAsia"/>
          <w:bCs/>
        </w:rPr>
        <w:t>（2）</w:t>
      </w:r>
      <w:r w:rsidRPr="0087325A">
        <w:rPr>
          <w:rFonts w:eastAsia="宋体" w:hint="eastAsia"/>
        </w:rPr>
        <w:t>人民检察院抗诉的案件</w:t>
      </w:r>
      <w:r>
        <w:rPr>
          <w:rFonts w:eastAsia="宋体" w:hint="eastAsia"/>
        </w:rPr>
        <w:t>（3）</w:t>
      </w:r>
      <w:r w:rsidRPr="0087325A">
        <w:rPr>
          <w:rFonts w:eastAsia="宋体" w:hint="eastAsia"/>
        </w:rPr>
        <w:t>本院已经发生法律效力的判决、裁定确有错误需要再审的案件</w:t>
      </w:r>
      <w:r>
        <w:rPr>
          <w:rFonts w:eastAsia="宋体" w:hint="eastAsia"/>
        </w:rPr>
        <w:t>。</w:t>
      </w:r>
    </w:p>
    <w:p w14:paraId="69DFE611" w14:textId="77777777" w:rsidR="008C1BE6" w:rsidRPr="00B47315" w:rsidRDefault="008C1BE6" w:rsidP="008C1BE6">
      <w:pPr>
        <w:spacing w:line="240" w:lineRule="exact"/>
        <w:ind w:firstLine="420"/>
        <w:rPr>
          <w:rFonts w:eastAsia="宋体" w:cstheme="majorBidi" w:hint="eastAsia"/>
          <w:bCs/>
        </w:rPr>
      </w:pPr>
      <w:r w:rsidRPr="0087325A">
        <w:rPr>
          <w:rFonts w:eastAsia="宋体" w:hint="eastAsia"/>
        </w:rPr>
        <w:t>提请院长决定提交审判委员会讨论决定</w:t>
      </w:r>
      <w:r>
        <w:rPr>
          <w:rFonts w:eastAsia="宋体" w:hint="eastAsia"/>
        </w:rPr>
        <w:t>，</w:t>
      </w:r>
      <w:r w:rsidRPr="0087325A">
        <w:rPr>
          <w:rFonts w:eastAsia="宋体" w:hint="eastAsia"/>
        </w:rPr>
        <w:t>院长认为不必要，可以建议合议庭复议一次</w:t>
      </w:r>
      <w:r>
        <w:rPr>
          <w:rFonts w:eastAsia="宋体" w:hint="eastAsia"/>
        </w:rPr>
        <w:t>，</w:t>
      </w:r>
      <w:r w:rsidRPr="0087325A">
        <w:rPr>
          <w:rFonts w:eastAsia="宋体" w:hint="eastAsia"/>
        </w:rPr>
        <w:t>审判委员会的决定，合议庭、独任审判员应当执行；有不同意见的，可以建议院长提交审判委员会</w:t>
      </w:r>
      <w:r w:rsidRPr="00574CF1">
        <w:rPr>
          <w:rFonts w:eastAsia="宋体" w:hint="eastAsia"/>
          <w:color w:val="FF0000"/>
        </w:rPr>
        <w:t>复议</w:t>
      </w:r>
      <w:r>
        <w:rPr>
          <w:rFonts w:eastAsia="宋体" w:hint="eastAsia"/>
        </w:rPr>
        <w:t>。</w:t>
      </w:r>
    </w:p>
    <w:p w14:paraId="4D8A028D" w14:textId="1278726B" w:rsidR="008C1BE6" w:rsidRPr="004D34E3" w:rsidRDefault="008C1BE6" w:rsidP="008C1BE6">
      <w:pPr>
        <w:spacing w:line="240" w:lineRule="exact"/>
        <w:ind w:firstLine="420"/>
        <w:rPr>
          <w:rFonts w:eastAsia="宋体" w:hint="eastAsia"/>
        </w:rPr>
      </w:pPr>
      <w:bookmarkStart w:id="34" w:name="_Toc64384715"/>
      <w:bookmarkStart w:id="35" w:name="_Toc4844137"/>
      <w:bookmarkStart w:id="36" w:name="_Toc126331808"/>
      <w:r>
        <w:rPr>
          <w:rFonts w:eastAsia="宋体" w:hint="eastAsia"/>
        </w:rPr>
        <w:t>三</w:t>
      </w:r>
      <w:r w:rsidRPr="004D34E3">
        <w:rPr>
          <w:rFonts w:eastAsia="宋体" w:hint="eastAsia"/>
        </w:rPr>
        <w:t>、人民陪审</w:t>
      </w:r>
      <w:bookmarkEnd w:id="34"/>
      <w:bookmarkEnd w:id="35"/>
      <w:bookmarkEnd w:id="36"/>
      <w:r>
        <w:rPr>
          <w:rFonts w:eastAsia="宋体" w:hint="eastAsia"/>
        </w:rPr>
        <w:t>员</w:t>
      </w:r>
    </w:p>
    <w:p w14:paraId="4290B609" w14:textId="77777777" w:rsidR="008C1BE6" w:rsidRPr="0087325A" w:rsidRDefault="008C1BE6" w:rsidP="008C1BE6">
      <w:pPr>
        <w:pStyle w:val="3"/>
        <w:spacing w:line="240" w:lineRule="exact"/>
        <w:ind w:firstLineChars="200" w:firstLine="420"/>
        <w:rPr>
          <w:rFonts w:eastAsia="宋体" w:hint="eastAsia"/>
          <w:sz w:val="21"/>
        </w:rPr>
      </w:pPr>
      <w:bookmarkStart w:id="37" w:name="_Hlk529136173"/>
      <w:r>
        <w:rPr>
          <w:rFonts w:eastAsia="宋体" w:hint="eastAsia"/>
          <w:sz w:val="21"/>
        </w:rPr>
        <w:t>（一）</w:t>
      </w:r>
      <w:r w:rsidRPr="0087325A">
        <w:rPr>
          <w:rFonts w:eastAsia="宋体" w:hint="eastAsia"/>
          <w:sz w:val="21"/>
        </w:rPr>
        <w:t>人民陪审员任职资格</w:t>
      </w:r>
    </w:p>
    <w:bookmarkEnd w:id="37"/>
    <w:p w14:paraId="44A456CE" w14:textId="77777777" w:rsidR="008C1BE6" w:rsidRDefault="008C1BE6" w:rsidP="008C1BE6">
      <w:pPr>
        <w:spacing w:line="240" w:lineRule="exact"/>
        <w:ind w:firstLine="420"/>
        <w:rPr>
          <w:rFonts w:eastAsia="宋体" w:hint="eastAsia"/>
          <w:color w:val="FF0000"/>
        </w:rPr>
      </w:pPr>
      <w:r w:rsidRPr="0087325A">
        <w:rPr>
          <w:rFonts w:eastAsia="宋体" w:hint="eastAsia"/>
          <w:color w:val="FF0000"/>
        </w:rPr>
        <w:t>不能担任陪审员的情形</w:t>
      </w:r>
      <w:r w:rsidRPr="0087325A">
        <w:rPr>
          <w:rFonts w:eastAsia="宋体" w:hint="eastAsia"/>
        </w:rPr>
        <w:t>：</w:t>
      </w:r>
      <w:r w:rsidRPr="0087325A">
        <w:rPr>
          <w:rFonts w:eastAsia="宋体" w:hint="eastAsia"/>
          <w:color w:val="FF0000"/>
        </w:rPr>
        <w:t>职业禁止</w:t>
      </w:r>
      <w:r>
        <w:rPr>
          <w:rFonts w:eastAsia="宋体" w:hint="eastAsia"/>
        </w:rPr>
        <w:t>、</w:t>
      </w:r>
      <w:r w:rsidRPr="0087325A">
        <w:rPr>
          <w:rFonts w:eastAsia="宋体" w:hint="eastAsia"/>
          <w:color w:val="FF0000"/>
        </w:rPr>
        <w:t>违纪违法</w:t>
      </w:r>
    </w:p>
    <w:p w14:paraId="4369A14C" w14:textId="39849BE7" w:rsidR="001606BF" w:rsidRPr="001606BF" w:rsidRDefault="001606BF" w:rsidP="001606BF">
      <w:pPr>
        <w:spacing w:line="240" w:lineRule="exact"/>
        <w:ind w:firstLine="420"/>
        <w:rPr>
          <w:rFonts w:eastAsia="宋体" w:hint="eastAsia"/>
        </w:rPr>
      </w:pPr>
      <w:r w:rsidRPr="001606BF">
        <w:rPr>
          <w:rFonts w:eastAsia="宋体" w:hint="eastAsia"/>
        </w:rPr>
        <w:t>（</w:t>
      </w:r>
      <w:r w:rsidR="00325E38">
        <w:rPr>
          <w:rFonts w:eastAsia="宋体" w:hint="eastAsia"/>
        </w:rPr>
        <w:t>二</w:t>
      </w:r>
      <w:r w:rsidRPr="001606BF">
        <w:rPr>
          <w:rFonts w:eastAsia="宋体" w:hint="eastAsia"/>
        </w:rPr>
        <w:t>）陪审的案件范围</w:t>
      </w:r>
    </w:p>
    <w:p w14:paraId="465DC204" w14:textId="77777777" w:rsidR="001606BF" w:rsidRPr="001606BF" w:rsidRDefault="001606BF" w:rsidP="001606BF">
      <w:pPr>
        <w:spacing w:line="240" w:lineRule="exact"/>
        <w:ind w:firstLine="420"/>
        <w:rPr>
          <w:rFonts w:eastAsia="宋体" w:hint="eastAsia"/>
        </w:rPr>
      </w:pPr>
      <w:r w:rsidRPr="001606BF">
        <w:rPr>
          <w:rFonts w:eastAsia="宋体" w:hint="eastAsia"/>
        </w:rPr>
        <w:t>人民法院审判第一审刑事、民事、行政案件，有下列情形之一的，由人民陪审员和法官组成合议庭进行：（1）涉及群体利益、公共利益的；（2）人民群众广泛关注或者其他社会影</w:t>
      </w:r>
      <w:r w:rsidRPr="001606BF">
        <w:rPr>
          <w:rFonts w:eastAsia="宋体" w:hint="eastAsia"/>
        </w:rPr>
        <w:lastRenderedPageBreak/>
        <w:t>响较大的；（3）案情复杂或者有其他情形，需要由人民陪审员参加审判的。人民法院审判前款规定的案件，法律规定由法官独任审理或者由法官组成合议庭审理的，从其规定。</w:t>
      </w:r>
    </w:p>
    <w:p w14:paraId="15E8F264" w14:textId="77777777" w:rsidR="001606BF" w:rsidRPr="001606BF" w:rsidRDefault="001606BF" w:rsidP="001606BF">
      <w:pPr>
        <w:spacing w:line="240" w:lineRule="exact"/>
        <w:ind w:firstLine="420"/>
        <w:rPr>
          <w:rFonts w:eastAsia="宋体" w:hint="eastAsia"/>
          <w:color w:val="EE0000"/>
        </w:rPr>
      </w:pPr>
      <w:r w:rsidRPr="001606BF">
        <w:rPr>
          <w:rFonts w:eastAsia="宋体" w:hint="eastAsia"/>
          <w:color w:val="EE0000"/>
        </w:rPr>
        <w:t>人民法院审判下列第一审案件，由人民陪审员和法官组成七人合议庭进行：（1）可能判处十年以上有期徒刑、无期徒刑、死刑，社会影响重大的刑事案件；（2）根据民事诉讼法、行政诉讼法提起的公益诉讼案件；（3）涉及征地拆迁、生态环境保护、食品药品安全，社会影响重大的案件；（4）其他社会影响重大的案件。</w:t>
      </w:r>
    </w:p>
    <w:p w14:paraId="24A79F20" w14:textId="77777777" w:rsidR="001606BF" w:rsidRPr="001606BF" w:rsidRDefault="001606BF" w:rsidP="001606BF">
      <w:pPr>
        <w:spacing w:line="240" w:lineRule="exact"/>
        <w:ind w:firstLine="420"/>
        <w:rPr>
          <w:rFonts w:eastAsia="宋体" w:hint="eastAsia"/>
        </w:rPr>
      </w:pPr>
      <w:r w:rsidRPr="001606BF">
        <w:rPr>
          <w:rFonts w:eastAsia="宋体" w:hint="eastAsia"/>
        </w:rPr>
        <w:t>第一审刑事案件被告人、民事案件原告或者被告、行政案件原告申请由人民陪审员参加合议庭审判的，人民法院可以决定由人民陪审员和法官组成合议庭审判。</w:t>
      </w:r>
    </w:p>
    <w:p w14:paraId="12F51FF2" w14:textId="4D905C53" w:rsidR="001606BF" w:rsidRPr="0087325A" w:rsidRDefault="001606BF" w:rsidP="001606BF">
      <w:pPr>
        <w:spacing w:line="240" w:lineRule="exact"/>
        <w:ind w:firstLine="420"/>
        <w:rPr>
          <w:rFonts w:eastAsia="宋体" w:hint="eastAsia"/>
        </w:rPr>
      </w:pPr>
      <w:r w:rsidRPr="001606BF">
        <w:rPr>
          <w:rFonts w:eastAsia="宋体" w:hint="eastAsia"/>
        </w:rPr>
        <w:t>注意：最高人民法院审理一审案件、上诉和抗诉案件以及死刑复核程序中没有人民陪审员。</w:t>
      </w:r>
    </w:p>
    <w:p w14:paraId="317C80A2" w14:textId="67385B09" w:rsidR="008C1BE6" w:rsidRPr="0040078F" w:rsidRDefault="008C1BE6" w:rsidP="008C1BE6">
      <w:pPr>
        <w:spacing w:line="240" w:lineRule="exact"/>
        <w:ind w:firstLine="420"/>
        <w:rPr>
          <w:rFonts w:eastAsia="宋体" w:hint="eastAsia"/>
        </w:rPr>
      </w:pPr>
      <w:bookmarkStart w:id="38" w:name="_Hlk529137717"/>
      <w:r w:rsidRPr="0040078F">
        <w:rPr>
          <w:rFonts w:eastAsia="宋体" w:hint="eastAsia"/>
        </w:rPr>
        <w:t>（</w:t>
      </w:r>
      <w:r w:rsidR="001606BF">
        <w:rPr>
          <w:rFonts w:eastAsia="宋体" w:hint="eastAsia"/>
        </w:rPr>
        <w:t>三</w:t>
      </w:r>
      <w:r w:rsidRPr="0040078F">
        <w:rPr>
          <w:rFonts w:eastAsia="宋体" w:hint="eastAsia"/>
        </w:rPr>
        <w:t>）人民陪审员参与审判</w:t>
      </w:r>
    </w:p>
    <w:p w14:paraId="105F9A7A" w14:textId="77777777" w:rsidR="008C1BE6" w:rsidRPr="0087325A" w:rsidRDefault="008C1BE6" w:rsidP="008C1BE6">
      <w:pPr>
        <w:spacing w:line="240" w:lineRule="exact"/>
        <w:ind w:firstLine="420"/>
        <w:rPr>
          <w:rFonts w:eastAsia="宋体" w:hint="eastAsia"/>
        </w:rPr>
      </w:pPr>
      <w:r>
        <w:rPr>
          <w:rFonts w:eastAsia="宋体" w:hint="eastAsia"/>
        </w:rPr>
        <w:t>1.</w:t>
      </w:r>
      <w:r w:rsidRPr="0087325A">
        <w:rPr>
          <w:rFonts w:eastAsia="宋体" w:hint="eastAsia"/>
        </w:rPr>
        <w:t>审判长应当履行与案件审判相关的指引、提示义务，但不得妨碍人民陪审员对案件的独立判断。合议庭评议案件，</w:t>
      </w:r>
      <w:r w:rsidRPr="0087325A">
        <w:rPr>
          <w:rFonts w:eastAsia="宋体" w:hint="eastAsia"/>
          <w:color w:val="FF0000"/>
        </w:rPr>
        <w:t>审判长应当对本案中涉及的事实认定、证据规则、法律规定等事项及应当注意的</w:t>
      </w:r>
      <w:bookmarkEnd w:id="38"/>
      <w:r w:rsidRPr="0087325A">
        <w:rPr>
          <w:rFonts w:eastAsia="宋体" w:hint="eastAsia"/>
          <w:color w:val="FF0000"/>
        </w:rPr>
        <w:t>问题，向人民陪审员进行必要的解释和说明</w:t>
      </w:r>
      <w:r w:rsidRPr="0087325A">
        <w:rPr>
          <w:rFonts w:eastAsia="宋体" w:hint="eastAsia"/>
        </w:rPr>
        <w:t>。</w:t>
      </w:r>
    </w:p>
    <w:p w14:paraId="3EB5E2B5" w14:textId="77777777" w:rsidR="008C1BE6" w:rsidRPr="0087325A" w:rsidRDefault="008C1BE6" w:rsidP="008C1BE6">
      <w:pPr>
        <w:spacing w:line="240" w:lineRule="exact"/>
        <w:ind w:firstLine="420"/>
        <w:rPr>
          <w:rFonts w:eastAsia="宋体" w:hint="eastAsia"/>
        </w:rPr>
      </w:pPr>
      <w:r>
        <w:rPr>
          <w:rFonts w:eastAsia="宋体" w:hint="eastAsia"/>
        </w:rPr>
        <w:t>2.</w:t>
      </w:r>
      <w:r w:rsidRPr="0087325A">
        <w:rPr>
          <w:rFonts w:eastAsia="宋体" w:hint="eastAsia"/>
        </w:rPr>
        <w:t>人民陪审员参加</w:t>
      </w:r>
      <w:r w:rsidRPr="0087325A">
        <w:rPr>
          <w:rFonts w:eastAsia="宋体" w:hint="eastAsia"/>
          <w:color w:val="FF0000"/>
        </w:rPr>
        <w:t>三人合议庭</w:t>
      </w:r>
      <w:r w:rsidRPr="0087325A">
        <w:rPr>
          <w:rFonts w:eastAsia="宋体" w:hint="eastAsia"/>
        </w:rPr>
        <w:t>审判案件，</w:t>
      </w:r>
      <w:r w:rsidRPr="0087325A">
        <w:rPr>
          <w:rFonts w:eastAsia="宋体" w:hint="eastAsia"/>
          <w:color w:val="FF0000"/>
        </w:rPr>
        <w:t>对事实认定、法律适用</w:t>
      </w:r>
      <w:r w:rsidRPr="0087325A">
        <w:rPr>
          <w:rFonts w:eastAsia="宋体" w:hint="eastAsia"/>
        </w:rPr>
        <w:t>，独立发表意见，行使表决权。</w:t>
      </w:r>
    </w:p>
    <w:p w14:paraId="62C70FEB" w14:textId="77777777" w:rsidR="008C1BE6" w:rsidRPr="0087325A" w:rsidRDefault="008C1BE6" w:rsidP="008C1BE6">
      <w:pPr>
        <w:spacing w:line="240" w:lineRule="exact"/>
        <w:ind w:firstLine="420"/>
        <w:rPr>
          <w:rFonts w:eastAsia="宋体" w:hint="eastAsia"/>
        </w:rPr>
      </w:pPr>
      <w:r>
        <w:rPr>
          <w:rFonts w:eastAsia="宋体" w:hint="eastAsia"/>
        </w:rPr>
        <w:t>3.</w:t>
      </w:r>
      <w:r w:rsidRPr="0087325A">
        <w:rPr>
          <w:rFonts w:eastAsia="宋体" w:hint="eastAsia"/>
        </w:rPr>
        <w:t>人民陪审员参加</w:t>
      </w:r>
      <w:r w:rsidRPr="0087325A">
        <w:rPr>
          <w:rFonts w:eastAsia="宋体" w:hint="eastAsia"/>
          <w:color w:val="FF0000"/>
        </w:rPr>
        <w:t>七人合议庭</w:t>
      </w:r>
      <w:r w:rsidRPr="0087325A">
        <w:rPr>
          <w:rFonts w:eastAsia="宋体" w:hint="eastAsia"/>
        </w:rPr>
        <w:t>审判案件，</w:t>
      </w:r>
      <w:r w:rsidRPr="0087325A">
        <w:rPr>
          <w:rFonts w:eastAsia="宋体" w:hint="eastAsia"/>
          <w:color w:val="FF0000"/>
        </w:rPr>
        <w:t>对事实认定，独立发表意见</w:t>
      </w:r>
      <w:r w:rsidRPr="0087325A">
        <w:rPr>
          <w:rFonts w:eastAsia="宋体" w:hint="eastAsia"/>
        </w:rPr>
        <w:t>，并与法官共同表决；对法律适用，可以发表意见，但不参加表决。</w:t>
      </w:r>
    </w:p>
    <w:p w14:paraId="09BAA63B" w14:textId="77777777" w:rsidR="008C1BE6" w:rsidRPr="00E8476F" w:rsidRDefault="008C1BE6" w:rsidP="008C1BE6">
      <w:pPr>
        <w:spacing w:line="240" w:lineRule="exact"/>
        <w:ind w:firstLine="420"/>
        <w:rPr>
          <w:rFonts w:eastAsia="宋体" w:hint="eastAsia"/>
        </w:rPr>
      </w:pPr>
      <w:r>
        <w:rPr>
          <w:rFonts w:eastAsia="宋体" w:hint="eastAsia"/>
        </w:rPr>
        <w:t>4.</w:t>
      </w:r>
      <w:r w:rsidRPr="0087325A">
        <w:rPr>
          <w:rFonts w:eastAsia="宋体" w:hint="eastAsia"/>
        </w:rPr>
        <w:t>合议庭评议案件，实行少数服从多数的原则。</w:t>
      </w:r>
      <w:r w:rsidRPr="0087325A">
        <w:rPr>
          <w:rFonts w:eastAsia="宋体" w:hint="eastAsia"/>
          <w:color w:val="FF0000"/>
        </w:rPr>
        <w:t>人民陪审员同合议庭其他组成人员意见分歧的，应当将其意见写入笔录</w:t>
      </w:r>
      <w:r w:rsidRPr="0087325A">
        <w:rPr>
          <w:rFonts w:eastAsia="宋体" w:hint="eastAsia"/>
        </w:rPr>
        <w:t>。合议庭组成人员意见有重大分歧的，人民陪审员或者法官可以要求合议庭将案件提请院长决定是否提交审判委员会讨论决定。</w:t>
      </w:r>
      <w:bookmarkEnd w:id="22"/>
      <w:bookmarkEnd w:id="23"/>
      <w:bookmarkEnd w:id="24"/>
      <w:bookmarkEnd w:id="25"/>
    </w:p>
    <w:sectPr w:rsidR="008C1BE6" w:rsidRPr="00E8476F">
      <w:headerReference w:type="even" r:id="rId6"/>
      <w:headerReference w:type="default" r:id="rId7"/>
      <w:footerReference w:type="even" r:id="rId8"/>
      <w:footerReference w:type="default" r:id="rId9"/>
      <w:headerReference w:type="first" r:id="rId10"/>
      <w:footerReference w:type="first" r:id="rId11"/>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97BED1" w14:textId="77777777" w:rsidR="00351DA3" w:rsidRDefault="00351DA3">
      <w:pPr>
        <w:spacing w:line="240" w:lineRule="auto"/>
        <w:ind w:firstLine="420"/>
        <w:rPr>
          <w:rFonts w:hint="eastAsia"/>
        </w:rPr>
      </w:pPr>
      <w:r>
        <w:separator/>
      </w:r>
    </w:p>
  </w:endnote>
  <w:endnote w:type="continuationSeparator" w:id="0">
    <w:p w14:paraId="3F4DBF93" w14:textId="77777777" w:rsidR="00351DA3" w:rsidRDefault="00351DA3">
      <w:pPr>
        <w:spacing w:line="240" w:lineRule="auto"/>
        <w:ind w:firstLine="420"/>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汉仪书宋二简">
    <w:altName w:val="微软雅黑"/>
    <w:charset w:val="86"/>
    <w:family w:val="modern"/>
    <w:pitch w:val="fixed"/>
    <w:sig w:usb0="00000001" w:usb1="080E0800" w:usb2="00000012" w:usb3="00000000" w:csb0="00040000" w:csb1="00000000"/>
  </w:font>
  <w:font w:name="汉仪大宋简">
    <w:altName w:val="微软雅黑"/>
    <w:charset w:val="86"/>
    <w:family w:val="modern"/>
    <w:pitch w:val="fixed"/>
    <w:sig w:usb0="00000001" w:usb1="080E0800" w:usb2="00000012" w:usb3="00000000" w:csb0="00040000" w:csb1="00000000"/>
  </w:font>
  <w:font w:name="等线 Light">
    <w:panose1 w:val="02010600030101010101"/>
    <w:charset w:val="86"/>
    <w:family w:val="auto"/>
    <w:pitch w:val="variable"/>
    <w:sig w:usb0="A00002BF" w:usb1="38CF7CFA" w:usb2="00000016" w:usb3="00000000" w:csb0="0004000F" w:csb1="00000000"/>
  </w:font>
  <w:font w:name="汉仪大黑简">
    <w:altName w:val="黑体"/>
    <w:charset w:val="86"/>
    <w:family w:val="modern"/>
    <w:pitch w:val="fixed"/>
    <w:sig w:usb0="00000001" w:usb1="080E0800" w:usb2="00000012" w:usb3="00000000" w:csb0="00040000" w:csb1="00000000"/>
  </w:font>
  <w:font w:name="汉仪中黑简">
    <w:altName w:val="微软雅黑"/>
    <w:charset w:val="86"/>
    <w:family w:val="modern"/>
    <w:pitch w:val="fixed"/>
    <w:sig w:usb0="00000001" w:usb1="080E0800" w:usb2="00000012" w:usb3="00000000" w:csb0="00040000" w:csb1="00000000"/>
  </w:font>
  <w:font w:name="Courier New">
    <w:panose1 w:val="02070309020205020404"/>
    <w:charset w:val="00"/>
    <w:family w:val="modern"/>
    <w:pitch w:val="fixed"/>
    <w:sig w:usb0="E0002EFF" w:usb1="C0007843" w:usb2="00000009" w:usb3="00000000" w:csb0="000001FF" w:csb1="00000000"/>
  </w:font>
  <w:font w:name="汉仪书宋一简">
    <w:altName w:val="宋体"/>
    <w:charset w:val="86"/>
    <w:family w:val="modern"/>
    <w:pitch w:val="fixed"/>
    <w:sig w:usb0="00000001" w:usb1="080E0800" w:usb2="00000012" w:usb3="00000000" w:csb0="00040000" w:csb1="00000000"/>
  </w:font>
  <w:font w:name="仿宋_GB2312">
    <w:altName w:val="仿宋"/>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7D7F52" w14:textId="77777777" w:rsidR="00167803" w:rsidRDefault="00167803">
    <w:pPr>
      <w:pStyle w:val="ad"/>
      <w:ind w:firstLine="360"/>
      <w:rPr>
        <w:rFonts w:hint="eastAsia"/>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2F3DE8" w14:textId="77777777" w:rsidR="00167803" w:rsidRDefault="00167803">
    <w:pPr>
      <w:pStyle w:val="ad"/>
      <w:ind w:firstLine="360"/>
      <w:rPr>
        <w:rFonts w:hint="eastAsia"/>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CB77A6" w14:textId="77777777" w:rsidR="00167803" w:rsidRDefault="00167803">
    <w:pPr>
      <w:pStyle w:val="ad"/>
      <w:ind w:firstLine="360"/>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985C06" w14:textId="77777777" w:rsidR="00351DA3" w:rsidRDefault="00351DA3">
      <w:pPr>
        <w:spacing w:line="240" w:lineRule="auto"/>
        <w:ind w:firstLine="420"/>
        <w:rPr>
          <w:rFonts w:hint="eastAsia"/>
        </w:rPr>
      </w:pPr>
      <w:r>
        <w:separator/>
      </w:r>
    </w:p>
  </w:footnote>
  <w:footnote w:type="continuationSeparator" w:id="0">
    <w:p w14:paraId="2C80B6E0" w14:textId="77777777" w:rsidR="00351DA3" w:rsidRDefault="00351DA3">
      <w:pPr>
        <w:spacing w:line="240" w:lineRule="auto"/>
        <w:ind w:firstLine="420"/>
        <w:rPr>
          <w:rFonts w:hint="eastAsia"/>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8AD2CD" w14:textId="77777777" w:rsidR="00167803" w:rsidRDefault="00167803">
    <w:pPr>
      <w:pStyle w:val="af"/>
      <w:ind w:firstLine="360"/>
      <w:rPr>
        <w:rFonts w:hint="eastAsia"/>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C53E3F" w14:textId="77777777" w:rsidR="00167803" w:rsidRDefault="00000000">
    <w:pPr>
      <w:pStyle w:val="af"/>
      <w:ind w:firstLineChars="0" w:firstLine="0"/>
      <w:rPr>
        <w:rFonts w:hint="eastAsia"/>
      </w:rPr>
    </w:pPr>
    <w:r>
      <w:rPr>
        <w:rFonts w:hint="eastAsia"/>
      </w:rPr>
      <w:t>桑磊法考</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31561B" w14:textId="77777777" w:rsidR="00167803" w:rsidRDefault="00167803">
    <w:pPr>
      <w:pStyle w:val="af"/>
      <w:ind w:firstLine="360"/>
      <w:rPr>
        <w:rFonts w:hint="eastAsia"/>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57AA"/>
    <w:rsid w:val="000058B5"/>
    <w:rsid w:val="000259EA"/>
    <w:rsid w:val="00036668"/>
    <w:rsid w:val="00052A36"/>
    <w:rsid w:val="00056A72"/>
    <w:rsid w:val="00064951"/>
    <w:rsid w:val="00080905"/>
    <w:rsid w:val="000B15DC"/>
    <w:rsid w:val="000B5815"/>
    <w:rsid w:val="000C1DA1"/>
    <w:rsid w:val="000C608E"/>
    <w:rsid w:val="000E6E6D"/>
    <w:rsid w:val="000F486F"/>
    <w:rsid w:val="000F54B3"/>
    <w:rsid w:val="000F7EDE"/>
    <w:rsid w:val="001105B1"/>
    <w:rsid w:val="00114561"/>
    <w:rsid w:val="00116C15"/>
    <w:rsid w:val="001606BF"/>
    <w:rsid w:val="00167803"/>
    <w:rsid w:val="00170DA0"/>
    <w:rsid w:val="001714C5"/>
    <w:rsid w:val="00182815"/>
    <w:rsid w:val="00185FF3"/>
    <w:rsid w:val="001C42B5"/>
    <w:rsid w:val="00240BE0"/>
    <w:rsid w:val="002603E7"/>
    <w:rsid w:val="002900E9"/>
    <w:rsid w:val="002C379E"/>
    <w:rsid w:val="002D717D"/>
    <w:rsid w:val="002E688F"/>
    <w:rsid w:val="002E6B54"/>
    <w:rsid w:val="00300C35"/>
    <w:rsid w:val="00310C62"/>
    <w:rsid w:val="003229F4"/>
    <w:rsid w:val="00325E38"/>
    <w:rsid w:val="00351DA3"/>
    <w:rsid w:val="00362DE1"/>
    <w:rsid w:val="0037421F"/>
    <w:rsid w:val="00381C46"/>
    <w:rsid w:val="00385099"/>
    <w:rsid w:val="003A6416"/>
    <w:rsid w:val="003C05FF"/>
    <w:rsid w:val="003E0CBA"/>
    <w:rsid w:val="003E1E84"/>
    <w:rsid w:val="003E3A70"/>
    <w:rsid w:val="003F36D3"/>
    <w:rsid w:val="003F5DB7"/>
    <w:rsid w:val="00401709"/>
    <w:rsid w:val="00410266"/>
    <w:rsid w:val="004145D8"/>
    <w:rsid w:val="00425C84"/>
    <w:rsid w:val="0045693D"/>
    <w:rsid w:val="00474A44"/>
    <w:rsid w:val="00482B99"/>
    <w:rsid w:val="004D00A9"/>
    <w:rsid w:val="004E1DB8"/>
    <w:rsid w:val="004E1E02"/>
    <w:rsid w:val="004F2B1B"/>
    <w:rsid w:val="004F3C5D"/>
    <w:rsid w:val="004F5E79"/>
    <w:rsid w:val="005331C4"/>
    <w:rsid w:val="005332B3"/>
    <w:rsid w:val="00535F67"/>
    <w:rsid w:val="005533C3"/>
    <w:rsid w:val="005568CD"/>
    <w:rsid w:val="00560F83"/>
    <w:rsid w:val="00561C2E"/>
    <w:rsid w:val="00567542"/>
    <w:rsid w:val="00574CF1"/>
    <w:rsid w:val="005955D1"/>
    <w:rsid w:val="005C0645"/>
    <w:rsid w:val="005C6BEB"/>
    <w:rsid w:val="005D20E6"/>
    <w:rsid w:val="005E1BE0"/>
    <w:rsid w:val="005E73AA"/>
    <w:rsid w:val="00605BA0"/>
    <w:rsid w:val="00617AC8"/>
    <w:rsid w:val="006823A3"/>
    <w:rsid w:val="006915AD"/>
    <w:rsid w:val="00691EC0"/>
    <w:rsid w:val="006943C2"/>
    <w:rsid w:val="006A45CC"/>
    <w:rsid w:val="006B1018"/>
    <w:rsid w:val="006B1C06"/>
    <w:rsid w:val="006F482B"/>
    <w:rsid w:val="007261A8"/>
    <w:rsid w:val="00734F4F"/>
    <w:rsid w:val="00750942"/>
    <w:rsid w:val="0075331C"/>
    <w:rsid w:val="0075759F"/>
    <w:rsid w:val="0077388B"/>
    <w:rsid w:val="00774D71"/>
    <w:rsid w:val="00793836"/>
    <w:rsid w:val="007C0A28"/>
    <w:rsid w:val="007D2C2D"/>
    <w:rsid w:val="007D6184"/>
    <w:rsid w:val="007E61A8"/>
    <w:rsid w:val="007F0888"/>
    <w:rsid w:val="007F2D90"/>
    <w:rsid w:val="007F30BB"/>
    <w:rsid w:val="007F79A6"/>
    <w:rsid w:val="008065C8"/>
    <w:rsid w:val="00837881"/>
    <w:rsid w:val="00840B56"/>
    <w:rsid w:val="00840ED3"/>
    <w:rsid w:val="00841D74"/>
    <w:rsid w:val="00846B7A"/>
    <w:rsid w:val="008475C7"/>
    <w:rsid w:val="00852B80"/>
    <w:rsid w:val="008718C0"/>
    <w:rsid w:val="0087325A"/>
    <w:rsid w:val="008808FF"/>
    <w:rsid w:val="00890C61"/>
    <w:rsid w:val="008B395C"/>
    <w:rsid w:val="008C1BE6"/>
    <w:rsid w:val="00907814"/>
    <w:rsid w:val="00913D9C"/>
    <w:rsid w:val="0096015D"/>
    <w:rsid w:val="00961AE0"/>
    <w:rsid w:val="0097782E"/>
    <w:rsid w:val="00995C3A"/>
    <w:rsid w:val="009B75B9"/>
    <w:rsid w:val="009B75DE"/>
    <w:rsid w:val="009D3DAA"/>
    <w:rsid w:val="009D624B"/>
    <w:rsid w:val="009D7058"/>
    <w:rsid w:val="009E0A79"/>
    <w:rsid w:val="009F0DDD"/>
    <w:rsid w:val="009F37EA"/>
    <w:rsid w:val="009F72A7"/>
    <w:rsid w:val="00A02FD2"/>
    <w:rsid w:val="00A6590E"/>
    <w:rsid w:val="00AA1261"/>
    <w:rsid w:val="00AA1C38"/>
    <w:rsid w:val="00AA2271"/>
    <w:rsid w:val="00AA7D7A"/>
    <w:rsid w:val="00AB7688"/>
    <w:rsid w:val="00AE7572"/>
    <w:rsid w:val="00AF19FF"/>
    <w:rsid w:val="00AF45CD"/>
    <w:rsid w:val="00B06340"/>
    <w:rsid w:val="00B13B51"/>
    <w:rsid w:val="00B141B0"/>
    <w:rsid w:val="00B16379"/>
    <w:rsid w:val="00B31E75"/>
    <w:rsid w:val="00B41F3D"/>
    <w:rsid w:val="00B47315"/>
    <w:rsid w:val="00B47CDE"/>
    <w:rsid w:val="00B52A4D"/>
    <w:rsid w:val="00BC3645"/>
    <w:rsid w:val="00BF0369"/>
    <w:rsid w:val="00C048C1"/>
    <w:rsid w:val="00C10471"/>
    <w:rsid w:val="00C22898"/>
    <w:rsid w:val="00C31178"/>
    <w:rsid w:val="00C46040"/>
    <w:rsid w:val="00C65C90"/>
    <w:rsid w:val="00C7119E"/>
    <w:rsid w:val="00C75961"/>
    <w:rsid w:val="00C77C4E"/>
    <w:rsid w:val="00C957AA"/>
    <w:rsid w:val="00CA73D2"/>
    <w:rsid w:val="00CB04AF"/>
    <w:rsid w:val="00CC1BD5"/>
    <w:rsid w:val="00CE6444"/>
    <w:rsid w:val="00CF055E"/>
    <w:rsid w:val="00CF3045"/>
    <w:rsid w:val="00CF3D4E"/>
    <w:rsid w:val="00D07DDF"/>
    <w:rsid w:val="00D11E64"/>
    <w:rsid w:val="00D42AD8"/>
    <w:rsid w:val="00D61D14"/>
    <w:rsid w:val="00DA21B3"/>
    <w:rsid w:val="00DA2F78"/>
    <w:rsid w:val="00DA7390"/>
    <w:rsid w:val="00DB4DC2"/>
    <w:rsid w:val="00DE5B72"/>
    <w:rsid w:val="00DF76CF"/>
    <w:rsid w:val="00E0321E"/>
    <w:rsid w:val="00E2185C"/>
    <w:rsid w:val="00E24187"/>
    <w:rsid w:val="00E32235"/>
    <w:rsid w:val="00E370DA"/>
    <w:rsid w:val="00E454E1"/>
    <w:rsid w:val="00E4795E"/>
    <w:rsid w:val="00E546FA"/>
    <w:rsid w:val="00E708B5"/>
    <w:rsid w:val="00E81F53"/>
    <w:rsid w:val="00E8476F"/>
    <w:rsid w:val="00EA709B"/>
    <w:rsid w:val="00EB0D8F"/>
    <w:rsid w:val="00EB301B"/>
    <w:rsid w:val="00EE2F25"/>
    <w:rsid w:val="00EE332A"/>
    <w:rsid w:val="00F01B6B"/>
    <w:rsid w:val="00F170BB"/>
    <w:rsid w:val="00F42CCF"/>
    <w:rsid w:val="00F60E15"/>
    <w:rsid w:val="00F71D05"/>
    <w:rsid w:val="00FC3BD7"/>
    <w:rsid w:val="00FD6CEB"/>
    <w:rsid w:val="00FE05E3"/>
    <w:rsid w:val="39EFF050"/>
    <w:rsid w:val="9F7BA0E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F411CCE"/>
  <w15:docId w15:val="{4D8F0EF9-39F1-4F1F-8C96-036CC4F913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uiPriority="9" w:unhideWhenUsed="1" w:qFormat="1"/>
    <w:lsdException w:name="heading 5"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uiPriority="39" w:unhideWhenUsed="1" w:qFormat="1"/>
    <w:lsdException w:name="toc 9" w:uiPriority="39" w:unhideWhenUsed="1" w:qFormat="1"/>
    <w:lsdException w:name="Normal Indent" w:semiHidden="1" w:unhideWhenUsed="1"/>
    <w:lsdException w:name="footnote text" w:semiHidden="1" w:uiPriority="0" w:unhideWhenUsed="1" w:qFormat="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qFormat="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qFormat="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tabs>
        <w:tab w:val="left" w:pos="420"/>
      </w:tabs>
      <w:spacing w:line="384" w:lineRule="exact"/>
      <w:ind w:firstLineChars="200" w:firstLine="721"/>
      <w:jc w:val="both"/>
    </w:pPr>
    <w:rPr>
      <w:rFonts w:ascii="宋体" w:eastAsia="汉仪书宋二简" w:hAnsi="宋体" w:cs="宋体"/>
      <w:color w:val="000000" w:themeColor="text1"/>
      <w:kern w:val="2"/>
      <w:sz w:val="21"/>
      <w:szCs w:val="21"/>
    </w:rPr>
  </w:style>
  <w:style w:type="paragraph" w:styleId="1">
    <w:name w:val="heading 1"/>
    <w:basedOn w:val="a"/>
    <w:next w:val="a"/>
    <w:link w:val="10"/>
    <w:uiPriority w:val="9"/>
    <w:qFormat/>
    <w:pPr>
      <w:keepNext/>
      <w:keepLines/>
      <w:spacing w:before="10"/>
      <w:ind w:firstLineChars="0" w:firstLine="0"/>
      <w:jc w:val="center"/>
      <w:outlineLvl w:val="0"/>
    </w:pPr>
    <w:rPr>
      <w:rFonts w:ascii="汉仪大宋简" w:eastAsia="汉仪大宋简" w:hAnsi="汉仪大宋简"/>
      <w:bCs/>
      <w:kern w:val="44"/>
      <w:sz w:val="44"/>
      <w:szCs w:val="44"/>
    </w:rPr>
  </w:style>
  <w:style w:type="paragraph" w:styleId="2">
    <w:name w:val="heading 2"/>
    <w:basedOn w:val="a"/>
    <w:next w:val="a"/>
    <w:link w:val="20"/>
    <w:uiPriority w:val="9"/>
    <w:unhideWhenUsed/>
    <w:qFormat/>
    <w:pPr>
      <w:keepNext/>
      <w:keepLines/>
      <w:ind w:firstLineChars="0" w:firstLine="0"/>
      <w:jc w:val="left"/>
      <w:outlineLvl w:val="1"/>
    </w:pPr>
    <w:rPr>
      <w:rFonts w:asciiTheme="majorHAnsi" w:eastAsia="汉仪大黑简" w:hAnsiTheme="majorHAnsi" w:cstheme="majorBidi"/>
      <w:bCs/>
      <w:sz w:val="32"/>
      <w:szCs w:val="32"/>
    </w:rPr>
  </w:style>
  <w:style w:type="paragraph" w:styleId="3">
    <w:name w:val="heading 3"/>
    <w:basedOn w:val="a"/>
    <w:next w:val="a"/>
    <w:link w:val="30"/>
    <w:uiPriority w:val="9"/>
    <w:unhideWhenUsed/>
    <w:qFormat/>
    <w:pPr>
      <w:keepNext/>
      <w:keepLines/>
      <w:ind w:firstLineChars="0" w:firstLine="0"/>
      <w:jc w:val="left"/>
      <w:outlineLvl w:val="2"/>
    </w:pPr>
    <w:rPr>
      <w:rFonts w:eastAsia="汉仪大宋简"/>
      <w:sz w:val="26"/>
    </w:rPr>
  </w:style>
  <w:style w:type="paragraph" w:styleId="4">
    <w:name w:val="heading 4"/>
    <w:basedOn w:val="a"/>
    <w:next w:val="a"/>
    <w:link w:val="40"/>
    <w:uiPriority w:val="9"/>
    <w:unhideWhenUsed/>
    <w:qFormat/>
    <w:pPr>
      <w:keepNext/>
      <w:keepLines/>
      <w:ind w:firstLineChars="0" w:firstLine="0"/>
      <w:jc w:val="left"/>
      <w:outlineLvl w:val="3"/>
    </w:pPr>
    <w:rPr>
      <w:rFonts w:asciiTheme="majorHAnsi" w:eastAsia="汉仪大宋简" w:hAnsiTheme="majorHAnsi" w:cstheme="majorBidi"/>
      <w:bCs/>
      <w:sz w:val="24"/>
      <w:szCs w:val="28"/>
    </w:rPr>
  </w:style>
  <w:style w:type="paragraph" w:styleId="5">
    <w:name w:val="heading 5"/>
    <w:basedOn w:val="a"/>
    <w:next w:val="a"/>
    <w:link w:val="50"/>
    <w:uiPriority w:val="9"/>
    <w:unhideWhenUsed/>
    <w:qFormat/>
    <w:pPr>
      <w:keepNext/>
      <w:keepLines/>
      <w:outlineLvl w:val="4"/>
    </w:pPr>
    <w:rPr>
      <w:rFonts w:eastAsia="汉仪中黑简"/>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7">
    <w:name w:val="toc 7"/>
    <w:basedOn w:val="a"/>
    <w:next w:val="a"/>
    <w:uiPriority w:val="39"/>
    <w:unhideWhenUsed/>
    <w:qFormat/>
    <w:pPr>
      <w:ind w:left="1260"/>
    </w:pPr>
  </w:style>
  <w:style w:type="paragraph" w:styleId="a3">
    <w:name w:val="Document Map"/>
    <w:basedOn w:val="a"/>
    <w:link w:val="a4"/>
    <w:uiPriority w:val="99"/>
    <w:semiHidden/>
    <w:unhideWhenUsed/>
    <w:qFormat/>
    <w:rPr>
      <w:sz w:val="24"/>
      <w:szCs w:val="24"/>
    </w:rPr>
  </w:style>
  <w:style w:type="paragraph" w:styleId="a5">
    <w:name w:val="annotation text"/>
    <w:basedOn w:val="a"/>
    <w:link w:val="a6"/>
    <w:uiPriority w:val="99"/>
    <w:semiHidden/>
    <w:unhideWhenUsed/>
    <w:qFormat/>
    <w:pPr>
      <w:jc w:val="left"/>
    </w:pPr>
  </w:style>
  <w:style w:type="paragraph" w:styleId="TOC5">
    <w:name w:val="toc 5"/>
    <w:basedOn w:val="a"/>
    <w:next w:val="a"/>
    <w:uiPriority w:val="39"/>
    <w:unhideWhenUsed/>
    <w:qFormat/>
    <w:pPr>
      <w:ind w:left="840"/>
    </w:pPr>
  </w:style>
  <w:style w:type="paragraph" w:styleId="TOC3">
    <w:name w:val="toc 3"/>
    <w:basedOn w:val="a"/>
    <w:next w:val="a"/>
    <w:uiPriority w:val="39"/>
    <w:unhideWhenUsed/>
    <w:qFormat/>
    <w:pPr>
      <w:ind w:left="420"/>
    </w:pPr>
  </w:style>
  <w:style w:type="paragraph" w:styleId="a7">
    <w:name w:val="Plain Text"/>
    <w:basedOn w:val="a"/>
    <w:link w:val="a8"/>
    <w:uiPriority w:val="99"/>
    <w:unhideWhenUsed/>
    <w:qFormat/>
    <w:rPr>
      <w:rFonts w:hAnsi="Courier New" w:cs="Courier New"/>
      <w:kern w:val="0"/>
      <w:sz w:val="20"/>
    </w:rPr>
  </w:style>
  <w:style w:type="paragraph" w:styleId="TOC8">
    <w:name w:val="toc 8"/>
    <w:basedOn w:val="a"/>
    <w:next w:val="a"/>
    <w:uiPriority w:val="39"/>
    <w:unhideWhenUsed/>
    <w:qFormat/>
    <w:pPr>
      <w:ind w:left="1470"/>
    </w:pPr>
  </w:style>
  <w:style w:type="paragraph" w:styleId="a9">
    <w:name w:val="endnote text"/>
    <w:basedOn w:val="a"/>
    <w:link w:val="aa"/>
    <w:uiPriority w:val="99"/>
    <w:semiHidden/>
    <w:unhideWhenUsed/>
    <w:qFormat/>
    <w:pPr>
      <w:snapToGrid w:val="0"/>
      <w:jc w:val="left"/>
    </w:pPr>
  </w:style>
  <w:style w:type="paragraph" w:styleId="ab">
    <w:name w:val="Balloon Text"/>
    <w:basedOn w:val="a"/>
    <w:link w:val="ac"/>
    <w:uiPriority w:val="99"/>
    <w:semiHidden/>
    <w:unhideWhenUsed/>
    <w:qFormat/>
    <w:rPr>
      <w:sz w:val="18"/>
      <w:szCs w:val="18"/>
    </w:rPr>
  </w:style>
  <w:style w:type="paragraph" w:styleId="ad">
    <w:name w:val="footer"/>
    <w:basedOn w:val="a"/>
    <w:link w:val="ae"/>
    <w:uiPriority w:val="99"/>
    <w:unhideWhenUsed/>
    <w:qFormat/>
    <w:pPr>
      <w:tabs>
        <w:tab w:val="clear" w:pos="420"/>
        <w:tab w:val="center" w:pos="4153"/>
        <w:tab w:val="right" w:pos="8306"/>
      </w:tabs>
      <w:snapToGrid w:val="0"/>
      <w:jc w:val="left"/>
    </w:pPr>
    <w:rPr>
      <w:sz w:val="18"/>
      <w:szCs w:val="18"/>
    </w:rPr>
  </w:style>
  <w:style w:type="paragraph" w:styleId="af">
    <w:name w:val="header"/>
    <w:basedOn w:val="a"/>
    <w:link w:val="af0"/>
    <w:uiPriority w:val="99"/>
    <w:unhideWhenUsed/>
    <w:qFormat/>
    <w:pPr>
      <w:pBdr>
        <w:bottom w:val="single" w:sz="6" w:space="1" w:color="auto"/>
      </w:pBdr>
      <w:tabs>
        <w:tab w:val="clear" w:pos="420"/>
        <w:tab w:val="center" w:pos="4153"/>
        <w:tab w:val="right" w:pos="8306"/>
      </w:tabs>
      <w:snapToGrid w:val="0"/>
      <w:jc w:val="center"/>
    </w:pPr>
    <w:rPr>
      <w:sz w:val="18"/>
      <w:szCs w:val="18"/>
    </w:rPr>
  </w:style>
  <w:style w:type="paragraph" w:styleId="TOC1">
    <w:name w:val="toc 1"/>
    <w:basedOn w:val="a"/>
    <w:next w:val="a"/>
    <w:uiPriority w:val="39"/>
    <w:unhideWhenUsed/>
    <w:qFormat/>
  </w:style>
  <w:style w:type="paragraph" w:styleId="TOC4">
    <w:name w:val="toc 4"/>
    <w:basedOn w:val="a"/>
    <w:next w:val="a"/>
    <w:uiPriority w:val="39"/>
    <w:unhideWhenUsed/>
    <w:qFormat/>
    <w:pPr>
      <w:ind w:left="630"/>
    </w:pPr>
  </w:style>
  <w:style w:type="paragraph" w:styleId="af1">
    <w:name w:val="footnote text"/>
    <w:basedOn w:val="a"/>
    <w:link w:val="af2"/>
    <w:semiHidden/>
    <w:unhideWhenUsed/>
    <w:qFormat/>
    <w:pPr>
      <w:snapToGrid w:val="0"/>
      <w:jc w:val="left"/>
    </w:pPr>
    <w:rPr>
      <w:sz w:val="18"/>
      <w:szCs w:val="18"/>
    </w:rPr>
  </w:style>
  <w:style w:type="paragraph" w:styleId="TOC6">
    <w:name w:val="toc 6"/>
    <w:basedOn w:val="a"/>
    <w:next w:val="a"/>
    <w:uiPriority w:val="39"/>
    <w:unhideWhenUsed/>
    <w:qFormat/>
    <w:pPr>
      <w:ind w:left="1050"/>
    </w:pPr>
  </w:style>
  <w:style w:type="paragraph" w:styleId="TOC2">
    <w:name w:val="toc 2"/>
    <w:basedOn w:val="a"/>
    <w:next w:val="a"/>
    <w:uiPriority w:val="39"/>
    <w:unhideWhenUsed/>
    <w:qFormat/>
    <w:pPr>
      <w:ind w:left="210"/>
    </w:pPr>
  </w:style>
  <w:style w:type="paragraph" w:styleId="TOC9">
    <w:name w:val="toc 9"/>
    <w:basedOn w:val="a"/>
    <w:next w:val="a"/>
    <w:uiPriority w:val="39"/>
    <w:unhideWhenUsed/>
    <w:qFormat/>
    <w:pPr>
      <w:ind w:left="1680"/>
    </w:pPr>
  </w:style>
  <w:style w:type="paragraph" w:styleId="HTML">
    <w:name w:val="HTML Preformatted"/>
    <w:basedOn w:val="a"/>
    <w:link w:val="HTML0"/>
    <w:uiPriority w:val="99"/>
    <w:semiHidden/>
    <w:unhideWhenUsed/>
    <w:qFormat/>
    <w:pPr>
      <w:widowControl/>
      <w:tabs>
        <w:tab w:val="clear" w:pos="4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Chars="0" w:firstLine="0"/>
      <w:jc w:val="left"/>
    </w:pPr>
    <w:rPr>
      <w:rFonts w:ascii="Courier New" w:eastAsiaTheme="minorEastAsia" w:hAnsi="Courier New" w:cs="Courier New"/>
      <w:color w:val="auto"/>
      <w:kern w:val="0"/>
      <w:sz w:val="20"/>
      <w:szCs w:val="20"/>
    </w:rPr>
  </w:style>
  <w:style w:type="paragraph" w:styleId="af3">
    <w:name w:val="Normal (Web)"/>
    <w:basedOn w:val="a"/>
    <w:uiPriority w:val="99"/>
    <w:unhideWhenUsed/>
    <w:qFormat/>
    <w:pPr>
      <w:widowControl/>
      <w:spacing w:before="100" w:beforeAutospacing="1" w:after="100" w:afterAutospacing="1"/>
      <w:jc w:val="left"/>
    </w:pPr>
    <w:rPr>
      <w:color w:val="auto"/>
      <w:kern w:val="0"/>
      <w:sz w:val="24"/>
      <w:szCs w:val="24"/>
    </w:rPr>
  </w:style>
  <w:style w:type="paragraph" w:styleId="af4">
    <w:name w:val="Title"/>
    <w:basedOn w:val="a"/>
    <w:next w:val="a"/>
    <w:link w:val="af5"/>
    <w:uiPriority w:val="10"/>
    <w:qFormat/>
    <w:pPr>
      <w:spacing w:before="240" w:after="60"/>
      <w:jc w:val="center"/>
      <w:outlineLvl w:val="0"/>
    </w:pPr>
    <w:rPr>
      <w:rFonts w:asciiTheme="majorHAnsi" w:eastAsiaTheme="majorEastAsia" w:hAnsiTheme="majorHAnsi" w:cstheme="majorBidi"/>
      <w:b/>
      <w:bCs/>
      <w:sz w:val="32"/>
      <w:szCs w:val="32"/>
    </w:rPr>
  </w:style>
  <w:style w:type="paragraph" w:styleId="af6">
    <w:name w:val="annotation subject"/>
    <w:basedOn w:val="a5"/>
    <w:next w:val="a5"/>
    <w:link w:val="af7"/>
    <w:uiPriority w:val="99"/>
    <w:semiHidden/>
    <w:unhideWhenUsed/>
    <w:qFormat/>
    <w:rPr>
      <w:b/>
      <w:bCs/>
    </w:rPr>
  </w:style>
  <w:style w:type="table" w:styleId="af8">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9">
    <w:name w:val="Strong"/>
    <w:basedOn w:val="a0"/>
    <w:uiPriority w:val="22"/>
    <w:qFormat/>
    <w:rPr>
      <w:b/>
      <w:bCs/>
    </w:rPr>
  </w:style>
  <w:style w:type="character" w:styleId="afa">
    <w:name w:val="endnote reference"/>
    <w:basedOn w:val="a0"/>
    <w:uiPriority w:val="99"/>
    <w:semiHidden/>
    <w:unhideWhenUsed/>
    <w:qFormat/>
    <w:rPr>
      <w:vertAlign w:val="superscript"/>
    </w:rPr>
  </w:style>
  <w:style w:type="character" w:styleId="afb">
    <w:name w:val="page number"/>
    <w:basedOn w:val="a0"/>
    <w:uiPriority w:val="99"/>
    <w:semiHidden/>
    <w:unhideWhenUsed/>
    <w:qFormat/>
  </w:style>
  <w:style w:type="character" w:styleId="afc">
    <w:name w:val="Emphasis"/>
    <w:basedOn w:val="a0"/>
    <w:uiPriority w:val="20"/>
    <w:qFormat/>
    <w:rPr>
      <w:i/>
      <w:iCs/>
    </w:rPr>
  </w:style>
  <w:style w:type="character" w:styleId="afd">
    <w:name w:val="Hyperlink"/>
    <w:basedOn w:val="a0"/>
    <w:uiPriority w:val="99"/>
    <w:unhideWhenUsed/>
    <w:qFormat/>
    <w:rPr>
      <w:color w:val="0563C1" w:themeColor="hyperlink"/>
      <w:u w:val="single"/>
    </w:rPr>
  </w:style>
  <w:style w:type="character" w:styleId="afe">
    <w:name w:val="annotation reference"/>
    <w:basedOn w:val="a0"/>
    <w:uiPriority w:val="99"/>
    <w:semiHidden/>
    <w:unhideWhenUsed/>
    <w:qFormat/>
    <w:rPr>
      <w:sz w:val="21"/>
      <w:szCs w:val="21"/>
    </w:rPr>
  </w:style>
  <w:style w:type="character" w:styleId="aff">
    <w:name w:val="footnote reference"/>
    <w:basedOn w:val="a0"/>
    <w:semiHidden/>
    <w:unhideWhenUsed/>
    <w:qFormat/>
    <w:rPr>
      <w:vertAlign w:val="superscript"/>
    </w:rPr>
  </w:style>
  <w:style w:type="character" w:customStyle="1" w:styleId="10">
    <w:name w:val="标题 1 字符"/>
    <w:basedOn w:val="a0"/>
    <w:link w:val="1"/>
    <w:uiPriority w:val="9"/>
    <w:qFormat/>
    <w:rPr>
      <w:rFonts w:ascii="汉仪大宋简" w:eastAsia="汉仪大宋简" w:hAnsi="汉仪大宋简" w:cs="宋体"/>
      <w:bCs/>
      <w:color w:val="000000" w:themeColor="text1"/>
      <w:kern w:val="44"/>
      <w:sz w:val="44"/>
      <w:szCs w:val="44"/>
    </w:rPr>
  </w:style>
  <w:style w:type="character" w:customStyle="1" w:styleId="20">
    <w:name w:val="标题 2 字符"/>
    <w:basedOn w:val="a0"/>
    <w:link w:val="2"/>
    <w:uiPriority w:val="9"/>
    <w:qFormat/>
    <w:rPr>
      <w:rFonts w:asciiTheme="majorHAnsi" w:eastAsia="汉仪大黑简" w:hAnsiTheme="majorHAnsi" w:cstheme="majorBidi"/>
      <w:bCs/>
      <w:color w:val="000000" w:themeColor="text1"/>
      <w:sz w:val="32"/>
      <w:szCs w:val="32"/>
    </w:rPr>
  </w:style>
  <w:style w:type="character" w:customStyle="1" w:styleId="30">
    <w:name w:val="标题 3 字符"/>
    <w:basedOn w:val="a0"/>
    <w:link w:val="3"/>
    <w:uiPriority w:val="9"/>
    <w:qFormat/>
    <w:rPr>
      <w:rFonts w:ascii="宋体" w:eastAsia="汉仪大宋简" w:hAnsi="宋体" w:cs="宋体"/>
      <w:color w:val="000000" w:themeColor="text1"/>
      <w:sz w:val="26"/>
      <w:szCs w:val="21"/>
    </w:rPr>
  </w:style>
  <w:style w:type="character" w:customStyle="1" w:styleId="40">
    <w:name w:val="标题 4 字符"/>
    <w:basedOn w:val="a0"/>
    <w:link w:val="4"/>
    <w:uiPriority w:val="9"/>
    <w:qFormat/>
    <w:rPr>
      <w:rFonts w:asciiTheme="majorHAnsi" w:eastAsia="汉仪大宋简" w:hAnsiTheme="majorHAnsi" w:cstheme="majorBidi"/>
      <w:bCs/>
      <w:color w:val="000000" w:themeColor="text1"/>
      <w:sz w:val="24"/>
      <w:szCs w:val="28"/>
    </w:rPr>
  </w:style>
  <w:style w:type="character" w:customStyle="1" w:styleId="50">
    <w:name w:val="标题 5 字符"/>
    <w:basedOn w:val="a0"/>
    <w:link w:val="5"/>
    <w:uiPriority w:val="9"/>
    <w:qFormat/>
    <w:rPr>
      <w:rFonts w:ascii="宋体" w:eastAsia="汉仪中黑简" w:hAnsi="宋体" w:cs="宋体"/>
      <w:bCs/>
      <w:color w:val="000000" w:themeColor="text1"/>
      <w:szCs w:val="21"/>
    </w:rPr>
  </w:style>
  <w:style w:type="character" w:customStyle="1" w:styleId="a4">
    <w:name w:val="文档结构图 字符"/>
    <w:basedOn w:val="a0"/>
    <w:link w:val="a3"/>
    <w:uiPriority w:val="99"/>
    <w:semiHidden/>
    <w:qFormat/>
    <w:rPr>
      <w:rFonts w:ascii="宋体" w:eastAsia="汉仪书宋二简" w:hAnsi="宋体" w:cs="宋体"/>
      <w:color w:val="000000" w:themeColor="text1"/>
      <w:sz w:val="24"/>
      <w:szCs w:val="24"/>
    </w:rPr>
  </w:style>
  <w:style w:type="character" w:customStyle="1" w:styleId="a6">
    <w:name w:val="批注文字 字符"/>
    <w:basedOn w:val="a0"/>
    <w:link w:val="a5"/>
    <w:uiPriority w:val="99"/>
    <w:semiHidden/>
    <w:qFormat/>
    <w:rPr>
      <w:rFonts w:ascii="宋体" w:eastAsia="汉仪书宋二简" w:hAnsi="宋体" w:cs="宋体"/>
      <w:color w:val="000000" w:themeColor="text1"/>
      <w:szCs w:val="21"/>
    </w:rPr>
  </w:style>
  <w:style w:type="character" w:customStyle="1" w:styleId="a8">
    <w:name w:val="纯文本 字符"/>
    <w:basedOn w:val="a0"/>
    <w:link w:val="a7"/>
    <w:uiPriority w:val="99"/>
    <w:qFormat/>
    <w:rPr>
      <w:rFonts w:ascii="宋体" w:eastAsia="汉仪书宋二简" w:hAnsi="Courier New" w:cs="Courier New"/>
      <w:color w:val="000000" w:themeColor="text1"/>
      <w:kern w:val="0"/>
      <w:sz w:val="20"/>
      <w:szCs w:val="21"/>
    </w:rPr>
  </w:style>
  <w:style w:type="character" w:customStyle="1" w:styleId="aa">
    <w:name w:val="尾注文本 字符"/>
    <w:basedOn w:val="a0"/>
    <w:link w:val="a9"/>
    <w:uiPriority w:val="99"/>
    <w:semiHidden/>
    <w:qFormat/>
    <w:rPr>
      <w:rFonts w:ascii="宋体" w:eastAsia="汉仪书宋二简" w:hAnsi="宋体" w:cs="宋体"/>
      <w:color w:val="000000" w:themeColor="text1"/>
      <w:szCs w:val="21"/>
    </w:rPr>
  </w:style>
  <w:style w:type="character" w:customStyle="1" w:styleId="ac">
    <w:name w:val="批注框文本 字符"/>
    <w:basedOn w:val="a0"/>
    <w:link w:val="ab"/>
    <w:uiPriority w:val="99"/>
    <w:semiHidden/>
    <w:qFormat/>
    <w:rPr>
      <w:rFonts w:ascii="宋体" w:eastAsia="汉仪书宋二简" w:hAnsi="宋体" w:cs="宋体"/>
      <w:color w:val="000000" w:themeColor="text1"/>
      <w:sz w:val="18"/>
      <w:szCs w:val="18"/>
    </w:rPr>
  </w:style>
  <w:style w:type="character" w:customStyle="1" w:styleId="ae">
    <w:name w:val="页脚 字符"/>
    <w:basedOn w:val="a0"/>
    <w:link w:val="ad"/>
    <w:uiPriority w:val="99"/>
    <w:qFormat/>
    <w:rPr>
      <w:rFonts w:ascii="宋体" w:eastAsia="汉仪书宋二简" w:hAnsi="宋体" w:cs="宋体"/>
      <w:color w:val="000000" w:themeColor="text1"/>
      <w:sz w:val="18"/>
      <w:szCs w:val="18"/>
    </w:rPr>
  </w:style>
  <w:style w:type="character" w:customStyle="1" w:styleId="af0">
    <w:name w:val="页眉 字符"/>
    <w:basedOn w:val="a0"/>
    <w:link w:val="af"/>
    <w:uiPriority w:val="99"/>
    <w:qFormat/>
    <w:rPr>
      <w:rFonts w:ascii="宋体" w:eastAsia="汉仪书宋二简" w:hAnsi="宋体" w:cs="宋体"/>
      <w:color w:val="000000" w:themeColor="text1"/>
      <w:sz w:val="18"/>
      <w:szCs w:val="18"/>
    </w:rPr>
  </w:style>
  <w:style w:type="character" w:customStyle="1" w:styleId="af2">
    <w:name w:val="脚注文本 字符"/>
    <w:basedOn w:val="a0"/>
    <w:link w:val="af1"/>
    <w:semiHidden/>
    <w:qFormat/>
    <w:rPr>
      <w:rFonts w:ascii="宋体" w:eastAsia="汉仪书宋二简" w:hAnsi="宋体" w:cs="宋体"/>
      <w:color w:val="000000" w:themeColor="text1"/>
      <w:sz w:val="18"/>
      <w:szCs w:val="18"/>
    </w:rPr>
  </w:style>
  <w:style w:type="character" w:customStyle="1" w:styleId="HTML0">
    <w:name w:val="HTML 预设格式 字符"/>
    <w:basedOn w:val="a0"/>
    <w:link w:val="HTML"/>
    <w:uiPriority w:val="99"/>
    <w:semiHidden/>
    <w:qFormat/>
    <w:rPr>
      <w:rFonts w:ascii="Courier New" w:hAnsi="Courier New" w:cs="Courier New"/>
      <w:kern w:val="0"/>
      <w:sz w:val="20"/>
      <w:szCs w:val="20"/>
    </w:rPr>
  </w:style>
  <w:style w:type="character" w:customStyle="1" w:styleId="af5">
    <w:name w:val="标题 字符"/>
    <w:basedOn w:val="a0"/>
    <w:link w:val="af4"/>
    <w:uiPriority w:val="10"/>
    <w:qFormat/>
    <w:rPr>
      <w:rFonts w:asciiTheme="majorHAnsi" w:eastAsiaTheme="majorEastAsia" w:hAnsiTheme="majorHAnsi" w:cstheme="majorBidi"/>
      <w:b/>
      <w:bCs/>
      <w:color w:val="000000" w:themeColor="text1"/>
      <w:sz w:val="32"/>
      <w:szCs w:val="32"/>
    </w:rPr>
  </w:style>
  <w:style w:type="character" w:customStyle="1" w:styleId="af7">
    <w:name w:val="批注主题 字符"/>
    <w:basedOn w:val="a6"/>
    <w:link w:val="af6"/>
    <w:uiPriority w:val="99"/>
    <w:semiHidden/>
    <w:qFormat/>
    <w:rPr>
      <w:rFonts w:ascii="宋体" w:eastAsia="汉仪书宋二简" w:hAnsi="宋体" w:cs="宋体"/>
      <w:b/>
      <w:bCs/>
      <w:color w:val="000000" w:themeColor="text1"/>
      <w:szCs w:val="21"/>
    </w:rPr>
  </w:style>
  <w:style w:type="paragraph" w:styleId="aff0">
    <w:name w:val="List Paragraph"/>
    <w:basedOn w:val="a"/>
    <w:uiPriority w:val="34"/>
    <w:qFormat/>
    <w:pPr>
      <w:ind w:firstLine="420"/>
    </w:pPr>
  </w:style>
  <w:style w:type="table" w:customStyle="1" w:styleId="11">
    <w:name w:val="网格型1"/>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1">
    <w:name w:val="表格标题"/>
    <w:basedOn w:val="a"/>
    <w:qFormat/>
    <w:pPr>
      <w:spacing w:beforeLines="10" w:before="10" w:afterLines="20" w:after="20" w:line="280" w:lineRule="exact"/>
      <w:jc w:val="center"/>
    </w:pPr>
    <w:rPr>
      <w:rFonts w:eastAsia="汉仪中黑简" w:hint="eastAsia"/>
      <w:color w:val="FF0000"/>
      <w:sz w:val="20"/>
    </w:rPr>
  </w:style>
  <w:style w:type="paragraph" w:customStyle="1" w:styleId="12">
    <w:name w:val="表格标题1"/>
    <w:basedOn w:val="a"/>
    <w:qFormat/>
    <w:pPr>
      <w:spacing w:beforeLines="10" w:before="10" w:afterLines="20" w:after="20" w:line="280" w:lineRule="exact"/>
      <w:ind w:firstLineChars="0" w:firstLine="0"/>
      <w:jc w:val="center"/>
    </w:pPr>
    <w:rPr>
      <w:rFonts w:eastAsia="汉仪中黑简"/>
      <w:color w:val="FF0000"/>
      <w:sz w:val="20"/>
    </w:rPr>
  </w:style>
  <w:style w:type="paragraph" w:customStyle="1" w:styleId="13">
    <w:name w:val="表格正文1"/>
    <w:basedOn w:val="a"/>
    <w:qFormat/>
    <w:pPr>
      <w:spacing w:beforeLines="10" w:before="10" w:afterLines="20" w:after="20" w:line="280" w:lineRule="exact"/>
      <w:ind w:firstLineChars="0" w:firstLine="0"/>
      <w:jc w:val="left"/>
    </w:pPr>
    <w:rPr>
      <w:rFonts w:ascii="汉仪书宋一简" w:eastAsia="汉仪书宋一简" w:hAnsi="汉仪书宋一简"/>
      <w:color w:val="auto"/>
      <w:sz w:val="20"/>
      <w:szCs w:val="20"/>
    </w:rPr>
  </w:style>
  <w:style w:type="paragraph" w:customStyle="1" w:styleId="aff2">
    <w:name w:val="补四级标题"/>
    <w:basedOn w:val="a"/>
    <w:qFormat/>
    <w:pPr>
      <w:ind w:firstLineChars="202" w:firstLine="202"/>
    </w:pPr>
    <w:rPr>
      <w:rFonts w:ascii="汉仪中黑简" w:eastAsia="汉仪中黑简" w:hAnsi="汉仪中黑简" w:cs="汉仪中黑简"/>
      <w:bCs/>
      <w:color w:val="auto"/>
      <w:kern w:val="44"/>
      <w:szCs w:val="24"/>
    </w:rPr>
  </w:style>
  <w:style w:type="paragraph" w:customStyle="1" w:styleId="aff3">
    <w:name w:val="导图文字"/>
    <w:qFormat/>
    <w:pPr>
      <w:spacing w:line="384" w:lineRule="exact"/>
    </w:pPr>
    <w:rPr>
      <w:rFonts w:ascii="汉仪书宋二简" w:eastAsia="汉仪书宋二简" w:hAnsi="汉仪书宋二简" w:cs="汉仪书宋二简" w:hint="eastAsia"/>
      <w:b/>
      <w:color w:val="000000"/>
      <w:szCs w:val="21"/>
    </w:rPr>
  </w:style>
  <w:style w:type="paragraph" w:customStyle="1" w:styleId="21">
    <w:name w:val="导图正文2"/>
    <w:qFormat/>
    <w:pPr>
      <w:spacing w:line="384" w:lineRule="exact"/>
    </w:pPr>
    <w:rPr>
      <w:rFonts w:ascii="汉仪书宋二简" w:eastAsia="汉仪书宋二简" w:hAnsi="汉仪书宋二简" w:cs="汉仪书宋二简" w:hint="eastAsia"/>
      <w:color w:val="000000"/>
      <w:szCs w:val="21"/>
    </w:rPr>
  </w:style>
  <w:style w:type="paragraph" w:customStyle="1" w:styleId="14">
    <w:name w:val="修订1"/>
    <w:hidden/>
    <w:uiPriority w:val="99"/>
    <w:semiHidden/>
    <w:qFormat/>
    <w:rPr>
      <w:rFonts w:ascii="宋体" w:eastAsia="汉仪书宋二简" w:hAnsi="宋体" w:cs="宋体"/>
      <w:color w:val="000000" w:themeColor="text1"/>
      <w:kern w:val="2"/>
      <w:sz w:val="21"/>
      <w:szCs w:val="21"/>
    </w:rPr>
  </w:style>
  <w:style w:type="character" w:customStyle="1" w:styleId="apple-converted-space">
    <w:name w:val="apple-converted-space"/>
    <w:basedOn w:val="a0"/>
    <w:qFormat/>
  </w:style>
  <w:style w:type="table" w:customStyle="1" w:styleId="110">
    <w:name w:val="网格型11"/>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5">
    <w:name w:val="目录标题1"/>
    <w:basedOn w:val="1"/>
    <w:next w:val="a"/>
    <w:uiPriority w:val="39"/>
    <w:unhideWhenUsed/>
    <w:qFormat/>
    <w:pPr>
      <w:widowControl/>
      <w:tabs>
        <w:tab w:val="clear" w:pos="420"/>
      </w:tabs>
      <w:spacing w:before="480" w:line="276" w:lineRule="auto"/>
      <w:jc w:val="left"/>
      <w:outlineLvl w:val="9"/>
    </w:pPr>
    <w:rPr>
      <w:rFonts w:asciiTheme="majorHAnsi" w:eastAsiaTheme="majorEastAsia" w:hAnsiTheme="majorHAnsi" w:cstheme="majorBidi"/>
      <w:b/>
      <w:color w:val="2F5496" w:themeColor="accent1" w:themeShade="BF"/>
      <w:kern w:val="0"/>
      <w:sz w:val="28"/>
      <w:szCs w:val="28"/>
    </w:rPr>
  </w:style>
  <w:style w:type="table" w:customStyle="1" w:styleId="120">
    <w:name w:val="网格型12"/>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网格型13"/>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网格型14"/>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网格型2"/>
    <w:basedOn w:val="a1"/>
    <w:uiPriority w:val="59"/>
    <w:qFormat/>
    <w:pPr>
      <w:widowControl w:val="0"/>
      <w:jc w:val="both"/>
    </w:pPr>
    <w:rPr>
      <w:rFonts w:eastAsia="宋体"/>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网格型3"/>
    <w:basedOn w:val="a1"/>
    <w:uiPriority w:val="59"/>
    <w:qFormat/>
    <w:pPr>
      <w:widowControl w:val="0"/>
      <w:jc w:val="both"/>
    </w:pPr>
    <w:rPr>
      <w:rFonts w:eastAsia="宋体"/>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网格型4"/>
    <w:basedOn w:val="a1"/>
    <w:uiPriority w:val="59"/>
    <w:qFormat/>
    <w:pPr>
      <w:widowControl w:val="0"/>
      <w:jc w:val="both"/>
    </w:pPr>
    <w:rPr>
      <w:rFonts w:eastAsia="宋体"/>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
    <w:name w:val="网格型5"/>
    <w:basedOn w:val="a1"/>
    <w:uiPriority w:val="39"/>
    <w:qFormat/>
    <w:pPr>
      <w:widowControl w:val="0"/>
      <w:jc w:val="both"/>
    </w:pPr>
    <w:rPr>
      <w:rFonts w:eastAsia="宋体"/>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
    <w:name w:val="网格型6"/>
    <w:basedOn w:val="a1"/>
    <w:uiPriority w:val="39"/>
    <w:qFormat/>
    <w:pPr>
      <w:widowControl w:val="0"/>
      <w:jc w:val="both"/>
    </w:pPr>
    <w:rPr>
      <w:rFonts w:eastAsia="宋体"/>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465</TotalTime>
  <Pages>6</Pages>
  <Words>4468</Words>
  <Characters>4514</Characters>
  <Application>Microsoft Office Word</Application>
  <DocSecurity>0</DocSecurity>
  <Lines>161</Lines>
  <Paragraphs>166</Paragraphs>
  <ScaleCrop>false</ScaleCrop>
  <Company/>
  <LinksUpToDate>false</LinksUpToDate>
  <CharactersWithSpaces>8816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文琦</dc:creator>
  <cp:lastModifiedBy>文琦 刘</cp:lastModifiedBy>
  <cp:revision>160</cp:revision>
  <dcterms:created xsi:type="dcterms:W3CDTF">2023-04-28T20:50:00Z</dcterms:created>
  <dcterms:modified xsi:type="dcterms:W3CDTF">2026-04-15T15:01:00Z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2052-6.5.0.8619</vt:lpwstr>
  </property>
  <property fmtid="{D5CDD505-2E9C-101B-9397-08002B2CF9AE}" pid="3" name="ICV">
    <vt:lpwstr>BE02CE63CA27B4F97A3AFB6762D4C5FD_42</vt:lpwstr>
  </property>
</Properties>
</file>