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817628" w14:textId="60F36F76" w:rsidR="0070580C" w:rsidRDefault="00000000">
      <w:pPr>
        <w:pStyle w:val="1"/>
        <w:spacing w:before="0" w:line="240" w:lineRule="auto"/>
        <w:rPr>
          <w:rFonts w:ascii="宋体" w:eastAsia="宋体" w:hAnsi="宋体" w:hint="eastAsia"/>
          <w:b/>
          <w:bCs w:val="0"/>
          <w:color w:val="auto"/>
          <w:sz w:val="22"/>
          <w:szCs w:val="22"/>
        </w:rPr>
      </w:pPr>
      <w:bookmarkStart w:id="0" w:name="_Toc30699"/>
      <w:bookmarkStart w:id="1" w:name="_Toc156556129"/>
      <w:bookmarkStart w:id="2" w:name="_Toc126331771"/>
      <w:r>
        <w:rPr>
          <w:rFonts w:ascii="宋体" w:eastAsia="宋体" w:hAnsi="宋体" w:hint="eastAsia"/>
          <w:b/>
          <w:bCs w:val="0"/>
          <w:color w:val="auto"/>
          <w:sz w:val="22"/>
          <w:szCs w:val="22"/>
        </w:rPr>
        <w:t>考点</w:t>
      </w:r>
      <w:r w:rsidR="00543268">
        <w:rPr>
          <w:rFonts w:ascii="宋体" w:eastAsia="宋体" w:hAnsi="宋体" w:hint="eastAsia"/>
          <w:b/>
          <w:bCs w:val="0"/>
          <w:color w:val="auto"/>
          <w:sz w:val="22"/>
          <w:szCs w:val="22"/>
        </w:rPr>
        <w:t>7</w:t>
      </w:r>
      <w:r>
        <w:rPr>
          <w:rFonts w:ascii="宋体" w:eastAsia="宋体" w:hAnsi="宋体"/>
          <w:b/>
          <w:bCs w:val="0"/>
          <w:color w:val="auto"/>
          <w:sz w:val="22"/>
          <w:szCs w:val="22"/>
        </w:rPr>
        <w:t xml:space="preserve"> </w:t>
      </w:r>
      <w:r>
        <w:rPr>
          <w:rFonts w:ascii="宋体" w:eastAsia="宋体" w:hAnsi="宋体" w:hint="eastAsia"/>
          <w:b/>
          <w:bCs w:val="0"/>
          <w:color w:val="auto"/>
          <w:sz w:val="22"/>
          <w:szCs w:val="22"/>
        </w:rPr>
        <w:t xml:space="preserve"> 法律援助</w:t>
      </w:r>
      <w:bookmarkEnd w:id="0"/>
      <w:bookmarkEnd w:id="1"/>
      <w:r w:rsidR="00543268">
        <w:rPr>
          <w:rFonts w:ascii="宋体" w:eastAsia="宋体" w:hAnsi="宋体" w:hint="eastAsia"/>
          <w:b/>
          <w:bCs w:val="0"/>
          <w:color w:val="auto"/>
          <w:sz w:val="22"/>
          <w:szCs w:val="22"/>
        </w:rPr>
        <w:t>与值班律师</w:t>
      </w:r>
      <w:r>
        <w:rPr>
          <w:rFonts w:ascii="宋体" w:eastAsia="宋体" w:hAnsi="宋体" w:hint="eastAsia"/>
          <w:b/>
          <w:bCs w:val="0"/>
          <w:color w:val="auto"/>
          <w:sz w:val="22"/>
          <w:szCs w:val="22"/>
        </w:rPr>
        <w:t>（</w:t>
      </w:r>
      <w:r w:rsidR="007D2083">
        <w:rPr>
          <w:rFonts w:ascii="宋体" w:eastAsia="宋体" w:hAnsi="宋体" w:hint="eastAsia"/>
          <w:b/>
          <w:bCs w:val="0"/>
          <w:color w:val="auto"/>
          <w:sz w:val="22"/>
          <w:szCs w:val="22"/>
        </w:rPr>
        <w:t>14</w:t>
      </w:r>
      <w:r>
        <w:rPr>
          <w:rFonts w:ascii="宋体" w:eastAsia="宋体" w:hAnsi="宋体"/>
          <w:b/>
          <w:bCs w:val="0"/>
          <w:color w:val="auto"/>
          <w:sz w:val="22"/>
          <w:szCs w:val="22"/>
        </w:rPr>
        <w:t>:</w:t>
      </w:r>
      <w:r w:rsidR="007D2083">
        <w:rPr>
          <w:rFonts w:ascii="宋体" w:eastAsia="宋体" w:hAnsi="宋体" w:hint="eastAsia"/>
          <w:b/>
          <w:bCs w:val="0"/>
          <w:color w:val="auto"/>
          <w:sz w:val="22"/>
          <w:szCs w:val="22"/>
        </w:rPr>
        <w:t>30</w:t>
      </w:r>
      <w:r>
        <w:rPr>
          <w:rFonts w:ascii="宋体" w:eastAsia="宋体" w:hAnsi="宋体"/>
          <w:b/>
          <w:bCs w:val="0"/>
          <w:color w:val="auto"/>
          <w:sz w:val="22"/>
          <w:szCs w:val="22"/>
        </w:rPr>
        <w:t>:00-</w:t>
      </w:r>
      <w:r w:rsidR="00D554C0">
        <w:rPr>
          <w:rFonts w:ascii="宋体" w:eastAsia="宋体" w:hAnsi="宋体" w:hint="eastAsia"/>
          <w:b/>
          <w:bCs w:val="0"/>
          <w:color w:val="auto"/>
          <w:sz w:val="22"/>
          <w:szCs w:val="22"/>
        </w:rPr>
        <w:t>15</w:t>
      </w:r>
      <w:r>
        <w:rPr>
          <w:rFonts w:ascii="宋体" w:eastAsia="宋体" w:hAnsi="宋体"/>
          <w:b/>
          <w:bCs w:val="0"/>
          <w:color w:val="auto"/>
          <w:sz w:val="22"/>
          <w:szCs w:val="22"/>
        </w:rPr>
        <w:t>:</w:t>
      </w:r>
      <w:r w:rsidR="00D554C0">
        <w:rPr>
          <w:rFonts w:ascii="宋体" w:eastAsia="宋体" w:hAnsi="宋体" w:hint="eastAsia"/>
          <w:b/>
          <w:bCs w:val="0"/>
          <w:color w:val="auto"/>
          <w:sz w:val="22"/>
          <w:szCs w:val="22"/>
        </w:rPr>
        <w:t>19</w:t>
      </w:r>
      <w:r>
        <w:rPr>
          <w:rFonts w:ascii="宋体" w:eastAsia="宋体" w:hAnsi="宋体"/>
          <w:b/>
          <w:bCs w:val="0"/>
          <w:color w:val="auto"/>
          <w:sz w:val="22"/>
          <w:szCs w:val="22"/>
        </w:rPr>
        <w:t>:00）</w:t>
      </w:r>
    </w:p>
    <w:p w14:paraId="519FFAC7" w14:textId="107217E8" w:rsidR="00543268" w:rsidRDefault="00AC4F52">
      <w:pPr>
        <w:pStyle w:val="3"/>
        <w:spacing w:line="240" w:lineRule="auto"/>
        <w:ind w:firstLineChars="200" w:firstLine="420"/>
        <w:rPr>
          <w:rFonts w:eastAsia="宋体" w:hint="eastAsia"/>
          <w:sz w:val="21"/>
        </w:rPr>
      </w:pPr>
      <w:r>
        <w:rPr>
          <w:rFonts w:eastAsia="宋体" w:hint="eastAsia"/>
          <w:sz w:val="21"/>
        </w:rPr>
        <w:t>一、</w:t>
      </w:r>
      <w:r w:rsidR="00543268">
        <w:rPr>
          <w:rFonts w:eastAsia="宋体" w:hint="eastAsia"/>
          <w:sz w:val="21"/>
        </w:rPr>
        <w:t>法律援助辩护</w:t>
      </w:r>
    </w:p>
    <w:p w14:paraId="329ED83D" w14:textId="287786F4" w:rsidR="0070580C" w:rsidRDefault="00AC4F52">
      <w:pPr>
        <w:pStyle w:val="3"/>
        <w:spacing w:line="240" w:lineRule="auto"/>
        <w:ind w:firstLineChars="200" w:firstLine="420"/>
        <w:rPr>
          <w:rFonts w:eastAsia="宋体" w:hint="eastAsia"/>
          <w:sz w:val="21"/>
        </w:rPr>
      </w:pPr>
      <w:r>
        <w:rPr>
          <w:rFonts w:eastAsia="宋体" w:hint="eastAsia"/>
          <w:sz w:val="21"/>
        </w:rPr>
        <w:t>（一）法律援助辩护的情形</w:t>
      </w:r>
    </w:p>
    <w:p w14:paraId="6149D70B" w14:textId="1633D6F6" w:rsidR="0070580C" w:rsidRDefault="00000000">
      <w:pPr>
        <w:spacing w:line="240" w:lineRule="auto"/>
        <w:ind w:firstLine="420"/>
        <w:rPr>
          <w:rFonts w:eastAsia="宋体" w:hint="eastAsia"/>
          <w:color w:val="FF0000"/>
        </w:rPr>
      </w:pPr>
      <w:r>
        <w:rPr>
          <w:rFonts w:eastAsia="宋体" w:hint="eastAsia"/>
          <w:color w:val="FF0000"/>
        </w:rPr>
        <w:t>应当通知</w:t>
      </w:r>
    </w:p>
    <w:p w14:paraId="68CB9F1B" w14:textId="77777777" w:rsidR="0070580C" w:rsidRDefault="00000000">
      <w:pPr>
        <w:spacing w:line="240" w:lineRule="auto"/>
        <w:ind w:firstLine="420"/>
        <w:rPr>
          <w:rFonts w:eastAsia="宋体" w:hint="eastAsia"/>
        </w:rPr>
      </w:pPr>
      <w:r>
        <w:rPr>
          <w:rFonts w:eastAsia="宋体" w:hint="eastAsia"/>
        </w:rPr>
        <w:t>刑事案件的犯罪嫌疑人、被告人属于下列人员之一，没有委托辩护人的，</w:t>
      </w:r>
      <w:r>
        <w:rPr>
          <w:rFonts w:eastAsia="宋体" w:hint="eastAsia"/>
          <w:color w:val="FF0000"/>
        </w:rPr>
        <w:t>人民法院、人民检察院、公安机关</w:t>
      </w:r>
      <w:r>
        <w:rPr>
          <w:rFonts w:eastAsia="宋体" w:hint="eastAsia"/>
        </w:rPr>
        <w:t>应当通知法律援助机构指派律师担任辩护人：未成年人；视力、听力、言语残疾人；不能完全辨认自己行为的成年人；可能被判处无期徒刑、死刑的人；申请法律援助的死刑复核案件被告人；缺席审判案件的被告人；法律法规规定的其他人员。</w:t>
      </w:r>
    </w:p>
    <w:p w14:paraId="66A3AE0A" w14:textId="77777777" w:rsidR="0070580C" w:rsidRDefault="00000000">
      <w:pPr>
        <w:spacing w:line="240" w:lineRule="auto"/>
        <w:ind w:firstLine="420"/>
        <w:rPr>
          <w:rFonts w:eastAsia="宋体" w:hint="eastAsia"/>
        </w:rPr>
      </w:pPr>
      <w:r>
        <w:rPr>
          <w:rFonts w:eastAsia="宋体" w:hint="eastAsia"/>
        </w:rPr>
        <w:t>对可能被判处</w:t>
      </w:r>
      <w:r>
        <w:rPr>
          <w:rFonts w:eastAsia="宋体" w:hint="eastAsia"/>
          <w:color w:val="FF0000"/>
        </w:rPr>
        <w:t>无期徒刑、死刑</w:t>
      </w:r>
      <w:r>
        <w:rPr>
          <w:rFonts w:eastAsia="宋体" w:hint="eastAsia"/>
        </w:rPr>
        <w:t>的人，以及</w:t>
      </w:r>
      <w:r>
        <w:rPr>
          <w:rFonts w:eastAsia="宋体" w:hint="eastAsia"/>
          <w:color w:val="FF0000"/>
        </w:rPr>
        <w:t>死刑复核案件</w:t>
      </w:r>
      <w:r>
        <w:rPr>
          <w:rFonts w:eastAsia="宋体" w:hint="eastAsia"/>
        </w:rPr>
        <w:t>的被告人，法律援助机构收到人民法院、人民检察院、公安机关通知后，应当指派</w:t>
      </w:r>
      <w:r>
        <w:rPr>
          <w:rFonts w:eastAsia="宋体" w:hint="eastAsia"/>
          <w:color w:val="FF0000"/>
        </w:rPr>
        <w:t>具有三年以上相关执业经历</w:t>
      </w:r>
      <w:r>
        <w:rPr>
          <w:rFonts w:eastAsia="宋体" w:hint="eastAsia"/>
        </w:rPr>
        <w:t>的律师担任辩护人。</w:t>
      </w:r>
    </w:p>
    <w:p w14:paraId="3058B0AB" w14:textId="77777777" w:rsidR="0070580C" w:rsidRDefault="00000000">
      <w:pPr>
        <w:spacing w:line="240" w:lineRule="auto"/>
        <w:ind w:firstLine="420"/>
        <w:rPr>
          <w:rFonts w:eastAsia="宋体" w:hint="eastAsia"/>
        </w:rPr>
      </w:pPr>
      <w:r>
        <w:rPr>
          <w:rFonts w:eastAsia="宋体" w:hint="eastAsia"/>
        </w:rPr>
        <w:t>强制医疗案件的被申请人或者被告人没有委托诉讼代理人的，</w:t>
      </w:r>
      <w:r>
        <w:rPr>
          <w:rFonts w:eastAsia="宋体" w:hint="eastAsia"/>
          <w:color w:val="FF0000"/>
        </w:rPr>
        <w:t>人民法院</w:t>
      </w:r>
      <w:r>
        <w:rPr>
          <w:rFonts w:eastAsia="宋体" w:hint="eastAsia"/>
        </w:rPr>
        <w:t>应当通知法律援助机构指派律师为其提供法律援助。</w:t>
      </w:r>
    </w:p>
    <w:p w14:paraId="15FC50DA" w14:textId="77777777" w:rsidR="00AC4F52" w:rsidRPr="00AC4F52" w:rsidRDefault="00AC4F52" w:rsidP="00AC4F52">
      <w:pPr>
        <w:spacing w:line="240" w:lineRule="auto"/>
        <w:ind w:firstLine="420"/>
        <w:rPr>
          <w:rFonts w:eastAsia="宋体" w:hint="eastAsia"/>
          <w:color w:val="EE0000"/>
        </w:rPr>
      </w:pPr>
      <w:r w:rsidRPr="00AC4F52">
        <w:rPr>
          <w:rFonts w:eastAsia="宋体" w:hint="eastAsia"/>
          <w:color w:val="EE0000"/>
        </w:rPr>
        <w:t>（二）法律援助辩护与委托辩护的关系</w:t>
      </w:r>
    </w:p>
    <w:p w14:paraId="0BB6714C" w14:textId="77777777" w:rsidR="00AC4F52" w:rsidRPr="00AC4F52" w:rsidRDefault="00AC4F52" w:rsidP="00AC4F52">
      <w:pPr>
        <w:spacing w:line="240" w:lineRule="auto"/>
        <w:ind w:firstLine="420"/>
        <w:rPr>
          <w:rFonts w:eastAsia="宋体" w:hint="eastAsia"/>
        </w:rPr>
      </w:pPr>
      <w:r w:rsidRPr="00AC4F52">
        <w:rPr>
          <w:rFonts w:eastAsia="宋体" w:hint="eastAsia"/>
        </w:rPr>
        <w:t>1．委托辩护优先：法院、检察院、公安机关通知法律援助机构指派律师担任辩护人时，不得限制或者损害犯罪嫌疑人、被告人委托辩护人的权利。</w:t>
      </w:r>
    </w:p>
    <w:p w14:paraId="712529A1" w14:textId="77777777" w:rsidR="00AC4F52" w:rsidRPr="0059522B" w:rsidRDefault="00AC4F52" w:rsidP="00AC4F52">
      <w:pPr>
        <w:spacing w:line="240" w:lineRule="auto"/>
        <w:ind w:firstLine="420"/>
        <w:rPr>
          <w:rFonts w:eastAsia="宋体" w:hint="eastAsia"/>
          <w:color w:val="EE0000"/>
        </w:rPr>
      </w:pPr>
      <w:r w:rsidRPr="00AC4F52">
        <w:rPr>
          <w:rFonts w:eastAsia="宋体" w:hint="eastAsia"/>
        </w:rPr>
        <w:t>2．当事人自主选择：对法律援助机构指派律师为被告人提供辩护，被告人的监护人、近亲属又代为委托辩护人的，</w:t>
      </w:r>
      <w:r w:rsidRPr="0059522B">
        <w:rPr>
          <w:rFonts w:eastAsia="宋体" w:hint="eastAsia"/>
          <w:color w:val="EE0000"/>
        </w:rPr>
        <w:t>应当听取被告人的意见，由其确定辩护人人选。</w:t>
      </w:r>
    </w:p>
    <w:p w14:paraId="5F6C8A69" w14:textId="39BAE818" w:rsidR="00AC4F52" w:rsidRDefault="00AC4F52" w:rsidP="00AC4F52">
      <w:pPr>
        <w:spacing w:line="240" w:lineRule="auto"/>
        <w:ind w:firstLine="420"/>
        <w:rPr>
          <w:rFonts w:eastAsia="宋体" w:hint="eastAsia"/>
        </w:rPr>
      </w:pPr>
      <w:r w:rsidRPr="00AC4F52">
        <w:rPr>
          <w:rFonts w:eastAsia="宋体" w:hint="eastAsia"/>
        </w:rPr>
        <w:t>3．两者不能兼顾：接受法律援助辩护后，犯罪嫌疑人、被告人又委托有辩护人的，法律援助机构应当作出终止法律援助的决定。</w:t>
      </w:r>
    </w:p>
    <w:p w14:paraId="19C85ACB" w14:textId="4153CE08" w:rsidR="0070580C" w:rsidRDefault="0059522B">
      <w:pPr>
        <w:pStyle w:val="3"/>
        <w:spacing w:line="240" w:lineRule="auto"/>
        <w:ind w:firstLineChars="200" w:firstLine="420"/>
        <w:rPr>
          <w:rFonts w:eastAsia="宋体" w:hint="eastAsia"/>
          <w:sz w:val="21"/>
        </w:rPr>
      </w:pPr>
      <w:r>
        <w:rPr>
          <w:rFonts w:eastAsia="宋体" w:hint="eastAsia"/>
          <w:sz w:val="21"/>
        </w:rPr>
        <w:t>（三）法律援助的程序与实施</w:t>
      </w:r>
    </w:p>
    <w:p w14:paraId="364FCFF3" w14:textId="2C1E2B6E" w:rsidR="0070580C" w:rsidRDefault="0059522B">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申请法律援助</w:t>
      </w:r>
    </w:p>
    <w:p w14:paraId="2EE96B94" w14:textId="77777777" w:rsidR="0070580C" w:rsidRDefault="00000000">
      <w:pPr>
        <w:spacing w:line="240" w:lineRule="auto"/>
        <w:ind w:firstLine="420"/>
        <w:rPr>
          <w:rFonts w:eastAsia="宋体" w:hint="eastAsia"/>
          <w:color w:val="FF0000"/>
        </w:rPr>
      </w:pPr>
      <w:r>
        <w:rPr>
          <w:rFonts w:eastAsia="宋体" w:hint="eastAsia"/>
        </w:rPr>
        <w:t>申请法律援助，由申请人向</w:t>
      </w:r>
      <w:r>
        <w:rPr>
          <w:rFonts w:eastAsia="宋体" w:hint="eastAsia"/>
          <w:color w:val="FF0000"/>
        </w:rPr>
        <w:t>办案机关所在地的法律援助机构提出申请。</w:t>
      </w:r>
    </w:p>
    <w:p w14:paraId="4BD0DF7C" w14:textId="77777777" w:rsidR="0070580C" w:rsidRDefault="00000000">
      <w:pPr>
        <w:spacing w:line="240" w:lineRule="auto"/>
        <w:ind w:firstLine="420"/>
        <w:rPr>
          <w:rFonts w:eastAsia="宋体" w:hint="eastAsia"/>
          <w:color w:val="FF0000"/>
        </w:rPr>
      </w:pPr>
      <w:r>
        <w:rPr>
          <w:rFonts w:eastAsia="宋体" w:hint="eastAsia"/>
        </w:rPr>
        <w:t>被羁押的犯罪嫌疑人、被告人、服刑人员，以及强制隔离戒毒人员等提出法律援助申请的，办案机关、监管场所应当在二十四小时内将申请转交法律援助机构。犯罪嫌疑人、被告人通过值班律师提出代理、刑事辩护等法律援助申请的，值班律师应当在二十四小时内将申请转交法律援助机构。</w:t>
      </w:r>
      <w:r>
        <w:rPr>
          <w:rFonts w:eastAsia="宋体" w:hint="eastAsia"/>
          <w:color w:val="FF0000"/>
        </w:rPr>
        <w:t>被羁押的犯罪嫌疑人、被告人、服刑人员，以及强制隔离戒毒人员，可以由其法定代理人或者近亲属代为提出法律援助申请。</w:t>
      </w:r>
      <w:bookmarkEnd w:id="2"/>
    </w:p>
    <w:p w14:paraId="2C8A41F6" w14:textId="54DDBFC5" w:rsidR="00543268" w:rsidRDefault="0059522B" w:rsidP="00543268">
      <w:pPr>
        <w:pStyle w:val="1"/>
        <w:spacing w:before="0" w:line="240" w:lineRule="auto"/>
        <w:ind w:firstLineChars="200" w:firstLine="422"/>
        <w:jc w:val="both"/>
        <w:rPr>
          <w:rFonts w:ascii="宋体" w:eastAsia="宋体" w:hAnsi="宋体" w:hint="eastAsia"/>
          <w:b/>
          <w:bCs w:val="0"/>
          <w:color w:val="auto"/>
          <w:sz w:val="22"/>
          <w:szCs w:val="22"/>
        </w:rPr>
      </w:pPr>
      <w:r>
        <w:rPr>
          <w:rFonts w:ascii="宋体" w:eastAsia="宋体" w:hAnsi="宋体" w:hint="eastAsia"/>
          <w:b/>
          <w:bCs w:val="0"/>
          <w:color w:val="auto"/>
          <w:sz w:val="21"/>
          <w:szCs w:val="21"/>
        </w:rPr>
        <w:t>二、</w:t>
      </w:r>
      <w:r w:rsidR="00543268">
        <w:rPr>
          <w:rFonts w:ascii="宋体" w:eastAsia="宋体" w:hAnsi="宋体" w:hint="eastAsia"/>
          <w:b/>
          <w:bCs w:val="0"/>
          <w:color w:val="auto"/>
          <w:sz w:val="21"/>
          <w:szCs w:val="21"/>
        </w:rPr>
        <w:t>值班律师制度</w:t>
      </w:r>
    </w:p>
    <w:p w14:paraId="4F113BC7" w14:textId="5FB73F75" w:rsidR="00543268" w:rsidRDefault="0059522B" w:rsidP="00543268">
      <w:pPr>
        <w:pStyle w:val="3"/>
        <w:spacing w:line="240" w:lineRule="auto"/>
        <w:ind w:firstLineChars="200" w:firstLine="420"/>
        <w:jc w:val="both"/>
        <w:rPr>
          <w:rFonts w:eastAsia="宋体" w:hint="eastAsia"/>
          <w:sz w:val="21"/>
        </w:rPr>
      </w:pPr>
      <w:r>
        <w:rPr>
          <w:rFonts w:eastAsia="宋体" w:hint="eastAsia"/>
          <w:sz w:val="21"/>
        </w:rPr>
        <w:t>（一）</w:t>
      </w:r>
      <w:r w:rsidR="00543268">
        <w:rPr>
          <w:rFonts w:eastAsia="宋体" w:hint="eastAsia"/>
          <w:sz w:val="21"/>
        </w:rPr>
        <w:t>值班律师的职责</w:t>
      </w:r>
    </w:p>
    <w:p w14:paraId="632F3116" w14:textId="77777777" w:rsidR="00543268" w:rsidRDefault="00543268" w:rsidP="00543268">
      <w:pPr>
        <w:spacing w:line="240" w:lineRule="auto"/>
        <w:ind w:firstLine="420"/>
        <w:rPr>
          <w:rFonts w:eastAsia="宋体" w:hint="eastAsia"/>
        </w:rPr>
      </w:pPr>
      <w:r>
        <w:rPr>
          <w:rFonts w:eastAsia="宋体"/>
        </w:rPr>
        <w:t>犯罪嫌疑人、被告人没有委托辩护人，法律援助机构没有指派律师为其提供辩护的，</w:t>
      </w:r>
      <w:r>
        <w:rPr>
          <w:rFonts w:eastAsia="宋体"/>
          <w:color w:val="FF0000"/>
        </w:rPr>
        <w:t>由值班律师为犯罪嫌疑人、被告人提供法律咨询、程序选择建议、申请变更强制措施、对案件处理提出意见等法律帮助</w:t>
      </w:r>
      <w:r>
        <w:rPr>
          <w:rFonts w:eastAsia="宋体"/>
        </w:rPr>
        <w:t>。</w:t>
      </w:r>
      <w:r>
        <w:rPr>
          <w:rFonts w:eastAsia="宋体" w:hint="eastAsia"/>
        </w:rPr>
        <w:t>（值班律师不是辩护人）</w:t>
      </w:r>
    </w:p>
    <w:p w14:paraId="247AF322" w14:textId="41669E95" w:rsidR="00543268" w:rsidRDefault="0059522B" w:rsidP="00543268">
      <w:pPr>
        <w:pStyle w:val="3"/>
        <w:spacing w:line="240" w:lineRule="auto"/>
        <w:ind w:firstLineChars="200" w:firstLine="420"/>
        <w:jc w:val="both"/>
        <w:rPr>
          <w:rFonts w:eastAsia="宋体" w:hint="eastAsia"/>
          <w:color w:val="FF0000"/>
          <w:sz w:val="21"/>
        </w:rPr>
      </w:pPr>
      <w:bookmarkStart w:id="3" w:name="_Hlk535168466"/>
      <w:r>
        <w:rPr>
          <w:rFonts w:eastAsia="宋体" w:hint="eastAsia"/>
          <w:sz w:val="21"/>
        </w:rPr>
        <w:t>（二）</w:t>
      </w:r>
      <w:r w:rsidR="00543268">
        <w:rPr>
          <w:rFonts w:eastAsia="宋体"/>
          <w:sz w:val="21"/>
        </w:rPr>
        <w:t>听取值班律师的意见</w:t>
      </w:r>
      <w:r w:rsidR="00543268">
        <w:rPr>
          <w:rFonts w:eastAsia="宋体" w:hint="eastAsia"/>
          <w:color w:val="FF0000"/>
          <w:sz w:val="21"/>
        </w:rPr>
        <w:t>（补充：审查逮捕环节不是应当听取值班律师的意见）</w:t>
      </w:r>
    </w:p>
    <w:bookmarkEnd w:id="3"/>
    <w:p w14:paraId="1BCE2689" w14:textId="3890F329" w:rsidR="00543268" w:rsidRDefault="0059522B" w:rsidP="00543268">
      <w:pPr>
        <w:pStyle w:val="4"/>
        <w:spacing w:line="240" w:lineRule="auto"/>
        <w:ind w:firstLineChars="200" w:firstLine="420"/>
        <w:jc w:val="both"/>
        <w:rPr>
          <w:rFonts w:ascii="宋体" w:eastAsia="宋体" w:hAnsi="宋体" w:hint="eastAsia"/>
          <w:sz w:val="21"/>
          <w:szCs w:val="21"/>
        </w:rPr>
      </w:pPr>
      <w:r>
        <w:rPr>
          <w:rFonts w:ascii="宋体" w:eastAsia="宋体" w:hAnsi="宋体" w:hint="eastAsia"/>
          <w:sz w:val="21"/>
          <w:szCs w:val="21"/>
        </w:rPr>
        <w:t>1.</w:t>
      </w:r>
      <w:r w:rsidR="00543268">
        <w:rPr>
          <w:rFonts w:ascii="宋体" w:eastAsia="宋体" w:hAnsi="宋体" w:hint="eastAsia"/>
          <w:sz w:val="21"/>
          <w:szCs w:val="21"/>
        </w:rPr>
        <w:t>审查起诉</w:t>
      </w:r>
    </w:p>
    <w:p w14:paraId="4EA91EAD" w14:textId="77777777" w:rsidR="00543268" w:rsidRDefault="00543268" w:rsidP="00543268">
      <w:pPr>
        <w:spacing w:line="240" w:lineRule="auto"/>
        <w:ind w:firstLine="420"/>
        <w:rPr>
          <w:rFonts w:eastAsia="宋体" w:hint="eastAsia"/>
        </w:rPr>
      </w:pPr>
      <w:r>
        <w:rPr>
          <w:rFonts w:eastAsia="宋体"/>
        </w:rPr>
        <w:t>人民检察院审查</w:t>
      </w:r>
      <w:r>
        <w:rPr>
          <w:rFonts w:eastAsia="宋体" w:hint="eastAsia"/>
          <w:highlight w:val="yellow"/>
        </w:rPr>
        <w:t>起诉</w:t>
      </w:r>
      <w:r>
        <w:rPr>
          <w:rFonts w:eastAsia="宋体"/>
        </w:rPr>
        <w:t>案件，应当讯问犯罪嫌疑人，听取辩护人或者</w:t>
      </w:r>
      <w:r>
        <w:rPr>
          <w:rFonts w:eastAsia="宋体"/>
          <w:color w:val="FF0000"/>
        </w:rPr>
        <w:t>值班律师</w:t>
      </w:r>
      <w:r>
        <w:rPr>
          <w:rFonts w:eastAsia="宋体"/>
        </w:rPr>
        <w:t>、被害人及其诉讼代理人的意见，并记录在案。辩护人或者</w:t>
      </w:r>
      <w:r>
        <w:rPr>
          <w:rFonts w:eastAsia="宋体"/>
          <w:color w:val="FF0000"/>
        </w:rPr>
        <w:t>值班律师</w:t>
      </w:r>
      <w:r>
        <w:rPr>
          <w:rFonts w:eastAsia="宋体"/>
        </w:rPr>
        <w:t>、被害人及其诉讼代理人提出书面意见的，应当附卷。</w:t>
      </w:r>
    </w:p>
    <w:p w14:paraId="490AA292" w14:textId="1DCED73D" w:rsidR="00543268" w:rsidRDefault="0059522B" w:rsidP="00543268">
      <w:pPr>
        <w:pStyle w:val="4"/>
        <w:spacing w:line="240" w:lineRule="auto"/>
        <w:ind w:firstLineChars="200" w:firstLine="420"/>
        <w:jc w:val="both"/>
        <w:rPr>
          <w:rFonts w:ascii="宋体" w:eastAsia="宋体" w:hAnsi="宋体" w:hint="eastAsia"/>
          <w:sz w:val="21"/>
          <w:szCs w:val="21"/>
        </w:rPr>
      </w:pPr>
      <w:r>
        <w:rPr>
          <w:rFonts w:ascii="宋体" w:eastAsia="宋体" w:hAnsi="宋体" w:hint="eastAsia"/>
          <w:sz w:val="21"/>
          <w:szCs w:val="21"/>
        </w:rPr>
        <w:t>2.</w:t>
      </w:r>
      <w:r w:rsidR="00543268">
        <w:rPr>
          <w:rFonts w:ascii="宋体" w:eastAsia="宋体" w:hAnsi="宋体" w:hint="eastAsia"/>
          <w:sz w:val="21"/>
          <w:szCs w:val="21"/>
        </w:rPr>
        <w:t>认罪认罚程序中</w:t>
      </w:r>
    </w:p>
    <w:p w14:paraId="380B9F12" w14:textId="3ED04194" w:rsidR="00543268" w:rsidRDefault="00543268" w:rsidP="00543268">
      <w:pPr>
        <w:spacing w:line="240" w:lineRule="auto"/>
        <w:ind w:firstLine="420"/>
        <w:rPr>
          <w:rFonts w:eastAsia="宋体" w:hint="eastAsia"/>
        </w:rPr>
      </w:pPr>
      <w:r>
        <w:rPr>
          <w:rFonts w:eastAsia="宋体" w:hint="eastAsia"/>
        </w:rPr>
        <w:t>犯罪嫌疑人认罪认罚的，人民检察院应当告知其享有的诉讼权利和认罪认罚的法律规定，听取犯罪嫌疑人、辩护人或者值班律师、被害人及其诉讼代理人对下列事项的意见，并记录在案：</w:t>
      </w:r>
      <w:r w:rsidR="00283E30">
        <w:rPr>
          <w:rFonts w:eastAsia="宋体" w:hint="eastAsia"/>
        </w:rPr>
        <w:t>（1）</w:t>
      </w:r>
      <w:r>
        <w:rPr>
          <w:rFonts w:eastAsia="宋体" w:hint="eastAsia"/>
        </w:rPr>
        <w:t>涉嫌的犯罪事实、罪名及适用的法律规定；</w:t>
      </w:r>
      <w:r w:rsidR="00283E30">
        <w:rPr>
          <w:rFonts w:eastAsia="宋体" w:hint="eastAsia"/>
        </w:rPr>
        <w:t>（2）</w:t>
      </w:r>
      <w:r>
        <w:rPr>
          <w:rFonts w:eastAsia="宋体" w:hint="eastAsia"/>
        </w:rPr>
        <w:t>从轻、减轻或者免除处罚等从宽处罚的建议；</w:t>
      </w:r>
      <w:r w:rsidR="00283E30">
        <w:rPr>
          <w:rFonts w:eastAsia="宋体" w:hint="eastAsia"/>
        </w:rPr>
        <w:t>（3）</w:t>
      </w:r>
      <w:r>
        <w:rPr>
          <w:rFonts w:eastAsia="宋体" w:hint="eastAsia"/>
        </w:rPr>
        <w:t>认罪认罚后案件审理适用的程序；</w:t>
      </w:r>
      <w:r w:rsidR="00283E30">
        <w:rPr>
          <w:rFonts w:eastAsia="宋体" w:hint="eastAsia"/>
        </w:rPr>
        <w:t>（4）</w:t>
      </w:r>
      <w:r>
        <w:rPr>
          <w:rFonts w:eastAsia="宋体" w:hint="eastAsia"/>
        </w:rPr>
        <w:t>其他需要听取意见的事项。</w:t>
      </w:r>
      <w:r>
        <w:rPr>
          <w:rFonts w:eastAsia="宋体" w:hint="eastAsia"/>
          <w:color w:val="FF0000"/>
        </w:rPr>
        <w:t>人民检察院依照前两款规定听取值班律师意见的，应当提前为值班律师了解案件有关情况提供必要</w:t>
      </w:r>
      <w:r>
        <w:rPr>
          <w:rFonts w:eastAsia="宋体" w:hint="eastAsia"/>
          <w:color w:val="FF0000"/>
        </w:rPr>
        <w:lastRenderedPageBreak/>
        <w:t>的便利</w:t>
      </w:r>
      <w:r>
        <w:rPr>
          <w:rFonts w:eastAsia="宋体" w:hint="eastAsia"/>
        </w:rPr>
        <w:t>。</w:t>
      </w:r>
    </w:p>
    <w:p w14:paraId="30E23BD3" w14:textId="2F19EFEF" w:rsidR="00543268" w:rsidRDefault="000C38C6" w:rsidP="00543268">
      <w:pPr>
        <w:pStyle w:val="3"/>
        <w:spacing w:line="240" w:lineRule="auto"/>
        <w:ind w:firstLineChars="200" w:firstLine="420"/>
        <w:jc w:val="both"/>
        <w:rPr>
          <w:rFonts w:eastAsia="宋体" w:hint="eastAsia"/>
          <w:sz w:val="21"/>
        </w:rPr>
      </w:pPr>
      <w:bookmarkStart w:id="4" w:name="_Hlk535168502"/>
      <w:r>
        <w:rPr>
          <w:rFonts w:eastAsia="宋体" w:hint="eastAsia"/>
          <w:sz w:val="21"/>
        </w:rPr>
        <w:t>（三）</w:t>
      </w:r>
      <w:r w:rsidR="00543268">
        <w:rPr>
          <w:rFonts w:eastAsia="宋体" w:hint="eastAsia"/>
          <w:sz w:val="21"/>
        </w:rPr>
        <w:t>拒绝法律帮助的处理</w:t>
      </w:r>
    </w:p>
    <w:p w14:paraId="721DCFA9" w14:textId="77777777" w:rsidR="00543268" w:rsidRDefault="00543268" w:rsidP="00543268">
      <w:pPr>
        <w:spacing w:line="240" w:lineRule="auto"/>
        <w:ind w:firstLine="420"/>
        <w:rPr>
          <w:rFonts w:eastAsia="宋体" w:hint="eastAsia"/>
          <w:color w:val="FF0000"/>
        </w:rPr>
      </w:pPr>
      <w:r>
        <w:rPr>
          <w:rFonts w:eastAsia="宋体" w:hint="eastAsia"/>
          <w:color w:val="FF0000"/>
        </w:rPr>
        <w:t>根据《意见》第14条：犯罪嫌疑人、被告人自愿认罪认罚，没有委托辩护人，拒绝值班律师帮助的，人民法院、人民检察院、公安机关应当允许，记录在案并随案移送。但是审查起诉阶段签署认罪认罚具结书时，人民检察院应当通知值班律师到场。</w:t>
      </w:r>
    </w:p>
    <w:p w14:paraId="7CB48791" w14:textId="77777777" w:rsidR="00543268" w:rsidRDefault="00543268" w:rsidP="00543268">
      <w:pPr>
        <w:spacing w:line="240" w:lineRule="auto"/>
        <w:ind w:firstLine="420"/>
        <w:rPr>
          <w:rFonts w:eastAsia="宋体" w:hint="eastAsia"/>
        </w:rPr>
      </w:pPr>
      <w:r>
        <w:rPr>
          <w:rFonts w:eastAsia="宋体" w:hint="eastAsia"/>
        </w:rPr>
        <w:t>前一诉讼程序犯罪嫌疑人、被告人明确拒绝值班律师法律帮助的，后一诉讼程序的办案机关仍需告知其有权获得值班律师法律帮助的权利，有关情况应当记录在案。</w:t>
      </w:r>
    </w:p>
    <w:bookmarkEnd w:id="4"/>
    <w:p w14:paraId="34C1CB93" w14:textId="5023BD46" w:rsidR="00543268" w:rsidRPr="0083097C" w:rsidRDefault="000C38C6" w:rsidP="00543268">
      <w:pPr>
        <w:pStyle w:val="3"/>
        <w:spacing w:line="240" w:lineRule="auto"/>
        <w:ind w:firstLineChars="200" w:firstLine="420"/>
        <w:jc w:val="both"/>
        <w:rPr>
          <w:rFonts w:eastAsia="宋体" w:hint="eastAsia"/>
          <w:color w:val="EE0000"/>
          <w:sz w:val="21"/>
        </w:rPr>
      </w:pPr>
      <w:r>
        <w:rPr>
          <w:rFonts w:eastAsia="宋体" w:hint="eastAsia"/>
          <w:sz w:val="21"/>
        </w:rPr>
        <w:t>（四）</w:t>
      </w:r>
      <w:r w:rsidR="00543268">
        <w:rPr>
          <w:rFonts w:eastAsia="宋体"/>
          <w:sz w:val="21"/>
        </w:rPr>
        <w:t>值班律师</w:t>
      </w:r>
      <w:r w:rsidR="00543268">
        <w:rPr>
          <w:rFonts w:eastAsia="宋体" w:hint="eastAsia"/>
          <w:sz w:val="21"/>
        </w:rPr>
        <w:t>的在场（签署认罪认罚具结书）</w:t>
      </w:r>
      <w:r w:rsidR="0083097C" w:rsidRPr="0083097C">
        <w:rPr>
          <w:rFonts w:eastAsia="宋体" w:hint="eastAsia"/>
          <w:color w:val="EE0000"/>
          <w:sz w:val="21"/>
        </w:rPr>
        <w:t>确认自愿即签字 另有异议提意见 犯嫌拒绝可不签</w:t>
      </w:r>
    </w:p>
    <w:p w14:paraId="09AB90A9" w14:textId="77777777" w:rsidR="00543268" w:rsidRDefault="00543268" w:rsidP="00543268">
      <w:pPr>
        <w:spacing w:line="240" w:lineRule="auto"/>
        <w:ind w:firstLine="420"/>
        <w:rPr>
          <w:rFonts w:eastAsia="宋体" w:hint="eastAsia"/>
        </w:rPr>
      </w:pPr>
      <w:r>
        <w:rPr>
          <w:rFonts w:eastAsia="宋体"/>
        </w:rPr>
        <w:t>犯罪嫌疑人自愿认罪，同意量刑建议和程序适用的，</w:t>
      </w:r>
      <w:r>
        <w:rPr>
          <w:rFonts w:eastAsia="宋体"/>
          <w:color w:val="FF0000"/>
        </w:rPr>
        <w:t>应当在辩护人或者值班律师在场的情况下签署认罪认罚具结书</w:t>
      </w:r>
      <w:r>
        <w:rPr>
          <w:rFonts w:eastAsia="宋体"/>
        </w:rPr>
        <w:t>。</w:t>
      </w:r>
    </w:p>
    <w:p w14:paraId="15D95719" w14:textId="77777777" w:rsidR="00543268" w:rsidRDefault="00543268" w:rsidP="00543268">
      <w:pPr>
        <w:spacing w:line="240" w:lineRule="auto"/>
        <w:ind w:firstLine="420"/>
        <w:rPr>
          <w:rFonts w:eastAsia="宋体" w:hint="eastAsia"/>
        </w:rPr>
      </w:pPr>
      <w:r>
        <w:rPr>
          <w:rFonts w:eastAsia="宋体" w:hint="eastAsia"/>
        </w:rPr>
        <w:t>犯罪嫌疑人签署认罪认罚具结书时，值班律师对犯罪嫌疑人认罪认罚自愿性、人民检察院量刑建议、程序适用等均无异议的，应当在具结书上签名，同时留存一份复印件归档。</w:t>
      </w:r>
    </w:p>
    <w:p w14:paraId="4DEF1A4C" w14:textId="77777777" w:rsidR="00543268" w:rsidRDefault="00543268" w:rsidP="00543268">
      <w:pPr>
        <w:spacing w:line="240" w:lineRule="auto"/>
        <w:ind w:firstLine="420"/>
        <w:rPr>
          <w:rFonts w:eastAsia="宋体" w:hint="eastAsia"/>
        </w:rPr>
      </w:pPr>
      <w:r>
        <w:rPr>
          <w:rFonts w:eastAsia="宋体" w:hint="eastAsia"/>
        </w:rPr>
        <w:t>值班律师对人民检察院量刑建议、程序适用</w:t>
      </w:r>
      <w:r>
        <w:rPr>
          <w:rFonts w:eastAsia="宋体" w:hint="eastAsia"/>
          <w:color w:val="FF0000"/>
        </w:rPr>
        <w:t>有异议的</w:t>
      </w:r>
      <w:r>
        <w:rPr>
          <w:rFonts w:eastAsia="宋体" w:hint="eastAsia"/>
        </w:rPr>
        <w:t>，在确认犯罪嫌疑人系自愿认罪认罚后，</w:t>
      </w:r>
      <w:r>
        <w:rPr>
          <w:rFonts w:eastAsia="宋体" w:hint="eastAsia"/>
          <w:color w:val="FF0000"/>
        </w:rPr>
        <w:t>应当在具结书上签字，同时可以向人民检察院提出法律意见。</w:t>
      </w:r>
    </w:p>
    <w:p w14:paraId="68D0A2A2" w14:textId="77777777" w:rsidR="00543268" w:rsidRDefault="00543268" w:rsidP="00543268">
      <w:pPr>
        <w:spacing w:line="240" w:lineRule="auto"/>
        <w:ind w:firstLine="420"/>
        <w:rPr>
          <w:rFonts w:eastAsia="宋体" w:hint="eastAsia"/>
        </w:rPr>
      </w:pPr>
      <w:r>
        <w:rPr>
          <w:rFonts w:eastAsia="宋体" w:hint="eastAsia"/>
        </w:rPr>
        <w:t>犯罪嫌疑人拒绝值班律师帮助的，值班律师无需在具结书上签字。</w:t>
      </w:r>
    </w:p>
    <w:p w14:paraId="6EFF00BC" w14:textId="494C6EA0" w:rsidR="0088254C" w:rsidRDefault="0088254C" w:rsidP="0088254C">
      <w:pPr>
        <w:pStyle w:val="1"/>
        <w:spacing w:before="0" w:line="240" w:lineRule="auto"/>
        <w:rPr>
          <w:rFonts w:ascii="宋体" w:eastAsia="宋体" w:hAnsi="宋体" w:hint="eastAsia"/>
          <w:b/>
          <w:bCs w:val="0"/>
          <w:color w:val="auto"/>
          <w:sz w:val="22"/>
          <w:szCs w:val="22"/>
        </w:rPr>
      </w:pPr>
      <w:bookmarkStart w:id="5" w:name="_Toc64384680"/>
      <w:bookmarkStart w:id="6" w:name="_Toc4844107"/>
      <w:bookmarkStart w:id="7" w:name="_Toc126331773"/>
      <w:r>
        <w:rPr>
          <w:rFonts w:ascii="宋体" w:eastAsia="宋体" w:hAnsi="宋体" w:hint="eastAsia"/>
          <w:b/>
          <w:bCs w:val="0"/>
          <w:color w:val="auto"/>
          <w:sz w:val="22"/>
          <w:szCs w:val="22"/>
        </w:rPr>
        <w:t>考点8</w:t>
      </w:r>
      <w:r>
        <w:rPr>
          <w:rFonts w:ascii="宋体" w:eastAsia="宋体" w:hAnsi="宋体"/>
          <w:b/>
          <w:bCs w:val="0"/>
          <w:color w:val="auto"/>
          <w:sz w:val="22"/>
          <w:szCs w:val="22"/>
        </w:rPr>
        <w:t xml:space="preserve">  </w:t>
      </w:r>
      <w:r>
        <w:rPr>
          <w:rFonts w:ascii="宋体" w:eastAsia="宋体" w:hAnsi="宋体" w:hint="eastAsia"/>
          <w:b/>
          <w:bCs w:val="0"/>
          <w:color w:val="auto"/>
          <w:sz w:val="22"/>
          <w:szCs w:val="22"/>
        </w:rPr>
        <w:t>刑事证据的基本属性</w:t>
      </w:r>
      <w:bookmarkEnd w:id="5"/>
      <w:bookmarkEnd w:id="6"/>
      <w:bookmarkEnd w:id="7"/>
      <w:r>
        <w:rPr>
          <w:rFonts w:ascii="宋体" w:eastAsia="宋体" w:hAnsi="宋体" w:hint="eastAsia"/>
          <w:b/>
          <w:bCs w:val="0"/>
          <w:color w:val="auto"/>
          <w:sz w:val="22"/>
          <w:szCs w:val="22"/>
        </w:rPr>
        <w:t>（</w:t>
      </w:r>
      <w:r w:rsidR="00D900EE">
        <w:rPr>
          <w:rFonts w:ascii="宋体" w:eastAsia="宋体" w:hAnsi="宋体" w:hint="eastAsia"/>
          <w:b/>
          <w:bCs w:val="0"/>
          <w:color w:val="auto"/>
          <w:sz w:val="22"/>
          <w:szCs w:val="22"/>
        </w:rPr>
        <w:t>15</w:t>
      </w:r>
      <w:r w:rsidR="00D900EE">
        <w:rPr>
          <w:rFonts w:ascii="宋体" w:eastAsia="宋体" w:hAnsi="宋体"/>
          <w:b/>
          <w:bCs w:val="0"/>
          <w:color w:val="auto"/>
          <w:sz w:val="22"/>
          <w:szCs w:val="22"/>
        </w:rPr>
        <w:t>:</w:t>
      </w:r>
      <w:r w:rsidR="00D900EE">
        <w:rPr>
          <w:rFonts w:ascii="宋体" w:eastAsia="宋体" w:hAnsi="宋体" w:hint="eastAsia"/>
          <w:b/>
          <w:bCs w:val="0"/>
          <w:color w:val="auto"/>
          <w:sz w:val="22"/>
          <w:szCs w:val="22"/>
        </w:rPr>
        <w:t>19</w:t>
      </w:r>
      <w:r>
        <w:rPr>
          <w:rFonts w:ascii="宋体" w:eastAsia="宋体" w:hAnsi="宋体"/>
          <w:b/>
          <w:bCs w:val="0"/>
          <w:color w:val="auto"/>
          <w:sz w:val="22"/>
          <w:szCs w:val="22"/>
        </w:rPr>
        <w:t>:00-</w:t>
      </w:r>
      <w:r w:rsidR="00CF2B4A">
        <w:rPr>
          <w:rFonts w:ascii="宋体" w:eastAsia="宋体" w:hAnsi="宋体" w:hint="eastAsia"/>
          <w:b/>
          <w:bCs w:val="0"/>
          <w:color w:val="auto"/>
          <w:sz w:val="22"/>
          <w:szCs w:val="22"/>
        </w:rPr>
        <w:t>15</w:t>
      </w:r>
      <w:r>
        <w:rPr>
          <w:rFonts w:ascii="宋体" w:eastAsia="宋体" w:hAnsi="宋体"/>
          <w:b/>
          <w:bCs w:val="0"/>
          <w:color w:val="auto"/>
          <w:sz w:val="22"/>
          <w:szCs w:val="22"/>
        </w:rPr>
        <w:t>:</w:t>
      </w:r>
      <w:r w:rsidR="00CF2B4A">
        <w:rPr>
          <w:rFonts w:ascii="宋体" w:eastAsia="宋体" w:hAnsi="宋体" w:hint="eastAsia"/>
          <w:b/>
          <w:bCs w:val="0"/>
          <w:color w:val="auto"/>
          <w:sz w:val="22"/>
          <w:szCs w:val="22"/>
        </w:rPr>
        <w:t>4</w:t>
      </w:r>
      <w:r w:rsidR="00315DA9">
        <w:rPr>
          <w:rFonts w:ascii="宋体" w:eastAsia="宋体" w:hAnsi="宋体" w:hint="eastAsia"/>
          <w:b/>
          <w:bCs w:val="0"/>
          <w:color w:val="auto"/>
          <w:sz w:val="22"/>
          <w:szCs w:val="22"/>
        </w:rPr>
        <w:t>4</w:t>
      </w:r>
      <w:r>
        <w:rPr>
          <w:rFonts w:ascii="宋体" w:eastAsia="宋体" w:hAnsi="宋体"/>
          <w:b/>
          <w:bCs w:val="0"/>
          <w:color w:val="auto"/>
          <w:sz w:val="22"/>
          <w:szCs w:val="22"/>
        </w:rPr>
        <w:t>:00）</w:t>
      </w:r>
    </w:p>
    <w:p w14:paraId="47CC2634" w14:textId="77777777" w:rsidR="0088254C" w:rsidRDefault="0088254C" w:rsidP="0088254C">
      <w:pPr>
        <w:spacing w:line="240" w:lineRule="auto"/>
        <w:ind w:firstLine="420"/>
        <w:rPr>
          <w:rFonts w:eastAsia="宋体" w:hint="eastAsia"/>
          <w:color w:val="FF0000"/>
        </w:rPr>
      </w:pPr>
      <w:r>
        <w:rPr>
          <w:rFonts w:eastAsia="宋体" w:hint="eastAsia"/>
          <w:color w:val="FF0000"/>
        </w:rPr>
        <w:t>补充：客观性、关联性、合法性，这三性都具有则具有证据资格，若无证据资格则证明力也没有。</w:t>
      </w:r>
    </w:p>
    <w:p w14:paraId="7DE2871B" w14:textId="77777777" w:rsidR="0088254C" w:rsidRDefault="0088254C" w:rsidP="0088254C">
      <w:pPr>
        <w:pStyle w:val="4"/>
        <w:spacing w:line="240" w:lineRule="auto"/>
        <w:ind w:firstLineChars="200" w:firstLine="420"/>
        <w:jc w:val="both"/>
        <w:rPr>
          <w:rFonts w:ascii="宋体" w:eastAsia="宋体" w:hAnsi="宋体" w:hint="eastAsia"/>
          <w:color w:val="FF0000"/>
          <w:sz w:val="21"/>
          <w:szCs w:val="21"/>
        </w:rPr>
      </w:pPr>
      <w:r>
        <w:rPr>
          <w:rFonts w:ascii="宋体" w:eastAsia="宋体" w:hAnsi="宋体" w:hint="eastAsia"/>
          <w:color w:val="FF0000"/>
          <w:sz w:val="21"/>
          <w:szCs w:val="21"/>
        </w:rPr>
        <w:t>关联性与证明力的关系</w:t>
      </w:r>
    </w:p>
    <w:p w14:paraId="76661E6D" w14:textId="77777777" w:rsidR="0088254C" w:rsidRDefault="0088254C" w:rsidP="0088254C">
      <w:pPr>
        <w:spacing w:line="240" w:lineRule="auto"/>
        <w:ind w:firstLine="420"/>
        <w:rPr>
          <w:rFonts w:eastAsia="宋体" w:hint="eastAsia"/>
        </w:rPr>
      </w:pPr>
      <w:r>
        <w:rPr>
          <w:rFonts w:eastAsia="宋体" w:hint="eastAsia"/>
        </w:rPr>
        <w:t>证据与案件事实的联系越密切，其对案件事实的证明力就越大，也即证据与待证事实的关联度决定着证据的证明力的大小。</w:t>
      </w:r>
    </w:p>
    <w:p w14:paraId="46AA331C" w14:textId="532FC349" w:rsidR="0088254C" w:rsidRDefault="0088254C" w:rsidP="0088254C">
      <w:pPr>
        <w:pStyle w:val="1"/>
        <w:spacing w:before="0" w:line="240" w:lineRule="auto"/>
        <w:rPr>
          <w:rFonts w:ascii="宋体" w:eastAsia="宋体" w:hAnsi="宋体" w:hint="eastAsia"/>
          <w:b/>
          <w:bCs w:val="0"/>
          <w:color w:val="auto"/>
          <w:sz w:val="22"/>
          <w:szCs w:val="22"/>
        </w:rPr>
      </w:pPr>
      <w:bookmarkStart w:id="8" w:name="_Toc4844108"/>
      <w:bookmarkStart w:id="9" w:name="_Toc126331774"/>
      <w:bookmarkStart w:id="10" w:name="_Toc64384681"/>
      <w:bookmarkStart w:id="11" w:name="_Hlk165236072"/>
      <w:r>
        <w:rPr>
          <w:rFonts w:ascii="宋体" w:eastAsia="宋体" w:hAnsi="宋体" w:hint="eastAsia"/>
          <w:b/>
          <w:bCs w:val="0"/>
          <w:color w:val="auto"/>
          <w:sz w:val="22"/>
          <w:szCs w:val="22"/>
        </w:rPr>
        <w:t xml:space="preserve">考点9 </w:t>
      </w:r>
      <w:r>
        <w:rPr>
          <w:rFonts w:ascii="宋体" w:eastAsia="宋体" w:hAnsi="宋体"/>
          <w:b/>
          <w:bCs w:val="0"/>
          <w:color w:val="auto"/>
          <w:sz w:val="22"/>
          <w:szCs w:val="22"/>
        </w:rPr>
        <w:t xml:space="preserve"> </w:t>
      </w:r>
      <w:r>
        <w:rPr>
          <w:rFonts w:ascii="宋体" w:eastAsia="宋体" w:hAnsi="宋体" w:hint="eastAsia"/>
          <w:b/>
          <w:bCs w:val="0"/>
          <w:color w:val="auto"/>
          <w:sz w:val="22"/>
          <w:szCs w:val="22"/>
        </w:rPr>
        <w:t>刑事证据的</w:t>
      </w:r>
      <w:bookmarkEnd w:id="8"/>
      <w:r>
        <w:rPr>
          <w:rFonts w:ascii="宋体" w:eastAsia="宋体" w:hAnsi="宋体" w:hint="eastAsia"/>
          <w:b/>
          <w:bCs w:val="0"/>
          <w:color w:val="auto"/>
          <w:sz w:val="22"/>
          <w:szCs w:val="22"/>
        </w:rPr>
        <w:t>审查判断</w:t>
      </w:r>
      <w:bookmarkEnd w:id="9"/>
      <w:bookmarkEnd w:id="10"/>
      <w:r>
        <w:rPr>
          <w:rFonts w:ascii="宋体" w:eastAsia="宋体" w:hAnsi="宋体" w:hint="eastAsia"/>
          <w:b/>
          <w:bCs w:val="0"/>
          <w:color w:val="auto"/>
          <w:sz w:val="22"/>
          <w:szCs w:val="22"/>
        </w:rPr>
        <w:t>（</w:t>
      </w:r>
      <w:r w:rsidR="00315DA9">
        <w:rPr>
          <w:rFonts w:ascii="宋体" w:eastAsia="宋体" w:hAnsi="宋体" w:hint="eastAsia"/>
          <w:b/>
          <w:bCs w:val="0"/>
          <w:color w:val="auto"/>
          <w:sz w:val="22"/>
          <w:szCs w:val="22"/>
        </w:rPr>
        <w:t>15</w:t>
      </w:r>
      <w:r>
        <w:rPr>
          <w:rFonts w:ascii="宋体" w:eastAsia="宋体" w:hAnsi="宋体"/>
          <w:b/>
          <w:bCs w:val="0"/>
          <w:color w:val="auto"/>
          <w:sz w:val="22"/>
          <w:szCs w:val="22"/>
        </w:rPr>
        <w:t>:</w:t>
      </w:r>
      <w:r w:rsidR="00315DA9">
        <w:rPr>
          <w:rFonts w:ascii="宋体" w:eastAsia="宋体" w:hAnsi="宋体" w:hint="eastAsia"/>
          <w:b/>
          <w:bCs w:val="0"/>
          <w:color w:val="auto"/>
          <w:sz w:val="22"/>
          <w:szCs w:val="22"/>
        </w:rPr>
        <w:t>50</w:t>
      </w:r>
      <w:r>
        <w:rPr>
          <w:rFonts w:ascii="宋体" w:eastAsia="宋体" w:hAnsi="宋体"/>
          <w:b/>
          <w:bCs w:val="0"/>
          <w:color w:val="auto"/>
          <w:sz w:val="22"/>
          <w:szCs w:val="22"/>
        </w:rPr>
        <w:t>:00-</w:t>
      </w:r>
      <w:r w:rsidR="00F61EE1">
        <w:rPr>
          <w:rFonts w:ascii="宋体" w:eastAsia="宋体" w:hAnsi="宋体" w:hint="eastAsia"/>
          <w:b/>
          <w:bCs w:val="0"/>
          <w:color w:val="auto"/>
          <w:sz w:val="21"/>
          <w:szCs w:val="21"/>
        </w:rPr>
        <w:t>17</w:t>
      </w:r>
      <w:r w:rsidRPr="00224980">
        <w:rPr>
          <w:rFonts w:ascii="宋体" w:eastAsia="宋体" w:hAnsi="宋体"/>
          <w:b/>
          <w:bCs w:val="0"/>
          <w:color w:val="auto"/>
          <w:sz w:val="21"/>
          <w:szCs w:val="21"/>
        </w:rPr>
        <w:t>:</w:t>
      </w:r>
      <w:r w:rsidR="00F61EE1">
        <w:rPr>
          <w:rFonts w:ascii="宋体" w:eastAsia="宋体" w:hAnsi="宋体" w:hint="eastAsia"/>
          <w:b/>
          <w:bCs w:val="0"/>
          <w:color w:val="auto"/>
          <w:sz w:val="21"/>
          <w:szCs w:val="21"/>
        </w:rPr>
        <w:t>3</w:t>
      </w:r>
      <w:r>
        <w:rPr>
          <w:rFonts w:ascii="宋体" w:eastAsia="宋体" w:hAnsi="宋体" w:hint="eastAsia"/>
          <w:b/>
          <w:bCs w:val="0"/>
          <w:color w:val="auto"/>
          <w:sz w:val="21"/>
          <w:szCs w:val="21"/>
        </w:rPr>
        <w:t>6</w:t>
      </w:r>
      <w:r>
        <w:rPr>
          <w:rFonts w:ascii="宋体" w:eastAsia="宋体" w:hAnsi="宋体"/>
          <w:b/>
          <w:bCs w:val="0"/>
          <w:color w:val="auto"/>
          <w:sz w:val="22"/>
          <w:szCs w:val="22"/>
        </w:rPr>
        <w:t>:00）</w:t>
      </w:r>
    </w:p>
    <w:p w14:paraId="26B1BE63" w14:textId="77777777" w:rsidR="0088254C" w:rsidRDefault="0088254C" w:rsidP="0088254C">
      <w:pPr>
        <w:pStyle w:val="3"/>
        <w:spacing w:line="240" w:lineRule="auto"/>
        <w:ind w:firstLineChars="200" w:firstLine="420"/>
        <w:jc w:val="both"/>
        <w:rPr>
          <w:rFonts w:eastAsia="宋体" w:hint="eastAsia"/>
          <w:color w:val="FF0000"/>
          <w:sz w:val="21"/>
        </w:rPr>
      </w:pPr>
      <w:bookmarkStart w:id="12" w:name="_Toc510879009"/>
      <w:bookmarkEnd w:id="11"/>
      <w:r>
        <w:rPr>
          <w:rFonts w:eastAsia="宋体" w:hint="eastAsia"/>
          <w:sz w:val="21"/>
        </w:rPr>
        <w:t>一、</w:t>
      </w:r>
      <w:bookmarkEnd w:id="12"/>
      <w:r>
        <w:rPr>
          <w:rFonts w:eastAsia="宋体" w:hint="eastAsia"/>
          <w:sz w:val="21"/>
        </w:rPr>
        <w:t>基本规定</w:t>
      </w:r>
    </w:p>
    <w:p w14:paraId="303688F5" w14:textId="77777777" w:rsidR="0036540A" w:rsidRDefault="0036540A" w:rsidP="0088254C">
      <w:pPr>
        <w:tabs>
          <w:tab w:val="clear" w:pos="420"/>
        </w:tabs>
        <w:spacing w:line="240" w:lineRule="auto"/>
        <w:ind w:firstLine="420"/>
        <w:rPr>
          <w:rFonts w:eastAsia="宋体" w:cs="汉仪中黑简" w:hint="eastAsia"/>
          <w:bCs/>
          <w:kern w:val="44"/>
        </w:rPr>
      </w:pPr>
      <w:r>
        <w:rPr>
          <w:rFonts w:eastAsia="宋体" w:cs="汉仪中黑简" w:hint="eastAsia"/>
          <w:bCs/>
          <w:kern w:val="44"/>
        </w:rPr>
        <w:t>（一）</w:t>
      </w:r>
      <w:r w:rsidR="0088254C">
        <w:rPr>
          <w:rFonts w:eastAsia="宋体" w:cs="汉仪中黑简" w:hint="eastAsia"/>
          <w:bCs/>
          <w:kern w:val="44"/>
        </w:rPr>
        <w:t>证据裁判原则</w:t>
      </w:r>
    </w:p>
    <w:p w14:paraId="0BE1A0FA" w14:textId="58362501" w:rsidR="0088254C" w:rsidRDefault="0088254C" w:rsidP="0088254C">
      <w:pPr>
        <w:tabs>
          <w:tab w:val="clear" w:pos="420"/>
        </w:tabs>
        <w:spacing w:line="240" w:lineRule="auto"/>
        <w:ind w:firstLine="420"/>
        <w:rPr>
          <w:rFonts w:eastAsia="宋体" w:cs="汉仪中黑简" w:hint="eastAsia"/>
          <w:bCs/>
          <w:kern w:val="44"/>
        </w:rPr>
      </w:pPr>
      <w:r>
        <w:rPr>
          <w:rFonts w:eastAsia="宋体" w:hint="eastAsia"/>
        </w:rPr>
        <w:t>认定事实须凭证据，是现代证据制度的奠基原则。要求：（1）认定事实须靠证据；（2）认定事实的证据必须具有证据能力；（3）定案的证据必须经查证属实；（4）综合全案证据必须达到证明标准。我国已确定该原则。</w:t>
      </w:r>
    </w:p>
    <w:p w14:paraId="69E95575" w14:textId="6923F20A" w:rsidR="0088254C" w:rsidRDefault="0036540A" w:rsidP="0088254C">
      <w:pPr>
        <w:pStyle w:val="4"/>
        <w:spacing w:line="240" w:lineRule="auto"/>
        <w:ind w:firstLineChars="120" w:firstLine="248"/>
        <w:jc w:val="both"/>
        <w:rPr>
          <w:rFonts w:ascii="宋体" w:eastAsia="宋体" w:hAnsi="宋体" w:hint="eastAsia"/>
          <w:b/>
          <w:bCs w:val="0"/>
          <w:spacing w:val="-2"/>
          <w:sz w:val="21"/>
          <w:szCs w:val="21"/>
        </w:rPr>
      </w:pPr>
      <w:r>
        <w:rPr>
          <w:rFonts w:ascii="宋体" w:eastAsia="宋体" w:hAnsi="宋体" w:hint="eastAsia"/>
          <w:b/>
          <w:bCs w:val="0"/>
          <w:spacing w:val="-2"/>
          <w:sz w:val="21"/>
          <w:szCs w:val="21"/>
        </w:rPr>
        <w:t>（二）</w:t>
      </w:r>
      <w:r w:rsidR="0088254C">
        <w:rPr>
          <w:rFonts w:ascii="宋体" w:eastAsia="宋体" w:hAnsi="宋体" w:hint="eastAsia"/>
          <w:b/>
          <w:bCs w:val="0"/>
          <w:spacing w:val="-2"/>
          <w:sz w:val="21"/>
          <w:szCs w:val="21"/>
        </w:rPr>
        <w:t>对行政机关在行政执法和查办案件过程中收集到的部分证据材料的使用</w:t>
      </w:r>
    </w:p>
    <w:p w14:paraId="37806403" w14:textId="77777777" w:rsidR="0088254C" w:rsidRDefault="0088254C" w:rsidP="0088254C">
      <w:pPr>
        <w:spacing w:line="240" w:lineRule="auto"/>
        <w:ind w:firstLine="420"/>
        <w:rPr>
          <w:rFonts w:eastAsia="宋体" w:hint="eastAsia"/>
          <w:kern w:val="0"/>
        </w:rPr>
      </w:pPr>
      <w:r>
        <w:rPr>
          <w:rFonts w:eastAsia="宋体"/>
          <w:color w:val="FF0000"/>
          <w:kern w:val="0"/>
        </w:rPr>
        <w:t>行政机关在行政执法和查办案件过程中收集的物证、书证、视听资料、电子数据等证据材料，在刑事诉讼中可以作为证据使用</w:t>
      </w:r>
      <w:r>
        <w:rPr>
          <w:rFonts w:eastAsia="宋体" w:hint="eastAsia"/>
          <w:kern w:val="0"/>
        </w:rPr>
        <w:t>。</w:t>
      </w:r>
    </w:p>
    <w:p w14:paraId="5389A041" w14:textId="39FD5620" w:rsidR="0088254C" w:rsidRDefault="0036540A" w:rsidP="0088254C">
      <w:pPr>
        <w:pStyle w:val="4"/>
        <w:spacing w:line="240" w:lineRule="auto"/>
        <w:ind w:firstLineChars="120" w:firstLine="253"/>
        <w:jc w:val="both"/>
        <w:rPr>
          <w:rFonts w:ascii="宋体" w:eastAsia="宋体" w:hAnsi="宋体" w:hint="eastAsia"/>
          <w:b/>
          <w:bCs w:val="0"/>
          <w:color w:val="auto"/>
          <w:sz w:val="21"/>
          <w:szCs w:val="21"/>
        </w:rPr>
      </w:pPr>
      <w:r>
        <w:rPr>
          <w:rFonts w:ascii="宋体" w:eastAsia="宋体" w:hAnsi="宋体" w:hint="eastAsia"/>
          <w:b/>
          <w:bCs w:val="0"/>
          <w:color w:val="auto"/>
          <w:sz w:val="21"/>
          <w:szCs w:val="21"/>
        </w:rPr>
        <w:t>（三）</w:t>
      </w:r>
      <w:r w:rsidR="0088254C">
        <w:rPr>
          <w:rFonts w:ascii="宋体" w:eastAsia="宋体" w:hAnsi="宋体" w:hint="eastAsia"/>
          <w:b/>
          <w:bCs w:val="0"/>
          <w:color w:val="auto"/>
          <w:sz w:val="21"/>
          <w:szCs w:val="21"/>
        </w:rPr>
        <w:t>对监察机关在调查过程中收集到的证据材料的使用</w:t>
      </w:r>
    </w:p>
    <w:p w14:paraId="61D5BD4C" w14:textId="77777777" w:rsidR="0088254C" w:rsidRDefault="0088254C" w:rsidP="0088254C">
      <w:pPr>
        <w:spacing w:line="240" w:lineRule="auto"/>
        <w:ind w:firstLine="420"/>
        <w:rPr>
          <w:rFonts w:eastAsia="宋体" w:hint="eastAsia"/>
        </w:rPr>
      </w:pPr>
      <w:r>
        <w:rPr>
          <w:rFonts w:eastAsia="宋体" w:cs="仿宋_GB2312" w:hint="eastAsia"/>
          <w:bCs/>
          <w:color w:val="FF0000"/>
        </w:rPr>
        <w:t>监察机关调查所获证据在刑事诉讼中不存在转换的问题</w:t>
      </w:r>
      <w:r>
        <w:rPr>
          <w:rFonts w:eastAsia="宋体" w:cs="仿宋_GB2312" w:hint="eastAsia"/>
          <w:bCs/>
        </w:rPr>
        <w:t>。</w:t>
      </w:r>
    </w:p>
    <w:p w14:paraId="5FCBE4B9" w14:textId="77777777" w:rsidR="0088254C" w:rsidRDefault="0088254C" w:rsidP="0088254C">
      <w:pPr>
        <w:spacing w:line="240" w:lineRule="auto"/>
        <w:ind w:firstLine="420"/>
        <w:rPr>
          <w:rFonts w:eastAsia="宋体" w:cs="仿宋_GB2312" w:hint="eastAsia"/>
          <w:bCs/>
        </w:rPr>
      </w:pPr>
      <w:bookmarkStart w:id="13" w:name="_Toc510879010"/>
      <w:r>
        <w:rPr>
          <w:rFonts w:eastAsia="宋体" w:hint="eastAsia"/>
        </w:rPr>
        <w:t>二、各类证据的审查与判断</w:t>
      </w:r>
      <w:bookmarkEnd w:id="13"/>
    </w:p>
    <w:p w14:paraId="2C127E6D"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（一）物证、书证的审查判断</w:t>
      </w:r>
    </w:p>
    <w:p w14:paraId="5C88E0AE" w14:textId="77777777" w:rsidR="0088254C" w:rsidRDefault="0088254C" w:rsidP="0088254C">
      <w:pPr>
        <w:spacing w:line="240" w:lineRule="auto"/>
        <w:ind w:firstLine="422"/>
        <w:rPr>
          <w:rFonts w:eastAsia="宋体" w:hint="eastAsia"/>
        </w:rPr>
      </w:pPr>
      <w:r>
        <w:rPr>
          <w:rFonts w:eastAsia="宋体" w:hint="eastAsia"/>
          <w:b/>
          <w:bCs/>
        </w:rPr>
        <w:t>不能作为定案的根据</w:t>
      </w:r>
      <w:r>
        <w:rPr>
          <w:rFonts w:eastAsia="宋体" w:hint="eastAsia"/>
        </w:rPr>
        <w:t>（根本性缺陷）复制品等与原物、原件不符；书证有更改或者更改迹象不能作出合理解释；未附笔录或者清单，不能证明物证、书证来源。</w:t>
      </w:r>
    </w:p>
    <w:p w14:paraId="0A205F30" w14:textId="77777777" w:rsidR="0088254C" w:rsidRDefault="0088254C" w:rsidP="0088254C">
      <w:pPr>
        <w:spacing w:line="240" w:lineRule="auto"/>
        <w:ind w:firstLine="420"/>
        <w:rPr>
          <w:rFonts w:eastAsia="宋体" w:hint="eastAsia"/>
        </w:rPr>
      </w:pPr>
      <w:r>
        <w:rPr>
          <w:rFonts w:eastAsia="宋体" w:hint="eastAsia"/>
        </w:rPr>
        <w:t>非法证据：收集物证、书证不符合法定程序，可能严重影响司法公正，不能补正或者作出合理解释的。</w:t>
      </w:r>
    </w:p>
    <w:p w14:paraId="16F05E1A"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（二）证人证言、被害人陈述的审查判断</w:t>
      </w:r>
    </w:p>
    <w:p w14:paraId="1E56BEA0" w14:textId="77777777" w:rsidR="0088254C" w:rsidRDefault="0088254C" w:rsidP="0088254C">
      <w:pPr>
        <w:spacing w:line="240" w:lineRule="auto"/>
        <w:ind w:firstLine="420"/>
        <w:rPr>
          <w:rFonts w:eastAsia="宋体" w:hint="eastAsia"/>
          <w:color w:val="FF0000"/>
        </w:rPr>
      </w:pPr>
      <w:r>
        <w:rPr>
          <w:rFonts w:eastAsia="宋体" w:hint="eastAsia"/>
        </w:rPr>
        <w:t>询问证人没有个别进行的、书面证言没有</w:t>
      </w:r>
      <w:r>
        <w:rPr>
          <w:rFonts w:eastAsia="宋体" w:hint="eastAsia"/>
          <w:color w:val="FF0000"/>
        </w:rPr>
        <w:t>经证人核对确认</w:t>
      </w:r>
      <w:r>
        <w:rPr>
          <w:rFonts w:eastAsia="宋体" w:hint="eastAsia"/>
        </w:rPr>
        <w:t>的、询问聋、哑人，应当提供通晓聋、哑手势的人员而未提供的、询问不通晓当地通用语言、文字的证人，应提供翻译人员而未提供的，不能作为定案根据。特别注意：</w:t>
      </w:r>
      <w:r>
        <w:rPr>
          <w:rFonts w:eastAsia="宋体" w:hint="eastAsia"/>
          <w:color w:val="FF0000"/>
        </w:rPr>
        <w:t>同一时段同一询问人员不同询问对象的，可补正。</w:t>
      </w:r>
    </w:p>
    <w:p w14:paraId="00DBB5ED"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lastRenderedPageBreak/>
        <w:t>（三）犯罪嫌疑人、被告人供述的审查判断</w:t>
      </w:r>
    </w:p>
    <w:p w14:paraId="07DF089D" w14:textId="77777777" w:rsidR="0088254C" w:rsidRDefault="0088254C" w:rsidP="0088254C">
      <w:pPr>
        <w:spacing w:line="240" w:lineRule="auto"/>
        <w:ind w:firstLine="420"/>
        <w:rPr>
          <w:rFonts w:eastAsia="宋体" w:hint="eastAsia"/>
        </w:rPr>
      </w:pPr>
      <w:r>
        <w:rPr>
          <w:rFonts w:eastAsia="宋体" w:hint="eastAsia"/>
        </w:rPr>
        <w:t>根本性缺陷（1）讯问笔录没有经被告人核对确认的（2）讯问聋、哑人，应当提供通晓聋、哑手势的人员而未提供的（3）讯问不通晓当地通用语言、文字的被告人，应提供翻译人员而未提供（4）讯问未成年人，其法定代理人或者合适成年人不在场的</w:t>
      </w:r>
    </w:p>
    <w:p w14:paraId="24F3CF66"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（四）鉴定</w:t>
      </w:r>
      <w:r w:rsidRPr="004748A6">
        <w:rPr>
          <w:rFonts w:ascii="宋体" w:eastAsia="宋体" w:hAnsi="宋体" w:hint="eastAsia"/>
          <w:strike/>
          <w:sz w:val="21"/>
          <w:szCs w:val="21"/>
        </w:rPr>
        <w:t>人</w:t>
      </w:r>
      <w:r>
        <w:rPr>
          <w:rFonts w:ascii="宋体" w:eastAsia="宋体" w:hAnsi="宋体" w:hint="eastAsia"/>
          <w:sz w:val="21"/>
          <w:szCs w:val="21"/>
        </w:rPr>
        <w:t>意见的审查判断</w:t>
      </w:r>
    </w:p>
    <w:p w14:paraId="38683603" w14:textId="77777777" w:rsidR="0088254C" w:rsidRDefault="0088254C" w:rsidP="0088254C">
      <w:pPr>
        <w:spacing w:line="240" w:lineRule="auto"/>
        <w:ind w:firstLine="420"/>
        <w:rPr>
          <w:rFonts w:eastAsia="宋体" w:hint="eastAsia"/>
          <w:color w:val="FF0000"/>
        </w:rPr>
      </w:pPr>
      <w:r>
        <w:rPr>
          <w:rFonts w:eastAsia="宋体" w:hint="eastAsia"/>
          <w:color w:val="FF0000"/>
        </w:rPr>
        <w:t>鉴定意见没有补正或者合理解释的情形</w:t>
      </w:r>
    </w:p>
    <w:p w14:paraId="10ECEAE5" w14:textId="77777777" w:rsidR="0088254C" w:rsidRDefault="0088254C" w:rsidP="0088254C">
      <w:pPr>
        <w:spacing w:line="240" w:lineRule="auto"/>
        <w:ind w:firstLine="420"/>
        <w:rPr>
          <w:rFonts w:eastAsia="宋体" w:hint="eastAsia"/>
          <w:color w:val="FF0000"/>
        </w:rPr>
      </w:pPr>
      <w:r>
        <w:rPr>
          <w:rFonts w:eastAsia="宋体" w:hint="eastAsia"/>
          <w:color w:val="FF0000"/>
        </w:rPr>
        <w:t>注意：</w:t>
      </w:r>
      <w:r>
        <w:rPr>
          <w:rFonts w:eastAsia="宋体" w:hint="eastAsia"/>
        </w:rPr>
        <w:t>交通事故认定书一般被作为公文书证，而不是事故调查报告</w:t>
      </w:r>
    </w:p>
    <w:p w14:paraId="6BFC0E3C"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（五）勘验、检查笔录、辨认笔录、侦查实验笔录的审查判断</w:t>
      </w:r>
    </w:p>
    <w:p w14:paraId="3FBAF2BB" w14:textId="77777777" w:rsidR="0088254C" w:rsidRDefault="0088254C" w:rsidP="0088254C">
      <w:pPr>
        <w:spacing w:line="240" w:lineRule="auto"/>
        <w:ind w:firstLine="422"/>
        <w:rPr>
          <w:rFonts w:eastAsia="宋体" w:hint="eastAsia"/>
          <w:b/>
          <w:bCs/>
          <w:color w:val="FF0000"/>
          <w:lang w:eastAsia="zh-Hans"/>
        </w:rPr>
      </w:pPr>
      <w:r>
        <w:rPr>
          <w:rFonts w:eastAsia="宋体" w:hint="eastAsia"/>
          <w:b/>
          <w:bCs/>
          <w:color w:val="FF0000"/>
          <w:lang w:eastAsia="zh-Hans"/>
        </w:rPr>
        <w:t>无见证人的</w:t>
      </w:r>
      <w:r>
        <w:rPr>
          <w:rFonts w:eastAsia="宋体"/>
          <w:b/>
          <w:bCs/>
          <w:color w:val="FF0000"/>
          <w:lang w:eastAsia="zh-Hans"/>
        </w:rPr>
        <w:t>，</w:t>
      </w:r>
      <w:r>
        <w:rPr>
          <w:rFonts w:eastAsia="宋体" w:hint="eastAsia"/>
          <w:b/>
          <w:bCs/>
          <w:color w:val="FF0000"/>
          <w:lang w:eastAsia="zh-Hans"/>
        </w:rPr>
        <w:t>注明情况</w:t>
      </w:r>
      <w:r>
        <w:rPr>
          <w:rFonts w:eastAsia="宋体"/>
          <w:b/>
          <w:bCs/>
          <w:color w:val="FF0000"/>
          <w:lang w:eastAsia="zh-Hans"/>
        </w:rPr>
        <w:t>+</w:t>
      </w:r>
      <w:r>
        <w:rPr>
          <w:rFonts w:eastAsia="宋体" w:hint="eastAsia"/>
          <w:b/>
          <w:bCs/>
          <w:color w:val="FF0000"/>
          <w:lang w:eastAsia="zh-Hans"/>
        </w:rPr>
        <w:t>录音录像</w:t>
      </w:r>
      <w:r>
        <w:rPr>
          <w:rFonts w:eastAsia="宋体"/>
          <w:b/>
          <w:bCs/>
          <w:color w:val="FF0000"/>
          <w:lang w:eastAsia="zh-Hans"/>
        </w:rPr>
        <w:t>=</w:t>
      </w:r>
      <w:r>
        <w:rPr>
          <w:rFonts w:eastAsia="宋体" w:hint="eastAsia"/>
          <w:b/>
          <w:bCs/>
          <w:color w:val="FF0000"/>
          <w:lang w:eastAsia="zh-Hans"/>
        </w:rPr>
        <w:t>可以作为定案根据</w:t>
      </w:r>
    </w:p>
    <w:p w14:paraId="01FECF2C"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（六）视听资料、电子数据的审查判断</w:t>
      </w:r>
    </w:p>
    <w:p w14:paraId="275E794B" w14:textId="77777777" w:rsidR="0088254C" w:rsidRDefault="0088254C" w:rsidP="0088254C">
      <w:pPr>
        <w:tabs>
          <w:tab w:val="clear" w:pos="420"/>
        </w:tabs>
        <w:spacing w:line="240" w:lineRule="auto"/>
        <w:ind w:firstLine="420"/>
        <w:rPr>
          <w:rFonts w:eastAsia="宋体" w:cs="汉仪中黑简" w:hint="eastAsia"/>
          <w:bCs/>
          <w:kern w:val="44"/>
        </w:rPr>
      </w:pPr>
      <w:r>
        <w:rPr>
          <w:rFonts w:eastAsia="宋体" w:cs="汉仪中黑简" w:hint="eastAsia"/>
          <w:bCs/>
          <w:kern w:val="44"/>
        </w:rPr>
        <w:t>1．视听资料</w:t>
      </w:r>
    </w:p>
    <w:p w14:paraId="6E5FEF76" w14:textId="77777777" w:rsidR="0088254C" w:rsidRDefault="0088254C" w:rsidP="0088254C">
      <w:pPr>
        <w:spacing w:line="240" w:lineRule="auto"/>
        <w:ind w:firstLine="420"/>
        <w:rPr>
          <w:rFonts w:eastAsia="宋体" w:hint="eastAsia"/>
          <w:color w:val="FF0000"/>
        </w:rPr>
      </w:pPr>
      <w:r>
        <w:rPr>
          <w:rFonts w:eastAsia="宋体" w:hint="eastAsia"/>
          <w:color w:val="FF0000"/>
        </w:rPr>
        <w:t>影响真实性，不得作为定案的根据</w:t>
      </w:r>
    </w:p>
    <w:p w14:paraId="71728211" w14:textId="77777777" w:rsidR="0088254C" w:rsidRDefault="0088254C" w:rsidP="0088254C">
      <w:pPr>
        <w:tabs>
          <w:tab w:val="clear" w:pos="420"/>
        </w:tabs>
        <w:spacing w:line="240" w:lineRule="auto"/>
        <w:ind w:firstLine="422"/>
        <w:rPr>
          <w:rFonts w:eastAsia="宋体" w:cs="汉仪中黑简" w:hint="eastAsia"/>
          <w:b/>
          <w:kern w:val="44"/>
        </w:rPr>
      </w:pPr>
      <w:r>
        <w:rPr>
          <w:rFonts w:eastAsia="宋体" w:cs="汉仪中黑简" w:hint="eastAsia"/>
          <w:b/>
          <w:kern w:val="44"/>
        </w:rPr>
        <w:t>2．电子数据</w:t>
      </w:r>
    </w:p>
    <w:p w14:paraId="50F4BE49" w14:textId="77777777" w:rsidR="0088254C" w:rsidRDefault="0088254C" w:rsidP="0088254C">
      <w:pPr>
        <w:tabs>
          <w:tab w:val="clear" w:pos="420"/>
        </w:tabs>
        <w:spacing w:line="240" w:lineRule="auto"/>
        <w:ind w:firstLine="422"/>
        <w:rPr>
          <w:rFonts w:eastAsia="宋体" w:hint="eastAsia"/>
        </w:rPr>
      </w:pPr>
      <w:r>
        <w:rPr>
          <w:rFonts w:eastAsia="宋体" w:hint="eastAsia"/>
          <w:b/>
          <w:bCs/>
          <w:color w:val="FF0000"/>
        </w:rPr>
        <w:t>影响真实性</w:t>
      </w:r>
      <w:r>
        <w:rPr>
          <w:rFonts w:eastAsia="宋体" w:hint="eastAsia"/>
          <w:color w:val="FF0000"/>
        </w:rPr>
        <w:t>，</w:t>
      </w:r>
      <w:r>
        <w:rPr>
          <w:rFonts w:eastAsia="宋体" w:hint="eastAsia"/>
        </w:rPr>
        <w:t>不得作为定案根据：影响电子数据真实性的根本性缺陷（1）系篡改、伪造或者无法确定真伪的（2）有增加、删除、修改等情形，影响电子数据真实性的（3）其他无法保证电子数据真实性的情形</w:t>
      </w:r>
    </w:p>
    <w:p w14:paraId="7E271FB6"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（七）技术调查、侦查证据的审查与认定</w:t>
      </w:r>
    </w:p>
    <w:p w14:paraId="3DF8777D" w14:textId="77777777" w:rsidR="0088254C" w:rsidRDefault="0088254C" w:rsidP="0088254C">
      <w:pPr>
        <w:spacing w:line="240" w:lineRule="auto"/>
        <w:ind w:firstLine="420"/>
        <w:rPr>
          <w:rFonts w:eastAsia="宋体" w:hint="eastAsia"/>
          <w:color w:val="FF0000"/>
        </w:rPr>
      </w:pPr>
      <w:r>
        <w:rPr>
          <w:rFonts w:eastAsia="宋体" w:hint="eastAsia"/>
        </w:rPr>
        <w:t>依法采取技术调查、侦查措施收集的材料在刑事诉讼中</w:t>
      </w:r>
      <w:r>
        <w:rPr>
          <w:rFonts w:eastAsia="宋体" w:hint="eastAsia"/>
          <w:color w:val="FF0000"/>
        </w:rPr>
        <w:t>可以作为证据使用</w:t>
      </w:r>
    </w:p>
    <w:p w14:paraId="000CBF52" w14:textId="77777777" w:rsidR="0088254C" w:rsidRDefault="0088254C" w:rsidP="0088254C">
      <w:pPr>
        <w:spacing w:line="240" w:lineRule="auto"/>
        <w:ind w:firstLine="420"/>
        <w:rPr>
          <w:rFonts w:eastAsia="宋体" w:hint="eastAsia"/>
          <w:color w:val="FF0000"/>
        </w:rPr>
      </w:pPr>
      <w:r>
        <w:rPr>
          <w:rFonts w:eastAsia="宋体" w:hint="eastAsia"/>
          <w:color w:val="auto"/>
        </w:rPr>
        <w:t>作为定案根据：</w:t>
      </w:r>
      <w:r>
        <w:rPr>
          <w:rFonts w:eastAsia="宋体" w:hint="eastAsia"/>
          <w:color w:val="FF0000"/>
        </w:rPr>
        <w:t>应当经过当庭出示、辨认、质证等法庭调查程序查证</w:t>
      </w:r>
    </w:p>
    <w:p w14:paraId="04145627" w14:textId="77777777" w:rsidR="0088254C" w:rsidRDefault="0088254C" w:rsidP="0088254C">
      <w:pPr>
        <w:pStyle w:val="4"/>
        <w:spacing w:line="240" w:lineRule="auto"/>
        <w:ind w:firstLineChars="120" w:firstLine="252"/>
        <w:jc w:val="both"/>
        <w:rPr>
          <w:rFonts w:ascii="宋体" w:eastAsia="宋体" w:hAnsi="宋体" w:hint="eastAsia"/>
          <w:sz w:val="21"/>
          <w:szCs w:val="21"/>
        </w:rPr>
      </w:pPr>
      <w:r>
        <w:rPr>
          <w:rFonts w:ascii="宋体" w:eastAsia="宋体" w:hAnsi="宋体" w:hint="eastAsia"/>
          <w:sz w:val="21"/>
          <w:szCs w:val="21"/>
        </w:rPr>
        <w:t>（八）其他证据材料的审查判断</w:t>
      </w:r>
    </w:p>
    <w:p w14:paraId="1B39D3D7" w14:textId="77777777" w:rsidR="0088254C" w:rsidRDefault="0088254C" w:rsidP="0088254C">
      <w:pPr>
        <w:spacing w:line="240" w:lineRule="auto"/>
        <w:ind w:firstLine="420"/>
        <w:outlineLvl w:val="0"/>
        <w:rPr>
          <w:rFonts w:eastAsia="宋体" w:hint="eastAsia"/>
        </w:rPr>
      </w:pPr>
      <w:bookmarkStart w:id="14" w:name="_Toc510879011"/>
      <w:bookmarkStart w:id="15" w:name="_Toc64384682"/>
      <w:bookmarkStart w:id="16" w:name="_Toc126331775"/>
      <w:bookmarkStart w:id="17" w:name="_Toc4844109"/>
      <w:r>
        <w:rPr>
          <w:rFonts w:eastAsia="宋体"/>
        </w:rPr>
        <w:t>证明被告人自首、坦白、立功的证据材料，</w:t>
      </w:r>
      <w:r>
        <w:rPr>
          <w:rFonts w:eastAsia="宋体"/>
          <w:b/>
          <w:color w:val="FF0000"/>
        </w:rPr>
        <w:t>没有加盖接受被告人投案、坦白、检举揭发等的单位的印章，或者接受人员没有签名的，不得作为定案的根据</w:t>
      </w:r>
      <w:r>
        <w:rPr>
          <w:rFonts w:eastAsia="宋体"/>
        </w:rPr>
        <w:t>。</w:t>
      </w:r>
    </w:p>
    <w:p w14:paraId="14808CAF" w14:textId="77777777" w:rsidR="0088254C" w:rsidRDefault="0088254C" w:rsidP="0088254C">
      <w:pPr>
        <w:spacing w:line="240" w:lineRule="auto"/>
        <w:ind w:firstLine="420"/>
        <w:outlineLvl w:val="0"/>
        <w:rPr>
          <w:rFonts w:eastAsia="宋体" w:hint="eastAsia"/>
          <w:color w:val="FF0000"/>
        </w:rPr>
      </w:pPr>
      <w:r>
        <w:rPr>
          <w:rFonts w:eastAsia="宋体" w:hint="eastAsia"/>
        </w:rPr>
        <w:t>审查被告人实施被指控的犯罪时或者审判时是否达到相应法定责任年龄，应当根据户籍证明、出生证明文件、学籍卡、人口普查登记、无利害关系人的证言等证据</w:t>
      </w:r>
      <w:r>
        <w:rPr>
          <w:rFonts w:eastAsia="宋体" w:hint="eastAsia"/>
          <w:color w:val="FF0000"/>
        </w:rPr>
        <w:t>综合判断</w:t>
      </w:r>
      <w:r>
        <w:rPr>
          <w:rFonts w:eastAsia="宋体" w:hint="eastAsia"/>
        </w:rPr>
        <w:t>。证明被告人已满十二周岁、十四周岁、十六周岁、十八周岁或者不满七十五周岁的</w:t>
      </w:r>
      <w:r>
        <w:rPr>
          <w:rFonts w:eastAsia="宋体" w:hint="eastAsia"/>
          <w:color w:val="FF0000"/>
        </w:rPr>
        <w:t>证据不足的，应当作出有利于被告人的认定。</w:t>
      </w:r>
    </w:p>
    <w:bookmarkEnd w:id="14"/>
    <w:bookmarkEnd w:id="15"/>
    <w:bookmarkEnd w:id="16"/>
    <w:bookmarkEnd w:id="17"/>
    <w:p w14:paraId="22A1D1F8" w14:textId="20E9801A" w:rsidR="0088254C" w:rsidRPr="00224980" w:rsidRDefault="0088254C" w:rsidP="0088254C">
      <w:pPr>
        <w:pStyle w:val="1"/>
        <w:spacing w:before="0" w:line="240" w:lineRule="exact"/>
        <w:rPr>
          <w:rFonts w:ascii="宋体" w:eastAsia="宋体" w:hAnsi="宋体" w:hint="eastAsia"/>
          <w:b/>
          <w:bCs w:val="0"/>
          <w:sz w:val="21"/>
          <w:szCs w:val="21"/>
        </w:rPr>
      </w:pPr>
      <w:r w:rsidRPr="00224980">
        <w:rPr>
          <w:rFonts w:ascii="宋体" w:eastAsia="宋体" w:hAnsi="宋体" w:hint="eastAsia"/>
          <w:b/>
          <w:bCs w:val="0"/>
          <w:color w:val="FF0000"/>
          <w:sz w:val="21"/>
          <w:szCs w:val="21"/>
        </w:rPr>
        <w:t>考点1</w:t>
      </w:r>
      <w:r>
        <w:rPr>
          <w:rFonts w:ascii="宋体" w:eastAsia="宋体" w:hAnsi="宋体" w:hint="eastAsia"/>
          <w:b/>
          <w:bCs w:val="0"/>
          <w:color w:val="FF0000"/>
          <w:sz w:val="21"/>
          <w:szCs w:val="21"/>
        </w:rPr>
        <w:t>0</w:t>
      </w:r>
      <w:r w:rsidRPr="00224980">
        <w:rPr>
          <w:rFonts w:ascii="宋体" w:eastAsia="宋体" w:hAnsi="宋体" w:hint="eastAsia"/>
          <w:b/>
          <w:bCs w:val="0"/>
          <w:color w:val="FF0000"/>
          <w:sz w:val="21"/>
          <w:szCs w:val="21"/>
        </w:rPr>
        <w:t xml:space="preserve">  </w:t>
      </w:r>
      <w:r w:rsidRPr="00224980">
        <w:rPr>
          <w:rFonts w:ascii="宋体" w:eastAsia="宋体" w:hAnsi="宋体" w:hint="eastAsia"/>
          <w:b/>
          <w:bCs w:val="0"/>
          <w:sz w:val="21"/>
          <w:szCs w:val="21"/>
        </w:rPr>
        <w:t>刑事证据的分类</w:t>
      </w:r>
      <w:r w:rsidRPr="00224980">
        <w:rPr>
          <w:rFonts w:ascii="宋体" w:eastAsia="宋体" w:hAnsi="宋体" w:hint="eastAsia"/>
          <w:b/>
          <w:bCs w:val="0"/>
          <w:color w:val="auto"/>
          <w:sz w:val="21"/>
          <w:szCs w:val="21"/>
        </w:rPr>
        <w:t>（</w:t>
      </w:r>
      <w:r w:rsidR="00F61EE1">
        <w:rPr>
          <w:rFonts w:ascii="宋体" w:eastAsia="宋体" w:hAnsi="宋体" w:hint="eastAsia"/>
          <w:b/>
          <w:bCs w:val="0"/>
          <w:color w:val="auto"/>
          <w:sz w:val="21"/>
          <w:szCs w:val="21"/>
        </w:rPr>
        <w:t>17</w:t>
      </w:r>
      <w:r w:rsidR="00F61EE1" w:rsidRPr="00224980">
        <w:rPr>
          <w:rFonts w:ascii="宋体" w:eastAsia="宋体" w:hAnsi="宋体"/>
          <w:b/>
          <w:bCs w:val="0"/>
          <w:color w:val="auto"/>
          <w:sz w:val="21"/>
          <w:szCs w:val="21"/>
        </w:rPr>
        <w:t>:</w:t>
      </w:r>
      <w:r w:rsidR="00F61EE1">
        <w:rPr>
          <w:rFonts w:ascii="宋体" w:eastAsia="宋体" w:hAnsi="宋体" w:hint="eastAsia"/>
          <w:b/>
          <w:bCs w:val="0"/>
          <w:color w:val="auto"/>
          <w:sz w:val="21"/>
          <w:szCs w:val="21"/>
        </w:rPr>
        <w:t>36</w:t>
      </w:r>
      <w:r w:rsidRPr="00224980">
        <w:rPr>
          <w:rFonts w:ascii="宋体" w:eastAsia="宋体" w:hAnsi="宋体"/>
          <w:b/>
          <w:bCs w:val="0"/>
          <w:color w:val="auto"/>
          <w:sz w:val="21"/>
          <w:szCs w:val="21"/>
        </w:rPr>
        <w:t>:00</w:t>
      </w:r>
      <w:r w:rsidRPr="000A6432">
        <w:rPr>
          <w:rFonts w:ascii="宋体" w:eastAsia="宋体" w:hAnsi="宋体"/>
          <w:b/>
          <w:bCs w:val="0"/>
          <w:color w:val="auto"/>
          <w:sz w:val="21"/>
          <w:szCs w:val="21"/>
        </w:rPr>
        <w:t>-</w:t>
      </w:r>
      <w:r w:rsidR="005562C8">
        <w:rPr>
          <w:rFonts w:ascii="宋体" w:eastAsia="宋体" w:hAnsi="宋体" w:hint="eastAsia"/>
          <w:b/>
          <w:bCs w:val="0"/>
          <w:color w:val="auto"/>
          <w:sz w:val="21"/>
          <w:szCs w:val="21"/>
        </w:rPr>
        <w:t>17</w:t>
      </w:r>
      <w:r w:rsidRPr="000A6432">
        <w:rPr>
          <w:rFonts w:ascii="宋体" w:eastAsia="宋体" w:hAnsi="宋体"/>
          <w:b/>
          <w:bCs w:val="0"/>
          <w:color w:val="auto"/>
          <w:sz w:val="21"/>
          <w:szCs w:val="21"/>
        </w:rPr>
        <w:t>:</w:t>
      </w:r>
      <w:r w:rsidR="009D2ACE">
        <w:rPr>
          <w:rFonts w:ascii="宋体" w:eastAsia="宋体" w:hAnsi="宋体" w:hint="eastAsia"/>
          <w:b/>
          <w:bCs w:val="0"/>
          <w:color w:val="auto"/>
          <w:sz w:val="21"/>
          <w:szCs w:val="21"/>
        </w:rPr>
        <w:t>58</w:t>
      </w:r>
      <w:r w:rsidRPr="000A6432">
        <w:rPr>
          <w:rFonts w:ascii="宋体" w:eastAsia="宋体" w:hAnsi="宋体"/>
          <w:b/>
          <w:bCs w:val="0"/>
          <w:color w:val="auto"/>
          <w:sz w:val="21"/>
          <w:szCs w:val="21"/>
        </w:rPr>
        <w:t>:00</w:t>
      </w:r>
      <w:r w:rsidRPr="00224980">
        <w:rPr>
          <w:rFonts w:ascii="宋体" w:eastAsia="宋体" w:hAnsi="宋体"/>
          <w:b/>
          <w:bCs w:val="0"/>
          <w:color w:val="auto"/>
          <w:sz w:val="21"/>
          <w:szCs w:val="21"/>
        </w:rPr>
        <w:t>）</w:t>
      </w:r>
      <w:r>
        <w:rPr>
          <w:rFonts w:ascii="宋体" w:eastAsia="宋体" w:hAnsi="宋体" w:hint="eastAsia"/>
          <w:b/>
          <w:bCs w:val="0"/>
          <w:color w:val="auto"/>
          <w:sz w:val="21"/>
          <w:szCs w:val="21"/>
        </w:rPr>
        <w:t>【理论分类】【不同于证据种类】</w:t>
      </w:r>
    </w:p>
    <w:p w14:paraId="3500DA01" w14:textId="77777777" w:rsidR="0088254C" w:rsidRPr="00224980" w:rsidRDefault="0088254C" w:rsidP="0088254C">
      <w:pPr>
        <w:pStyle w:val="3"/>
        <w:spacing w:line="240" w:lineRule="exact"/>
        <w:ind w:firstLineChars="200" w:firstLine="420"/>
        <w:jc w:val="both"/>
        <w:rPr>
          <w:rFonts w:eastAsia="宋体" w:hint="eastAsia"/>
          <w:sz w:val="21"/>
        </w:rPr>
      </w:pPr>
      <w:bookmarkStart w:id="18" w:name="_Toc510879012"/>
      <w:r w:rsidRPr="00224980">
        <w:rPr>
          <w:rFonts w:eastAsia="宋体" w:hint="eastAsia"/>
          <w:sz w:val="21"/>
        </w:rPr>
        <w:t>一、原始证据与传来证据</w:t>
      </w:r>
      <w:bookmarkEnd w:id="18"/>
    </w:p>
    <w:p w14:paraId="7CB83A11" w14:textId="77777777" w:rsidR="0088254C" w:rsidRPr="00224980" w:rsidRDefault="0088254C" w:rsidP="0088254C">
      <w:pPr>
        <w:spacing w:line="240" w:lineRule="exact"/>
        <w:ind w:firstLine="420"/>
        <w:rPr>
          <w:rFonts w:eastAsia="宋体" w:hint="eastAsia"/>
        </w:rPr>
      </w:pPr>
      <w:r w:rsidRPr="00224980">
        <w:rPr>
          <w:rFonts w:eastAsia="宋体" w:hint="eastAsia"/>
          <w:color w:val="FF0000"/>
        </w:rPr>
        <w:t>凡是来自原始出处，即直接来源于案件事实的证据材料，是原始证据</w:t>
      </w:r>
      <w:r w:rsidRPr="00224980">
        <w:rPr>
          <w:rFonts w:eastAsia="宋体" w:hint="eastAsia"/>
        </w:rPr>
        <w:t>。</w:t>
      </w:r>
    </w:p>
    <w:p w14:paraId="429898FC" w14:textId="77777777" w:rsidR="0088254C" w:rsidRPr="00224980" w:rsidRDefault="0088254C" w:rsidP="0088254C">
      <w:pPr>
        <w:spacing w:line="240" w:lineRule="exact"/>
        <w:ind w:firstLine="420"/>
        <w:rPr>
          <w:rFonts w:eastAsia="宋体" w:hint="eastAsia"/>
        </w:rPr>
      </w:pPr>
      <w:r w:rsidRPr="00224980">
        <w:rPr>
          <w:rFonts w:eastAsia="宋体" w:hint="eastAsia"/>
          <w:color w:val="FF0000"/>
        </w:rPr>
        <w:t>凡非直接来源于案件事实，而是经过中间环节中转后形成的证据，是传来证据</w:t>
      </w:r>
      <w:r w:rsidRPr="00224980">
        <w:rPr>
          <w:rFonts w:eastAsia="宋体" w:hint="eastAsia"/>
        </w:rPr>
        <w:t>。</w:t>
      </w:r>
    </w:p>
    <w:p w14:paraId="7331CA4B" w14:textId="77777777" w:rsidR="0088254C" w:rsidRPr="00224980" w:rsidRDefault="0088254C" w:rsidP="0088254C">
      <w:pPr>
        <w:spacing w:line="240" w:lineRule="exact"/>
        <w:ind w:firstLine="420"/>
        <w:rPr>
          <w:rFonts w:eastAsia="宋体" w:hint="eastAsia"/>
        </w:rPr>
      </w:pPr>
      <w:r w:rsidRPr="00224980">
        <w:rPr>
          <w:rFonts w:eastAsia="宋体" w:hint="eastAsia"/>
        </w:rPr>
        <w:t>二、言词证据与实物证据</w:t>
      </w:r>
    </w:p>
    <w:p w14:paraId="582A9BC7" w14:textId="77777777" w:rsidR="0088254C" w:rsidRPr="00224980" w:rsidRDefault="0088254C" w:rsidP="0088254C">
      <w:pPr>
        <w:spacing w:line="240" w:lineRule="exact"/>
        <w:ind w:firstLine="408"/>
        <w:rPr>
          <w:rFonts w:eastAsia="宋体" w:hint="eastAsia"/>
          <w:spacing w:val="-3"/>
        </w:rPr>
      </w:pPr>
      <w:r w:rsidRPr="00224980">
        <w:rPr>
          <w:rFonts w:eastAsia="宋体" w:hint="eastAsia"/>
          <w:spacing w:val="-3"/>
        </w:rPr>
        <w:t>凡是表现为人的陈述，即以言词作为表现形式的证据，是言词证据。</w:t>
      </w:r>
    </w:p>
    <w:p w14:paraId="75A6F6EF" w14:textId="77777777" w:rsidR="0088254C" w:rsidRPr="00224980" w:rsidRDefault="0088254C" w:rsidP="0088254C">
      <w:pPr>
        <w:spacing w:line="240" w:lineRule="exact"/>
        <w:ind w:firstLine="420"/>
        <w:rPr>
          <w:rFonts w:eastAsia="宋体" w:hint="eastAsia"/>
        </w:rPr>
      </w:pPr>
      <w:r w:rsidRPr="00224980">
        <w:rPr>
          <w:rFonts w:eastAsia="宋体" w:hint="eastAsia"/>
        </w:rPr>
        <w:t>凡是以实物作为表现形式的证据，是实物证据：物证、书证、勘验、检查笔录、视听资料、电子数据。</w:t>
      </w:r>
      <w:bookmarkStart w:id="19" w:name="_Toc510879013"/>
    </w:p>
    <w:p w14:paraId="215C2045" w14:textId="77777777" w:rsidR="0088254C" w:rsidRPr="004B2DE7" w:rsidRDefault="0088254C" w:rsidP="0088254C">
      <w:pPr>
        <w:spacing w:line="240" w:lineRule="exact"/>
        <w:ind w:firstLine="422"/>
        <w:rPr>
          <w:rFonts w:eastAsia="宋体" w:hint="eastAsia"/>
          <w:b/>
          <w:bCs/>
          <w:color w:val="FF0000"/>
        </w:rPr>
      </w:pPr>
      <w:r w:rsidRPr="004B2DE7">
        <w:rPr>
          <w:rFonts w:eastAsia="宋体" w:hint="eastAsia"/>
          <w:b/>
          <w:bCs/>
          <w:color w:val="FF0000"/>
        </w:rPr>
        <w:t>三、直接证据与间接证据</w:t>
      </w:r>
      <w:bookmarkEnd w:id="19"/>
    </w:p>
    <w:p w14:paraId="41992E19" w14:textId="5D9588B2" w:rsidR="00543268" w:rsidRPr="0088254C" w:rsidRDefault="0088254C" w:rsidP="0088254C">
      <w:pPr>
        <w:spacing w:line="240" w:lineRule="exact"/>
        <w:ind w:firstLine="420"/>
        <w:rPr>
          <w:rFonts w:eastAsia="宋体" w:hint="eastAsia"/>
        </w:rPr>
      </w:pPr>
      <w:bookmarkStart w:id="20" w:name="_Toc4844110"/>
      <w:bookmarkStart w:id="21" w:name="_Toc64384683"/>
      <w:r w:rsidRPr="00E65A6D">
        <w:rPr>
          <w:rFonts w:eastAsia="宋体" w:hint="eastAsia"/>
        </w:rPr>
        <w:t>直接证据</w:t>
      </w:r>
      <w:r w:rsidRPr="00E65A6D">
        <w:rPr>
          <w:rFonts w:eastAsia="宋体" w:hint="eastAsia"/>
          <w:lang w:eastAsia="zh-Hans"/>
        </w:rPr>
        <w:t>指</w:t>
      </w:r>
      <w:r w:rsidRPr="00E65A6D">
        <w:rPr>
          <w:rFonts w:eastAsia="宋体" w:hint="eastAsia"/>
          <w:b/>
          <w:bCs/>
          <w:color w:val="FF0000"/>
          <w:kern w:val="0"/>
        </w:rPr>
        <w:t>证明内容是能够单独、直接地反映案件的主要事实</w:t>
      </w:r>
      <w:r w:rsidRPr="00E65A6D">
        <w:rPr>
          <w:rFonts w:eastAsia="宋体" w:hint="eastAsia"/>
          <w:kern w:val="0"/>
        </w:rPr>
        <w:t>，</w:t>
      </w:r>
      <w:r w:rsidRPr="00E65A6D">
        <w:rPr>
          <w:rFonts w:eastAsia="宋体" w:hint="eastAsia"/>
        </w:rPr>
        <w:t>间接证据则不能单独、直接地反映案件的主要事实</w:t>
      </w:r>
      <w:r w:rsidRPr="00E65A6D">
        <w:rPr>
          <w:rFonts w:eastAsia="宋体"/>
        </w:rPr>
        <w:t>。</w:t>
      </w:r>
      <w:bookmarkEnd w:id="20"/>
      <w:bookmarkEnd w:id="21"/>
    </w:p>
    <w:sectPr w:rsidR="00543268" w:rsidRPr="0088254C">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EFB91" w14:textId="77777777" w:rsidR="002570C2" w:rsidRDefault="002570C2">
      <w:pPr>
        <w:spacing w:line="240" w:lineRule="auto"/>
        <w:ind w:firstLine="420"/>
        <w:rPr>
          <w:rFonts w:hint="eastAsia"/>
        </w:rPr>
      </w:pPr>
      <w:r>
        <w:separator/>
      </w:r>
    </w:p>
  </w:endnote>
  <w:endnote w:type="continuationSeparator" w:id="0">
    <w:p w14:paraId="23DA155B" w14:textId="77777777" w:rsidR="002570C2" w:rsidRDefault="002570C2">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100DA" w14:textId="77777777" w:rsidR="0070580C" w:rsidRDefault="0070580C">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D99E4" w14:textId="77777777" w:rsidR="0070580C" w:rsidRDefault="0070580C">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EDA5B" w14:textId="77777777" w:rsidR="0070580C" w:rsidRDefault="0070580C">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242CFA" w14:textId="77777777" w:rsidR="002570C2" w:rsidRDefault="002570C2">
      <w:pPr>
        <w:spacing w:line="240" w:lineRule="auto"/>
        <w:ind w:firstLine="420"/>
        <w:rPr>
          <w:rFonts w:hint="eastAsia"/>
        </w:rPr>
      </w:pPr>
      <w:r>
        <w:separator/>
      </w:r>
    </w:p>
  </w:footnote>
  <w:footnote w:type="continuationSeparator" w:id="0">
    <w:p w14:paraId="5B021A27" w14:textId="77777777" w:rsidR="002570C2" w:rsidRDefault="002570C2">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8A6F9" w14:textId="77777777" w:rsidR="0070580C" w:rsidRDefault="0070580C">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23F86" w14:textId="77777777" w:rsidR="0070580C" w:rsidRDefault="00000000">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54AB86" w14:textId="77777777" w:rsidR="0070580C" w:rsidRDefault="0070580C">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7310A2"/>
    <w:multiLevelType w:val="multilevel"/>
    <w:tmpl w:val="577310A2"/>
    <w:lvl w:ilvl="0">
      <w:start w:val="1"/>
      <w:numFmt w:val="japaneseCounting"/>
      <w:lvlText w:val="（%1）"/>
      <w:lvlJc w:val="left"/>
      <w:pPr>
        <w:ind w:left="1140" w:hanging="720"/>
      </w:pPr>
      <w:rPr>
        <w:rFonts w:hint="default"/>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 w15:restartNumberingAfterBreak="0">
    <w:nsid w:val="68C17622"/>
    <w:multiLevelType w:val="multilevel"/>
    <w:tmpl w:val="68C17622"/>
    <w:lvl w:ilvl="0">
      <w:start w:val="1"/>
      <w:numFmt w:val="japaneseCounting"/>
      <w:lvlText w:val="%1、"/>
      <w:lvlJc w:val="left"/>
      <w:pPr>
        <w:ind w:left="840" w:hanging="420"/>
      </w:pPr>
      <w:rPr>
        <w:rFonts w:hint="default"/>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num w:numId="1" w16cid:durableId="968050709">
    <w:abstractNumId w:val="1"/>
  </w:num>
  <w:num w:numId="2" w16cid:durableId="7373586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BA3"/>
    <w:rsid w:val="00034EBC"/>
    <w:rsid w:val="00040781"/>
    <w:rsid w:val="000408BA"/>
    <w:rsid w:val="00041FFB"/>
    <w:rsid w:val="00055E7E"/>
    <w:rsid w:val="00082D34"/>
    <w:rsid w:val="00091EFA"/>
    <w:rsid w:val="000B6E09"/>
    <w:rsid w:val="000C38C6"/>
    <w:rsid w:val="000D3E29"/>
    <w:rsid w:val="000F5F83"/>
    <w:rsid w:val="00101BA3"/>
    <w:rsid w:val="001173B3"/>
    <w:rsid w:val="0014275B"/>
    <w:rsid w:val="00190CE6"/>
    <w:rsid w:val="001A3DDE"/>
    <w:rsid w:val="001C42B5"/>
    <w:rsid w:val="002011E7"/>
    <w:rsid w:val="002128BE"/>
    <w:rsid w:val="00224980"/>
    <w:rsid w:val="00234C21"/>
    <w:rsid w:val="00245D51"/>
    <w:rsid w:val="00253BA3"/>
    <w:rsid w:val="00253BD4"/>
    <w:rsid w:val="00253EDE"/>
    <w:rsid w:val="002570C2"/>
    <w:rsid w:val="002613F3"/>
    <w:rsid w:val="00283E30"/>
    <w:rsid w:val="00291BD6"/>
    <w:rsid w:val="00291E5C"/>
    <w:rsid w:val="0029642C"/>
    <w:rsid w:val="002A2FCD"/>
    <w:rsid w:val="002A74B1"/>
    <w:rsid w:val="002B7F7D"/>
    <w:rsid w:val="002D5B69"/>
    <w:rsid w:val="002E5694"/>
    <w:rsid w:val="002F38AC"/>
    <w:rsid w:val="00315DA9"/>
    <w:rsid w:val="0036540A"/>
    <w:rsid w:val="00397ACD"/>
    <w:rsid w:val="003B3929"/>
    <w:rsid w:val="004011C0"/>
    <w:rsid w:val="00427470"/>
    <w:rsid w:val="00433A1A"/>
    <w:rsid w:val="00436E47"/>
    <w:rsid w:val="004748A6"/>
    <w:rsid w:val="004901B9"/>
    <w:rsid w:val="00493222"/>
    <w:rsid w:val="004B7945"/>
    <w:rsid w:val="004D128D"/>
    <w:rsid w:val="004D4F93"/>
    <w:rsid w:val="004E4970"/>
    <w:rsid w:val="004F5E79"/>
    <w:rsid w:val="005025AA"/>
    <w:rsid w:val="0050533E"/>
    <w:rsid w:val="0053007A"/>
    <w:rsid w:val="00543268"/>
    <w:rsid w:val="00550679"/>
    <w:rsid w:val="005562C8"/>
    <w:rsid w:val="00586416"/>
    <w:rsid w:val="0059522B"/>
    <w:rsid w:val="005B334C"/>
    <w:rsid w:val="005C1E9E"/>
    <w:rsid w:val="005C31BE"/>
    <w:rsid w:val="005D7528"/>
    <w:rsid w:val="00622302"/>
    <w:rsid w:val="00635D28"/>
    <w:rsid w:val="00640EEA"/>
    <w:rsid w:val="0065390F"/>
    <w:rsid w:val="0067021E"/>
    <w:rsid w:val="006915AD"/>
    <w:rsid w:val="006A0B3C"/>
    <w:rsid w:val="006B6D19"/>
    <w:rsid w:val="006D032D"/>
    <w:rsid w:val="006D54D3"/>
    <w:rsid w:val="0070580C"/>
    <w:rsid w:val="00720C9B"/>
    <w:rsid w:val="00724BEF"/>
    <w:rsid w:val="0073429B"/>
    <w:rsid w:val="0073608E"/>
    <w:rsid w:val="00757A8B"/>
    <w:rsid w:val="00763BFF"/>
    <w:rsid w:val="007736E8"/>
    <w:rsid w:val="00780334"/>
    <w:rsid w:val="0079162C"/>
    <w:rsid w:val="007D2083"/>
    <w:rsid w:val="007D74DA"/>
    <w:rsid w:val="007E4668"/>
    <w:rsid w:val="008053E6"/>
    <w:rsid w:val="008108B8"/>
    <w:rsid w:val="00825FD9"/>
    <w:rsid w:val="0083097C"/>
    <w:rsid w:val="00841AE6"/>
    <w:rsid w:val="00860A0F"/>
    <w:rsid w:val="008664F6"/>
    <w:rsid w:val="00870460"/>
    <w:rsid w:val="0088254C"/>
    <w:rsid w:val="008859E0"/>
    <w:rsid w:val="00890914"/>
    <w:rsid w:val="008930D8"/>
    <w:rsid w:val="0089331C"/>
    <w:rsid w:val="008B6BB4"/>
    <w:rsid w:val="008F4E35"/>
    <w:rsid w:val="009111AE"/>
    <w:rsid w:val="0091277C"/>
    <w:rsid w:val="00923AAF"/>
    <w:rsid w:val="0093705E"/>
    <w:rsid w:val="00957E02"/>
    <w:rsid w:val="009750D8"/>
    <w:rsid w:val="0099184F"/>
    <w:rsid w:val="009924E3"/>
    <w:rsid w:val="009A776C"/>
    <w:rsid w:val="009D2ACE"/>
    <w:rsid w:val="00A13EFA"/>
    <w:rsid w:val="00A21DA3"/>
    <w:rsid w:val="00A27410"/>
    <w:rsid w:val="00A44B88"/>
    <w:rsid w:val="00A525AF"/>
    <w:rsid w:val="00AA349F"/>
    <w:rsid w:val="00AA4833"/>
    <w:rsid w:val="00AB1295"/>
    <w:rsid w:val="00AB399E"/>
    <w:rsid w:val="00AC1EFA"/>
    <w:rsid w:val="00AC4F52"/>
    <w:rsid w:val="00AC798D"/>
    <w:rsid w:val="00AE6075"/>
    <w:rsid w:val="00AF327D"/>
    <w:rsid w:val="00B05B18"/>
    <w:rsid w:val="00B1329E"/>
    <w:rsid w:val="00B252B3"/>
    <w:rsid w:val="00B501EB"/>
    <w:rsid w:val="00B52114"/>
    <w:rsid w:val="00B6369D"/>
    <w:rsid w:val="00B92215"/>
    <w:rsid w:val="00BB1674"/>
    <w:rsid w:val="00BE3AB2"/>
    <w:rsid w:val="00BF5A55"/>
    <w:rsid w:val="00C0109B"/>
    <w:rsid w:val="00C4349D"/>
    <w:rsid w:val="00C764B7"/>
    <w:rsid w:val="00CA5CDD"/>
    <w:rsid w:val="00CB413E"/>
    <w:rsid w:val="00CF2B4A"/>
    <w:rsid w:val="00CF43C0"/>
    <w:rsid w:val="00D22D4E"/>
    <w:rsid w:val="00D25FE6"/>
    <w:rsid w:val="00D40787"/>
    <w:rsid w:val="00D554C0"/>
    <w:rsid w:val="00D900EE"/>
    <w:rsid w:val="00DB1CA4"/>
    <w:rsid w:val="00DE410D"/>
    <w:rsid w:val="00E06CDC"/>
    <w:rsid w:val="00E17619"/>
    <w:rsid w:val="00E22081"/>
    <w:rsid w:val="00E27C34"/>
    <w:rsid w:val="00E36E62"/>
    <w:rsid w:val="00E543F3"/>
    <w:rsid w:val="00E65A6D"/>
    <w:rsid w:val="00EA5D87"/>
    <w:rsid w:val="00ED1C5D"/>
    <w:rsid w:val="00ED7FE6"/>
    <w:rsid w:val="00EE0120"/>
    <w:rsid w:val="00EE4D24"/>
    <w:rsid w:val="00F0381C"/>
    <w:rsid w:val="00F34893"/>
    <w:rsid w:val="00F350E7"/>
    <w:rsid w:val="00F44860"/>
    <w:rsid w:val="00F46973"/>
    <w:rsid w:val="00F61EE1"/>
    <w:rsid w:val="00F63BEA"/>
    <w:rsid w:val="00F70AE5"/>
    <w:rsid w:val="00F7280E"/>
    <w:rsid w:val="00F769EA"/>
    <w:rsid w:val="00F7709C"/>
    <w:rsid w:val="00FE4626"/>
    <w:rsid w:val="7FCD0D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34C760A"/>
  <w15:docId w15:val="{D1F4D7BB-B335-413B-B6D3-EF1591A31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link w:val="10"/>
    <w:uiPriority w:val="9"/>
    <w:qFormat/>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ind w:left="1260"/>
    </w:pPr>
  </w:style>
  <w:style w:type="paragraph" w:styleId="a3">
    <w:name w:val="Document Map"/>
    <w:basedOn w:val="a"/>
    <w:link w:val="a4"/>
    <w:uiPriority w:val="99"/>
    <w:semiHidden/>
    <w:unhideWhenUsed/>
    <w:qFormat/>
    <w:rPr>
      <w:sz w:val="24"/>
      <w:szCs w:val="24"/>
    </w:rPr>
  </w:style>
  <w:style w:type="paragraph" w:styleId="a5">
    <w:name w:val="annotation text"/>
    <w:basedOn w:val="a"/>
    <w:link w:val="a6"/>
    <w:uiPriority w:val="99"/>
    <w:semiHidden/>
    <w:unhideWhenUsed/>
    <w:qFormat/>
    <w:pPr>
      <w:jc w:val="left"/>
    </w:pPr>
  </w:style>
  <w:style w:type="paragraph" w:styleId="TOC5">
    <w:name w:val="toc 5"/>
    <w:basedOn w:val="a"/>
    <w:next w:val="a"/>
    <w:uiPriority w:val="39"/>
    <w:unhideWhenUsed/>
    <w:qFormat/>
    <w:pPr>
      <w:ind w:left="840"/>
    </w:pPr>
  </w:style>
  <w:style w:type="paragraph" w:styleId="TOC3">
    <w:name w:val="toc 3"/>
    <w:basedOn w:val="a"/>
    <w:next w:val="a"/>
    <w:uiPriority w:val="39"/>
    <w:unhideWhenUsed/>
    <w:qFormat/>
    <w:pPr>
      <w:ind w:left="420"/>
    </w:pPr>
  </w:style>
  <w:style w:type="paragraph" w:styleId="a7">
    <w:name w:val="Plain Text"/>
    <w:basedOn w:val="a"/>
    <w:link w:val="a8"/>
    <w:uiPriority w:val="99"/>
    <w:unhideWhenUsed/>
    <w:qFormat/>
    <w:rPr>
      <w:rFonts w:hAnsi="Courier New" w:cs="Courier New"/>
      <w:kern w:val="0"/>
      <w:sz w:val="20"/>
    </w:rPr>
  </w:style>
  <w:style w:type="paragraph" w:styleId="TOC8">
    <w:name w:val="toc 8"/>
    <w:basedOn w:val="a"/>
    <w:next w:val="a"/>
    <w:uiPriority w:val="39"/>
    <w:unhideWhenUsed/>
    <w:qFormat/>
    <w:pPr>
      <w:ind w:left="1470"/>
    </w:pPr>
  </w:style>
  <w:style w:type="paragraph" w:styleId="a9">
    <w:name w:val="endnote text"/>
    <w:basedOn w:val="a"/>
    <w:link w:val="aa"/>
    <w:uiPriority w:val="99"/>
    <w:semiHidden/>
    <w:unhideWhenUsed/>
    <w:qFormat/>
    <w:pPr>
      <w:snapToGrid w:val="0"/>
      <w:jc w:val="left"/>
    </w:pPr>
  </w:style>
  <w:style w:type="paragraph" w:styleId="ab">
    <w:name w:val="Balloon Text"/>
    <w:basedOn w:val="a"/>
    <w:link w:val="ac"/>
    <w:uiPriority w:val="99"/>
    <w:semiHidden/>
    <w:unhideWhenUsed/>
    <w:qFormat/>
    <w:rPr>
      <w:sz w:val="18"/>
      <w:szCs w:val="18"/>
    </w:rPr>
  </w:style>
  <w:style w:type="paragraph" w:styleId="ad">
    <w:name w:val="footer"/>
    <w:basedOn w:val="a"/>
    <w:link w:val="ae"/>
    <w:uiPriority w:val="99"/>
    <w:unhideWhenUsed/>
    <w:qFormat/>
    <w:pPr>
      <w:tabs>
        <w:tab w:val="clear" w:pos="420"/>
        <w:tab w:val="center" w:pos="4153"/>
        <w:tab w:val="right" w:pos="8306"/>
      </w:tabs>
      <w:snapToGrid w:val="0"/>
      <w:jc w:val="left"/>
    </w:pPr>
    <w:rPr>
      <w:sz w:val="18"/>
      <w:szCs w:val="18"/>
    </w:rPr>
  </w:style>
  <w:style w:type="paragraph" w:styleId="af">
    <w:name w:val="header"/>
    <w:basedOn w:val="a"/>
    <w:link w:val="af0"/>
    <w:uiPriority w:val="99"/>
    <w:unhideWhenUsed/>
    <w:qFormat/>
    <w:pPr>
      <w:pBdr>
        <w:bottom w:val="single" w:sz="6" w:space="1" w:color="auto"/>
      </w:pBdr>
      <w:tabs>
        <w:tab w:val="clear" w:pos="420"/>
        <w:tab w:val="center" w:pos="4153"/>
        <w:tab w:val="right" w:pos="8306"/>
      </w:tabs>
      <w:snapToGrid w:val="0"/>
      <w:jc w:val="center"/>
    </w:pPr>
    <w:rPr>
      <w:sz w:val="18"/>
      <w:szCs w:val="18"/>
    </w:rPr>
  </w:style>
  <w:style w:type="paragraph" w:styleId="TOC1">
    <w:name w:val="toc 1"/>
    <w:basedOn w:val="a"/>
    <w:next w:val="a"/>
    <w:uiPriority w:val="39"/>
    <w:unhideWhenUsed/>
    <w:qFormat/>
  </w:style>
  <w:style w:type="paragraph" w:styleId="TOC4">
    <w:name w:val="toc 4"/>
    <w:basedOn w:val="a"/>
    <w:next w:val="a"/>
    <w:uiPriority w:val="39"/>
    <w:unhideWhenUsed/>
    <w:qFormat/>
    <w:pPr>
      <w:ind w:left="630"/>
    </w:pPr>
  </w:style>
  <w:style w:type="paragraph" w:styleId="af1">
    <w:name w:val="footnote text"/>
    <w:basedOn w:val="a"/>
    <w:link w:val="af2"/>
    <w:semiHidden/>
    <w:unhideWhenUsed/>
    <w:qFormat/>
    <w:pPr>
      <w:snapToGrid w:val="0"/>
      <w:jc w:val="left"/>
    </w:pPr>
    <w:rPr>
      <w:sz w:val="18"/>
      <w:szCs w:val="18"/>
    </w:rPr>
  </w:style>
  <w:style w:type="paragraph" w:styleId="TOC6">
    <w:name w:val="toc 6"/>
    <w:basedOn w:val="a"/>
    <w:next w:val="a"/>
    <w:uiPriority w:val="39"/>
    <w:unhideWhenUsed/>
    <w:qFormat/>
    <w:pPr>
      <w:ind w:left="1050"/>
    </w:pPr>
  </w:style>
  <w:style w:type="paragraph" w:styleId="TOC2">
    <w:name w:val="toc 2"/>
    <w:basedOn w:val="a"/>
    <w:next w:val="a"/>
    <w:uiPriority w:val="39"/>
    <w:unhideWhenUsed/>
    <w:qFormat/>
    <w:pPr>
      <w:ind w:left="210"/>
    </w:pPr>
  </w:style>
  <w:style w:type="paragraph" w:styleId="TOC9">
    <w:name w:val="toc 9"/>
    <w:basedOn w:val="a"/>
    <w:next w:val="a"/>
    <w:uiPriority w:val="39"/>
    <w:unhideWhenUsed/>
    <w:qFormat/>
    <w:pPr>
      <w:ind w:left="1680"/>
    </w:pPr>
  </w:style>
  <w:style w:type="paragraph" w:styleId="HTML">
    <w:name w:val="HTML Preformatted"/>
    <w:basedOn w:val="a"/>
    <w:link w:val="HTML0"/>
    <w:uiPriority w:val="99"/>
    <w:semiHidden/>
    <w:unhideWhenUsed/>
    <w:qFormat/>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paragraph" w:styleId="af3">
    <w:name w:val="Normal (Web)"/>
    <w:basedOn w:val="a"/>
    <w:uiPriority w:val="99"/>
    <w:unhideWhenUsed/>
    <w:qFormat/>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pPr>
      <w:spacing w:before="240" w:after="60"/>
      <w:jc w:val="center"/>
      <w:outlineLvl w:val="0"/>
    </w:pPr>
    <w:rPr>
      <w:rFonts w:asciiTheme="majorHAnsi" w:eastAsiaTheme="majorEastAsia" w:hAnsiTheme="majorHAnsi" w:cstheme="majorBidi"/>
      <w:b/>
      <w:bCs/>
      <w:sz w:val="32"/>
      <w:szCs w:val="32"/>
    </w:rPr>
  </w:style>
  <w:style w:type="paragraph" w:styleId="af6">
    <w:name w:val="annotation subject"/>
    <w:basedOn w:val="a5"/>
    <w:next w:val="a5"/>
    <w:link w:val="af7"/>
    <w:uiPriority w:val="99"/>
    <w:semiHidden/>
    <w:unhideWhenUsed/>
    <w:qFormat/>
    <w:rPr>
      <w:b/>
      <w:bCs/>
    </w:rPr>
  </w:style>
  <w:style w:type="table" w:styleId="af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Pr>
      <w:b/>
      <w:bCs/>
    </w:rPr>
  </w:style>
  <w:style w:type="character" w:styleId="afa">
    <w:name w:val="endnote reference"/>
    <w:basedOn w:val="a0"/>
    <w:uiPriority w:val="99"/>
    <w:semiHidden/>
    <w:unhideWhenUsed/>
    <w:qFormat/>
    <w:rPr>
      <w:vertAlign w:val="superscript"/>
    </w:rPr>
  </w:style>
  <w:style w:type="character" w:styleId="afb">
    <w:name w:val="page number"/>
    <w:basedOn w:val="a0"/>
    <w:uiPriority w:val="99"/>
    <w:semiHidden/>
    <w:unhideWhenUsed/>
    <w:qFormat/>
  </w:style>
  <w:style w:type="character" w:styleId="afc">
    <w:name w:val="Emphasis"/>
    <w:basedOn w:val="a0"/>
    <w:uiPriority w:val="20"/>
    <w:qFormat/>
    <w:rPr>
      <w:i/>
      <w:iCs/>
    </w:rPr>
  </w:style>
  <w:style w:type="character" w:styleId="afd">
    <w:name w:val="Hyperlink"/>
    <w:basedOn w:val="a0"/>
    <w:uiPriority w:val="99"/>
    <w:unhideWhenUsed/>
    <w:qFormat/>
    <w:rPr>
      <w:color w:val="0563C1" w:themeColor="hyperlink"/>
      <w:u w:val="single"/>
    </w:rPr>
  </w:style>
  <w:style w:type="character" w:styleId="afe">
    <w:name w:val="annotation reference"/>
    <w:basedOn w:val="a0"/>
    <w:uiPriority w:val="99"/>
    <w:semiHidden/>
    <w:unhideWhenUsed/>
    <w:qFormat/>
    <w:rPr>
      <w:sz w:val="21"/>
      <w:szCs w:val="21"/>
    </w:rPr>
  </w:style>
  <w:style w:type="character" w:styleId="aff">
    <w:name w:val="footnote reference"/>
    <w:basedOn w:val="a0"/>
    <w:semiHidden/>
    <w:unhideWhenUsed/>
    <w:qFormat/>
    <w:rPr>
      <w:vertAlign w:val="superscript"/>
    </w:rPr>
  </w:style>
  <w:style w:type="character" w:customStyle="1" w:styleId="10">
    <w:name w:val="标题 1 字符"/>
    <w:basedOn w:val="a0"/>
    <w:link w:val="1"/>
    <w:uiPriority w:val="9"/>
    <w:qFormat/>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Pr>
      <w:rFonts w:ascii="宋体" w:eastAsia="汉仪大宋简" w:hAnsi="宋体" w:cs="宋体"/>
      <w:color w:val="000000" w:themeColor="text1"/>
      <w:sz w:val="26"/>
      <w:szCs w:val="21"/>
    </w:rPr>
  </w:style>
  <w:style w:type="character" w:customStyle="1" w:styleId="40">
    <w:name w:val="标题 4 字符"/>
    <w:basedOn w:val="a0"/>
    <w:link w:val="4"/>
    <w:uiPriority w:val="9"/>
    <w:qFormat/>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Pr>
      <w:rFonts w:ascii="宋体" w:eastAsia="汉仪中黑简" w:hAnsi="宋体" w:cs="宋体"/>
      <w:bCs/>
      <w:color w:val="000000" w:themeColor="text1"/>
      <w:szCs w:val="21"/>
    </w:rPr>
  </w:style>
  <w:style w:type="character" w:customStyle="1" w:styleId="a4">
    <w:name w:val="文档结构图 字符"/>
    <w:basedOn w:val="a0"/>
    <w:link w:val="a3"/>
    <w:uiPriority w:val="99"/>
    <w:semiHidden/>
    <w:qFormat/>
    <w:rPr>
      <w:rFonts w:ascii="宋体" w:eastAsia="汉仪书宋二简" w:hAnsi="宋体" w:cs="宋体"/>
      <w:color w:val="000000" w:themeColor="text1"/>
      <w:sz w:val="24"/>
      <w:szCs w:val="24"/>
    </w:rPr>
  </w:style>
  <w:style w:type="character" w:customStyle="1" w:styleId="a6">
    <w:name w:val="批注文字 字符"/>
    <w:basedOn w:val="a0"/>
    <w:link w:val="a5"/>
    <w:uiPriority w:val="99"/>
    <w:semiHidden/>
    <w:qFormat/>
    <w:rPr>
      <w:rFonts w:ascii="宋体" w:eastAsia="汉仪书宋二简" w:hAnsi="宋体" w:cs="宋体"/>
      <w:color w:val="000000" w:themeColor="text1"/>
      <w:szCs w:val="21"/>
    </w:rPr>
  </w:style>
  <w:style w:type="character" w:customStyle="1" w:styleId="a8">
    <w:name w:val="纯文本 字符"/>
    <w:basedOn w:val="a0"/>
    <w:link w:val="a7"/>
    <w:uiPriority w:val="99"/>
    <w:qFormat/>
    <w:rPr>
      <w:rFonts w:ascii="宋体" w:eastAsia="汉仪书宋二简" w:hAnsi="Courier New" w:cs="Courier New"/>
      <w:color w:val="000000" w:themeColor="text1"/>
      <w:kern w:val="0"/>
      <w:sz w:val="20"/>
      <w:szCs w:val="21"/>
    </w:rPr>
  </w:style>
  <w:style w:type="character" w:customStyle="1" w:styleId="aa">
    <w:name w:val="尾注文本 字符"/>
    <w:basedOn w:val="a0"/>
    <w:link w:val="a9"/>
    <w:uiPriority w:val="99"/>
    <w:semiHidden/>
    <w:qFormat/>
    <w:rPr>
      <w:rFonts w:ascii="宋体" w:eastAsia="汉仪书宋二简" w:hAnsi="宋体" w:cs="宋体"/>
      <w:color w:val="000000" w:themeColor="text1"/>
      <w:szCs w:val="21"/>
    </w:rPr>
  </w:style>
  <w:style w:type="character" w:customStyle="1" w:styleId="ac">
    <w:name w:val="批注框文本 字符"/>
    <w:basedOn w:val="a0"/>
    <w:link w:val="ab"/>
    <w:uiPriority w:val="99"/>
    <w:semiHidden/>
    <w:qFormat/>
    <w:rPr>
      <w:rFonts w:ascii="宋体" w:eastAsia="汉仪书宋二简" w:hAnsi="宋体" w:cs="宋体"/>
      <w:color w:val="000000" w:themeColor="text1"/>
      <w:sz w:val="18"/>
      <w:szCs w:val="18"/>
    </w:rPr>
  </w:style>
  <w:style w:type="character" w:customStyle="1" w:styleId="ae">
    <w:name w:val="页脚 字符"/>
    <w:basedOn w:val="a0"/>
    <w:link w:val="ad"/>
    <w:uiPriority w:val="99"/>
    <w:qFormat/>
    <w:rPr>
      <w:rFonts w:ascii="宋体" w:eastAsia="汉仪书宋二简" w:hAnsi="宋体" w:cs="宋体"/>
      <w:color w:val="000000" w:themeColor="text1"/>
      <w:sz w:val="18"/>
      <w:szCs w:val="18"/>
    </w:rPr>
  </w:style>
  <w:style w:type="character" w:customStyle="1" w:styleId="af0">
    <w:name w:val="页眉 字符"/>
    <w:basedOn w:val="a0"/>
    <w:link w:val="af"/>
    <w:uiPriority w:val="99"/>
    <w:qFormat/>
    <w:rPr>
      <w:rFonts w:ascii="宋体" w:eastAsia="汉仪书宋二简" w:hAnsi="宋体" w:cs="宋体"/>
      <w:color w:val="000000" w:themeColor="text1"/>
      <w:sz w:val="18"/>
      <w:szCs w:val="18"/>
    </w:rPr>
  </w:style>
  <w:style w:type="character" w:customStyle="1" w:styleId="af2">
    <w:name w:val="脚注文本 字符"/>
    <w:basedOn w:val="a0"/>
    <w:link w:val="af1"/>
    <w:semiHidden/>
    <w:qFormat/>
    <w:rPr>
      <w:rFonts w:ascii="宋体" w:eastAsia="汉仪书宋二简" w:hAnsi="宋体" w:cs="宋体"/>
      <w:color w:val="000000" w:themeColor="text1"/>
      <w:sz w:val="18"/>
      <w:szCs w:val="18"/>
    </w:rPr>
  </w:style>
  <w:style w:type="character" w:customStyle="1" w:styleId="HTML0">
    <w:name w:val="HTML 预设格式 字符"/>
    <w:basedOn w:val="a0"/>
    <w:link w:val="HTML"/>
    <w:uiPriority w:val="99"/>
    <w:semiHidden/>
    <w:qFormat/>
    <w:rPr>
      <w:rFonts w:ascii="Courier New" w:hAnsi="Courier New" w:cs="Courier New"/>
      <w:kern w:val="0"/>
      <w:sz w:val="20"/>
      <w:szCs w:val="20"/>
    </w:rPr>
  </w:style>
  <w:style w:type="character" w:customStyle="1" w:styleId="af5">
    <w:name w:val="标题 字符"/>
    <w:basedOn w:val="a0"/>
    <w:link w:val="af4"/>
    <w:uiPriority w:val="10"/>
    <w:qFormat/>
    <w:rPr>
      <w:rFonts w:asciiTheme="majorHAnsi" w:eastAsiaTheme="majorEastAsia" w:hAnsiTheme="majorHAnsi" w:cstheme="majorBidi"/>
      <w:b/>
      <w:bCs/>
      <w:color w:val="000000" w:themeColor="text1"/>
      <w:sz w:val="32"/>
      <w:szCs w:val="32"/>
    </w:rPr>
  </w:style>
  <w:style w:type="character" w:customStyle="1" w:styleId="af7">
    <w:name w:val="批注主题 字符"/>
    <w:basedOn w:val="a6"/>
    <w:link w:val="af6"/>
    <w:uiPriority w:val="99"/>
    <w:semiHidden/>
    <w:qFormat/>
    <w:rPr>
      <w:rFonts w:ascii="宋体" w:eastAsia="汉仪书宋二简" w:hAnsi="宋体" w:cs="宋体"/>
      <w:b/>
      <w:bCs/>
      <w:color w:val="000000" w:themeColor="text1"/>
      <w:szCs w:val="21"/>
    </w:rPr>
  </w:style>
  <w:style w:type="paragraph" w:styleId="aff0">
    <w:name w:val="List Paragraph"/>
    <w:basedOn w:val="a"/>
    <w:uiPriority w:val="34"/>
    <w:qFormat/>
    <w:pPr>
      <w:ind w:firstLine="420"/>
    </w:pPr>
  </w:style>
  <w:style w:type="table" w:customStyle="1" w:styleId="11">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pPr>
      <w:spacing w:line="384" w:lineRule="exact"/>
    </w:pPr>
    <w:rPr>
      <w:rFonts w:ascii="汉仪书宋二简" w:eastAsia="汉仪书宋二简" w:hAnsi="汉仪书宋二简" w:cs="汉仪书宋二简" w:hint="eastAsia"/>
      <w:b/>
      <w:color w:val="000000"/>
      <w:szCs w:val="21"/>
    </w:rPr>
  </w:style>
  <w:style w:type="paragraph" w:customStyle="1" w:styleId="21">
    <w:name w:val="导图正文2"/>
    <w:qFormat/>
    <w:pPr>
      <w:spacing w:line="384" w:lineRule="exact"/>
    </w:pPr>
    <w:rPr>
      <w:rFonts w:ascii="汉仪书宋二简" w:eastAsia="汉仪书宋二简" w:hAnsi="汉仪书宋二简" w:cs="汉仪书宋二简" w:hint="eastAsia"/>
      <w:color w:val="000000"/>
      <w:szCs w:val="21"/>
    </w:rPr>
  </w:style>
  <w:style w:type="paragraph" w:customStyle="1" w:styleId="14">
    <w:name w:val="修订1"/>
    <w:hidden/>
    <w:uiPriority w:val="99"/>
    <w:semiHidden/>
    <w:qFormat/>
    <w:rPr>
      <w:rFonts w:ascii="宋体" w:eastAsia="汉仪书宋二简" w:hAnsi="宋体" w:cs="宋体"/>
      <w:color w:val="000000" w:themeColor="text1"/>
      <w:kern w:val="2"/>
      <w:sz w:val="21"/>
      <w:szCs w:val="21"/>
    </w:rPr>
  </w:style>
  <w:style w:type="character" w:customStyle="1" w:styleId="apple-converted-space">
    <w:name w:val="apple-converted-space"/>
    <w:basedOn w:val="a0"/>
    <w:qFormat/>
  </w:style>
  <w:style w:type="table" w:customStyle="1" w:styleId="110">
    <w:name w:val="网格型1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pPr>
      <w:widowControl w:val="0"/>
      <w:jc w:val="both"/>
    </w:pPr>
    <w:rPr>
      <w:rFonts w:eastAsia="宋体"/>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437</TotalTime>
  <Pages>3</Pages>
  <Words>1704</Words>
  <Characters>1739</Characters>
  <Application>Microsoft Office Word</Application>
  <DocSecurity>0</DocSecurity>
  <Lines>66</Lines>
  <Paragraphs>76</Paragraphs>
  <ScaleCrop>false</ScaleCrop>
  <Company/>
  <LinksUpToDate>false</LinksUpToDate>
  <CharactersWithSpaces>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文琦</dc:creator>
  <cp:lastModifiedBy>文琦 刘</cp:lastModifiedBy>
  <cp:revision>139</cp:revision>
  <dcterms:created xsi:type="dcterms:W3CDTF">2023-04-28T20:19:00Z</dcterms:created>
  <dcterms:modified xsi:type="dcterms:W3CDTF">2026-04-12T10:06:00Z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2052-6.5.0.8619</vt:lpwstr>
  </property>
  <property fmtid="{D5CDD505-2E9C-101B-9397-08002B2CF9AE}" pid="3" name="ICV">
    <vt:lpwstr>F9E19448A5B3779FFE76F66795A1A56C_42</vt:lpwstr>
  </property>
</Properties>
</file>