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DBF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上节课重点内容回顾：</w:t>
      </w:r>
    </w:p>
    <w:p w14:paraId="221173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leftChars="0" w:firstLine="0" w:firstLineChars="0"/>
        <w:textAlignment w:val="auto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非法拘禁罪、绑架罪</w:t>
      </w:r>
    </w:p>
    <w:p w14:paraId="2B248D9A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0" w:name="_Toc219219911"/>
    </w:p>
    <w:p w14:paraId="5D02FDF4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考点26  拐卖、收买妇女、儿童类犯罪</w:t>
      </w:r>
      <w:bookmarkEnd w:id="0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14:47—15:08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408D1EC4">
      <w:pPr>
        <w:spacing w:after="0"/>
        <w:ind w:left="0" w:leftChars="0" w:firstLine="0" w:firstLineChars="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0E225A4">
      <w:pPr>
        <w:pStyle w:val="4"/>
        <w:spacing w:after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一、拐卖妇女、儿童罪（以“卖”为目的“拐”）；拐骗儿童罪</w:t>
      </w:r>
    </w:p>
    <w:p w14:paraId="3B74EC5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第240条【拐卖妇女、儿童罪】</w:t>
      </w:r>
    </w:p>
    <w:p w14:paraId="0F9B55F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1．实行行为（六种“拐”的行为之一）：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拐骗、绑架、收买、贩卖、接送、中转</w:t>
      </w:r>
    </w:p>
    <w:p w14:paraId="553CC8F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（1）行为人实施上述任一行为时，就是着手。</w:t>
      </w:r>
    </w:p>
    <w:p w14:paraId="17F620A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（2）强抢（抢劫、抢夺）行为，使妇女、儿童脱离家庭，也是拐卖行为（“拐骗”中“拐”的行为）。</w:t>
      </w:r>
    </w:p>
    <w:p w14:paraId="584F11E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（3）拐卖妇女、儿童罪，是单行为犯（“拐”的行为），既遂只要“拐”行为实施完毕，并不要求卖出。</w:t>
      </w:r>
    </w:p>
    <w:p w14:paraId="6C6F0BC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2．对象：妇女（已满14周岁的女性）、儿童（不满14周岁的女童、男童）。</w:t>
      </w:r>
    </w:p>
    <w:p w14:paraId="7B23E65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外国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妇女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和也是本罪对象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2B47E2E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以营利为目的出卖（“贩卖”）亲生子女，或者捡拾的婴幼儿，也认定为拐卖儿童罪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。不以营利为目的将亲生子女给他人，情节严重的构成遗弃罪。</w:t>
      </w:r>
    </w:p>
    <w:p w14:paraId="5C60ED3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（3）医疗机构、社会福利机构等单位的工作人员将所诊疗、护理、抚养的儿童贩卖给他人的，以拐卖儿童罪论处（自然人犯罪）。</w:t>
      </w:r>
    </w:p>
    <w:p w14:paraId="0D790B0F">
      <w:pPr>
        <w:autoSpaceDE w:val="0"/>
        <w:autoSpaceDN w:val="0"/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3．目的：以出卖为目的（只需“换钱”，无需“挣钱”）。“出卖”目的不等于“营利”目的。没有出卖目的，可能涉嫌非法拘禁罪、拐骗儿童罪。</w:t>
      </w:r>
    </w:p>
    <w:p w14:paraId="77A9FB23">
      <w:pPr>
        <w:autoSpaceDE w:val="0"/>
        <w:autoSpaceDN w:val="0"/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4．承诺</w:t>
      </w:r>
    </w:p>
    <w:p w14:paraId="4F1472D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儿童及儿童家属的承诺无效。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被拐卖的儿童或其家属对被拐卖的事实予以认同、承诺，不影响拐儿童罪的成立。</w:t>
      </w:r>
    </w:p>
    <w:p w14:paraId="5E87599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（2）被“拐卖”妇女如在拐卖之前，同意自己被“拐卖”，则行为人的行为难以成立“拐卖”行为，不能构成拐卖妇女罪。</w:t>
      </w:r>
    </w:p>
    <w:p w14:paraId="0984860B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C171077">
      <w:pPr>
        <w:pStyle w:val="4"/>
        <w:spacing w:after="0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二、收买被拐卖的妇女、儿童罪</w:t>
      </w:r>
    </w:p>
    <w:p w14:paraId="12280BC4">
      <w:pPr>
        <w:snapToGrid w:val="0"/>
        <w:spacing w:after="0"/>
        <w:ind w:firstLine="408"/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第241条【收买被拐卖的妇女、儿童罪】【强奸罪】【非法拘禁罪；故意伤害罪；侮辱罪】  </w:t>
      </w:r>
    </w:p>
    <w:p w14:paraId="3FBC2599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【拐卖妇女、儿童罪】【从轻、减轻条款】</w:t>
      </w:r>
    </w:p>
    <w:p w14:paraId="2FFB301B">
      <w:pPr>
        <w:snapToGrid w:val="0"/>
        <w:spacing w:after="0" w:line="200" w:lineRule="exact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2714743">
      <w:pPr>
        <w:snapToGrid w:val="0"/>
        <w:spacing w:after="0"/>
        <w:ind w:firstLine="0" w:firstLineChars="0"/>
        <w:jc w:val="center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罪数</w:t>
      </w:r>
    </w:p>
    <w:p w14:paraId="5EC7ABCE">
      <w:pPr>
        <w:snapToGrid w:val="0"/>
        <w:spacing w:after="0" w:line="200" w:lineRule="exact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15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90"/>
        <w:gridCol w:w="1984"/>
        <w:gridCol w:w="2131"/>
      </w:tblGrid>
      <w:tr w14:paraId="7B4FF9A5">
        <w:trPr>
          <w:jc w:val="center"/>
        </w:trPr>
        <w:tc>
          <w:tcPr>
            <w:tcW w:w="4390" w:type="dxa"/>
            <w:vAlign w:val="center"/>
          </w:tcPr>
          <w:p w14:paraId="2D16EF34">
            <w:pPr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情节</w:t>
            </w:r>
          </w:p>
        </w:tc>
        <w:tc>
          <w:tcPr>
            <w:tcW w:w="1984" w:type="dxa"/>
            <w:vAlign w:val="center"/>
          </w:tcPr>
          <w:p w14:paraId="63E370E9">
            <w:pPr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拐卖妇女、儿童罪+</w:t>
            </w:r>
          </w:p>
        </w:tc>
        <w:tc>
          <w:tcPr>
            <w:tcW w:w="2131" w:type="dxa"/>
            <w:vAlign w:val="center"/>
          </w:tcPr>
          <w:p w14:paraId="276F7E60">
            <w:pPr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收买被拐卖的妇女、儿童罪+</w:t>
            </w:r>
          </w:p>
        </w:tc>
      </w:tr>
      <w:tr w14:paraId="245EC558">
        <w:trPr>
          <w:jc w:val="center"/>
        </w:trPr>
        <w:tc>
          <w:tcPr>
            <w:tcW w:w="4390" w:type="dxa"/>
            <w:vAlign w:val="center"/>
          </w:tcPr>
          <w:p w14:paraId="462927CD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bookmarkStart w:id="1" w:name="_Hlk514048755"/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非法拘禁罪；强奸罪；（过失）致人重伤、死亡罪；引诱卖淫罪、强迫卖淫罪</w:t>
            </w:r>
          </w:p>
        </w:tc>
        <w:tc>
          <w:tcPr>
            <w:tcW w:w="1984" w:type="dxa"/>
            <w:vAlign w:val="center"/>
          </w:tcPr>
          <w:p w14:paraId="33E8BCD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拐卖一罪</w:t>
            </w:r>
          </w:p>
        </w:tc>
        <w:tc>
          <w:tcPr>
            <w:tcW w:w="2131" w:type="dxa"/>
            <w:vMerge w:val="restart"/>
            <w:vAlign w:val="center"/>
          </w:tcPr>
          <w:p w14:paraId="02A2388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数罪</w:t>
            </w:r>
          </w:p>
        </w:tc>
      </w:tr>
      <w:tr w14:paraId="189985AF">
        <w:trPr>
          <w:jc w:val="center"/>
        </w:trPr>
        <w:tc>
          <w:tcPr>
            <w:tcW w:w="4390" w:type="dxa"/>
            <w:vAlign w:val="center"/>
          </w:tcPr>
          <w:p w14:paraId="62C58CF2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故意伤害、杀害；绑架罪；侮辱；强制猥亵；</w:t>
            </w:r>
          </w:p>
          <w:p w14:paraId="4FBD17CC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组织乞讨、进行违反治安管理活动、妨害公务罪、聚众阻碍解救被收买的妇女、儿童</w:t>
            </w:r>
          </w:p>
        </w:tc>
        <w:tc>
          <w:tcPr>
            <w:tcW w:w="1984" w:type="dxa"/>
            <w:vAlign w:val="center"/>
          </w:tcPr>
          <w:p w14:paraId="2446DEE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数罪</w:t>
            </w:r>
          </w:p>
        </w:tc>
        <w:tc>
          <w:tcPr>
            <w:tcW w:w="2131" w:type="dxa"/>
            <w:vMerge w:val="continue"/>
            <w:vAlign w:val="center"/>
          </w:tcPr>
          <w:p w14:paraId="4DE30090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58FA3A08">
        <w:trPr>
          <w:jc w:val="center"/>
        </w:trPr>
        <w:tc>
          <w:tcPr>
            <w:tcW w:w="4390" w:type="dxa"/>
            <w:vAlign w:val="center"/>
          </w:tcPr>
          <w:p w14:paraId="54AA373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结合犯</w:t>
            </w:r>
          </w:p>
        </w:tc>
        <w:tc>
          <w:tcPr>
            <w:tcW w:w="4115" w:type="dxa"/>
            <w:gridSpan w:val="2"/>
            <w:vAlign w:val="center"/>
          </w:tcPr>
          <w:p w14:paraId="2115B62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收买+拐卖=拐卖</w:t>
            </w:r>
          </w:p>
        </w:tc>
      </w:tr>
      <w:bookmarkEnd w:id="1"/>
    </w:tbl>
    <w:p w14:paraId="4400C7BE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417D4A9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C48946F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2" w:name="_Toc21921991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考点27  刑讯逼供罪；暴力取证罪；</w:t>
      </w:r>
      <w:bookmarkEnd w:id="2"/>
      <w:bookmarkStart w:id="3" w:name="_Toc219219913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虐待被监管人罪</w:t>
      </w:r>
      <w:bookmarkEnd w:id="3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15:08—15:23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577322A4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D90D82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第247条【刑讯逼供罪；暴力取证罪】第248条【虐待被监管人罪】</w:t>
      </w:r>
    </w:p>
    <w:p w14:paraId="598CEFCC">
      <w:pPr>
        <w:snapToGrid w:val="0"/>
        <w:spacing w:after="0"/>
        <w:ind w:firstLine="42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注意：三罪名都为身份犯，无身份者可构成共犯。</w:t>
      </w:r>
    </w:p>
    <w:tbl>
      <w:tblPr>
        <w:tblStyle w:val="10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9"/>
        <w:gridCol w:w="834"/>
        <w:gridCol w:w="905"/>
        <w:gridCol w:w="1442"/>
        <w:gridCol w:w="2507"/>
        <w:gridCol w:w="700"/>
        <w:gridCol w:w="838"/>
      </w:tblGrid>
      <w:tr w14:paraId="33D98631">
        <w:trPr>
          <w:jc w:val="center"/>
        </w:trPr>
        <w:tc>
          <w:tcPr>
            <w:tcW w:w="1279" w:type="dxa"/>
            <w:vAlign w:val="center"/>
          </w:tcPr>
          <w:p w14:paraId="0ED8519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罪名</w:t>
            </w:r>
          </w:p>
        </w:tc>
        <w:tc>
          <w:tcPr>
            <w:tcW w:w="834" w:type="dxa"/>
            <w:vAlign w:val="center"/>
          </w:tcPr>
          <w:p w14:paraId="1BBF81C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主体</w:t>
            </w:r>
          </w:p>
        </w:tc>
        <w:tc>
          <w:tcPr>
            <w:tcW w:w="905" w:type="dxa"/>
            <w:vAlign w:val="center"/>
          </w:tcPr>
          <w:p w14:paraId="1CE15F7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时空</w:t>
            </w:r>
          </w:p>
        </w:tc>
        <w:tc>
          <w:tcPr>
            <w:tcW w:w="1442" w:type="dxa"/>
            <w:vAlign w:val="center"/>
          </w:tcPr>
          <w:p w14:paraId="0D1750D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对象</w:t>
            </w:r>
          </w:p>
        </w:tc>
        <w:tc>
          <w:tcPr>
            <w:tcW w:w="2507" w:type="dxa"/>
            <w:vAlign w:val="center"/>
          </w:tcPr>
          <w:p w14:paraId="5284F2F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手段</w:t>
            </w:r>
          </w:p>
        </w:tc>
        <w:tc>
          <w:tcPr>
            <w:tcW w:w="700" w:type="dxa"/>
            <w:vAlign w:val="center"/>
          </w:tcPr>
          <w:p w14:paraId="5169C3A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目的</w:t>
            </w:r>
          </w:p>
        </w:tc>
        <w:tc>
          <w:tcPr>
            <w:tcW w:w="838" w:type="dxa"/>
            <w:vAlign w:val="center"/>
          </w:tcPr>
          <w:p w14:paraId="6184846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转化犯</w:t>
            </w:r>
          </w:p>
        </w:tc>
      </w:tr>
      <w:tr w14:paraId="1303F7AE">
        <w:trPr>
          <w:jc w:val="center"/>
        </w:trPr>
        <w:tc>
          <w:tcPr>
            <w:tcW w:w="1279" w:type="dxa"/>
            <w:vAlign w:val="center"/>
          </w:tcPr>
          <w:p w14:paraId="3AFDE6E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刑讯逼供罪</w:t>
            </w:r>
          </w:p>
        </w:tc>
        <w:tc>
          <w:tcPr>
            <w:tcW w:w="834" w:type="dxa"/>
            <w:vMerge w:val="restart"/>
            <w:vAlign w:val="center"/>
          </w:tcPr>
          <w:p w14:paraId="39903BB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司法工作人员</w:t>
            </w:r>
          </w:p>
        </w:tc>
        <w:tc>
          <w:tcPr>
            <w:tcW w:w="905" w:type="dxa"/>
            <w:vAlign w:val="center"/>
          </w:tcPr>
          <w:p w14:paraId="6D4F580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刑事诉讼中</w:t>
            </w:r>
          </w:p>
        </w:tc>
        <w:tc>
          <w:tcPr>
            <w:tcW w:w="1442" w:type="dxa"/>
            <w:vAlign w:val="center"/>
          </w:tcPr>
          <w:p w14:paraId="17F11D7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犯罪嫌疑人、被告人</w:t>
            </w:r>
          </w:p>
        </w:tc>
        <w:tc>
          <w:tcPr>
            <w:tcW w:w="2507" w:type="dxa"/>
            <w:vAlign w:val="center"/>
          </w:tcPr>
          <w:p w14:paraId="18047A7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肉刑、变相肉刑</w:t>
            </w:r>
          </w:p>
        </w:tc>
        <w:tc>
          <w:tcPr>
            <w:tcW w:w="700" w:type="dxa"/>
            <w:vAlign w:val="center"/>
          </w:tcPr>
          <w:p w14:paraId="7EDAA9A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逼取口供</w:t>
            </w:r>
          </w:p>
        </w:tc>
        <w:tc>
          <w:tcPr>
            <w:tcW w:w="838" w:type="dxa"/>
            <w:vMerge w:val="restart"/>
            <w:vAlign w:val="center"/>
          </w:tcPr>
          <w:p w14:paraId="25AA582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致人伤残、死亡的，定故意伤害罪、故意杀人罪</w:t>
            </w:r>
          </w:p>
        </w:tc>
      </w:tr>
      <w:tr w14:paraId="2C74F8DA">
        <w:trPr>
          <w:jc w:val="center"/>
        </w:trPr>
        <w:tc>
          <w:tcPr>
            <w:tcW w:w="1279" w:type="dxa"/>
            <w:vAlign w:val="center"/>
          </w:tcPr>
          <w:p w14:paraId="1A41943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暴力取证罪</w:t>
            </w:r>
          </w:p>
        </w:tc>
        <w:tc>
          <w:tcPr>
            <w:tcW w:w="834" w:type="dxa"/>
            <w:vMerge w:val="continue"/>
            <w:vAlign w:val="center"/>
          </w:tcPr>
          <w:p w14:paraId="60DF0EA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905" w:type="dxa"/>
            <w:vAlign w:val="center"/>
          </w:tcPr>
          <w:p w14:paraId="68427B0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各种诉讼中</w:t>
            </w:r>
          </w:p>
        </w:tc>
        <w:tc>
          <w:tcPr>
            <w:tcW w:w="1442" w:type="dxa"/>
            <w:vAlign w:val="center"/>
          </w:tcPr>
          <w:p w14:paraId="5977A61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证人（包括被害人）</w:t>
            </w:r>
          </w:p>
        </w:tc>
        <w:tc>
          <w:tcPr>
            <w:tcW w:w="2507" w:type="dxa"/>
            <w:vAlign w:val="center"/>
          </w:tcPr>
          <w:p w14:paraId="5E2CCB8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暴力</w:t>
            </w:r>
          </w:p>
        </w:tc>
        <w:tc>
          <w:tcPr>
            <w:tcW w:w="700" w:type="dxa"/>
            <w:vAlign w:val="center"/>
          </w:tcPr>
          <w:p w14:paraId="7788D2D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逼取证言</w:t>
            </w:r>
          </w:p>
        </w:tc>
        <w:tc>
          <w:tcPr>
            <w:tcW w:w="838" w:type="dxa"/>
            <w:vMerge w:val="continue"/>
            <w:vAlign w:val="center"/>
          </w:tcPr>
          <w:p w14:paraId="570D189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</w:tr>
      <w:tr w14:paraId="6DD59489">
        <w:trPr>
          <w:jc w:val="center"/>
        </w:trPr>
        <w:tc>
          <w:tcPr>
            <w:tcW w:w="1279" w:type="dxa"/>
            <w:tcBorders>
              <w:bottom w:val="single" w:color="FF0000" w:sz="4" w:space="0"/>
            </w:tcBorders>
            <w:vAlign w:val="center"/>
          </w:tcPr>
          <w:p w14:paraId="1E7B8C2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虐待被监管人罪</w:t>
            </w:r>
          </w:p>
        </w:tc>
        <w:tc>
          <w:tcPr>
            <w:tcW w:w="834" w:type="dxa"/>
            <w:tcBorders>
              <w:bottom w:val="single" w:color="FF0000" w:sz="4" w:space="0"/>
            </w:tcBorders>
            <w:vAlign w:val="center"/>
          </w:tcPr>
          <w:p w14:paraId="04BD710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监管机构的监管人员</w:t>
            </w:r>
          </w:p>
        </w:tc>
        <w:tc>
          <w:tcPr>
            <w:tcW w:w="905" w:type="dxa"/>
            <w:tcBorders>
              <w:bottom w:val="single" w:color="FF0000" w:sz="4" w:space="0"/>
            </w:tcBorders>
            <w:vAlign w:val="center"/>
          </w:tcPr>
          <w:p w14:paraId="72A66C8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监管时</w:t>
            </w:r>
          </w:p>
        </w:tc>
        <w:tc>
          <w:tcPr>
            <w:tcW w:w="1442" w:type="dxa"/>
            <w:tcBorders>
              <w:bottom w:val="single" w:color="FF0000" w:sz="4" w:space="0"/>
            </w:tcBorders>
            <w:vAlign w:val="center"/>
          </w:tcPr>
          <w:p w14:paraId="759ED72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被监管人（刑事、行政监管）</w:t>
            </w:r>
          </w:p>
        </w:tc>
        <w:tc>
          <w:tcPr>
            <w:tcW w:w="2507" w:type="dxa"/>
            <w:tcBorders>
              <w:bottom w:val="single" w:color="FF0000" w:sz="4" w:space="0"/>
            </w:tcBorders>
            <w:vAlign w:val="center"/>
          </w:tcPr>
          <w:p w14:paraId="69B0D81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殴打或者体罚虐待；监管人员指使被监管人殴打或者体罚虐待其他被监管人（间接正犯+帮助犯）</w:t>
            </w:r>
          </w:p>
        </w:tc>
        <w:tc>
          <w:tcPr>
            <w:tcW w:w="700" w:type="dxa"/>
            <w:tcBorders>
              <w:bottom w:val="single" w:color="FF0000" w:sz="4" w:space="0"/>
            </w:tcBorders>
            <w:vAlign w:val="center"/>
          </w:tcPr>
          <w:p w14:paraId="405F045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838" w:type="dxa"/>
            <w:vMerge w:val="continue"/>
            <w:tcBorders>
              <w:bottom w:val="single" w:color="FF0000" w:sz="4" w:space="0"/>
            </w:tcBorders>
            <w:vAlign w:val="center"/>
          </w:tcPr>
          <w:p w14:paraId="1836152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</w:tr>
    </w:tbl>
    <w:p w14:paraId="6CE0FBA9">
      <w:pPr>
        <w:pStyle w:val="2"/>
        <w:spacing w:before="0" w:after="0" w:line="480" w:lineRule="exact"/>
        <w:jc w:val="both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4" w:name="_Toc219219914"/>
    </w:p>
    <w:p w14:paraId="57E83BAB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考点28  婚姻家庭犯罪</w:t>
      </w:r>
      <w:bookmarkEnd w:id="4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15:23—15:57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5C5EB4D5">
      <w:pPr>
        <w:spacing w:after="0"/>
        <w:ind w:left="0" w:leftChars="0" w:firstLine="0" w:firstLineChars="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84C3C54">
      <w:pPr>
        <w:pStyle w:val="4"/>
        <w:spacing w:after="0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一、虐待罪；虐待被监护、看护人罪；遗弃罪</w:t>
      </w:r>
    </w:p>
    <w:p w14:paraId="17BF8C6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第260条【虐待罪】第260条之一【虐待被监护、看护人罪】第261条【遗弃罪】</w:t>
      </w:r>
    </w:p>
    <w:tbl>
      <w:tblPr>
        <w:tblStyle w:val="10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2440"/>
        <w:gridCol w:w="2300"/>
        <w:gridCol w:w="3085"/>
      </w:tblGrid>
      <w:tr w14:paraId="27529593">
        <w:trPr>
          <w:jc w:val="center"/>
        </w:trPr>
        <w:tc>
          <w:tcPr>
            <w:tcW w:w="680" w:type="dxa"/>
            <w:vAlign w:val="center"/>
          </w:tcPr>
          <w:p w14:paraId="2A78EED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bookmarkStart w:id="5" w:name="_Hlk514048808"/>
          </w:p>
        </w:tc>
        <w:tc>
          <w:tcPr>
            <w:tcW w:w="2440" w:type="dxa"/>
            <w:vAlign w:val="center"/>
          </w:tcPr>
          <w:p w14:paraId="7C6F1E7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虐待罪</w:t>
            </w:r>
          </w:p>
        </w:tc>
        <w:tc>
          <w:tcPr>
            <w:tcW w:w="2300" w:type="dxa"/>
            <w:vAlign w:val="center"/>
          </w:tcPr>
          <w:p w14:paraId="4DEFD6A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虐待被监护、看护人罪</w:t>
            </w:r>
          </w:p>
        </w:tc>
        <w:tc>
          <w:tcPr>
            <w:tcW w:w="3085" w:type="dxa"/>
            <w:vAlign w:val="center"/>
          </w:tcPr>
          <w:p w14:paraId="050B8DF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遗弃罪（不作为犯）</w:t>
            </w:r>
          </w:p>
        </w:tc>
      </w:tr>
      <w:tr w14:paraId="533F1096">
        <w:trPr>
          <w:jc w:val="center"/>
        </w:trPr>
        <w:tc>
          <w:tcPr>
            <w:tcW w:w="680" w:type="dxa"/>
            <w:vMerge w:val="restart"/>
            <w:vAlign w:val="center"/>
          </w:tcPr>
          <w:p w14:paraId="2640F58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主体</w:t>
            </w:r>
          </w:p>
        </w:tc>
        <w:tc>
          <w:tcPr>
            <w:tcW w:w="2440" w:type="dxa"/>
            <w:vAlign w:val="center"/>
          </w:tcPr>
          <w:p w14:paraId="25172C2F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家庭成员</w:t>
            </w:r>
          </w:p>
        </w:tc>
        <w:tc>
          <w:tcPr>
            <w:tcW w:w="2300" w:type="dxa"/>
            <w:vAlign w:val="center"/>
          </w:tcPr>
          <w:p w14:paraId="0506C425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负有监护、看护职责的人</w:t>
            </w:r>
          </w:p>
        </w:tc>
        <w:tc>
          <w:tcPr>
            <w:tcW w:w="3085" w:type="dxa"/>
            <w:vAlign w:val="center"/>
          </w:tcPr>
          <w:p w14:paraId="6F9F7457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负有扶养义务的人（义务来源可根据刑法总论不作为犯的四种义务来源确定，不限于家庭成员）</w:t>
            </w:r>
          </w:p>
        </w:tc>
      </w:tr>
      <w:tr w14:paraId="41064B80">
        <w:trPr>
          <w:jc w:val="center"/>
        </w:trPr>
        <w:tc>
          <w:tcPr>
            <w:tcW w:w="680" w:type="dxa"/>
            <w:vMerge w:val="continue"/>
            <w:vAlign w:val="center"/>
          </w:tcPr>
          <w:p w14:paraId="356C226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440" w:type="dxa"/>
            <w:vAlign w:val="center"/>
          </w:tcPr>
          <w:p w14:paraId="106FE5E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自然人</w:t>
            </w:r>
          </w:p>
        </w:tc>
        <w:tc>
          <w:tcPr>
            <w:tcW w:w="2300" w:type="dxa"/>
            <w:vAlign w:val="center"/>
          </w:tcPr>
          <w:p w14:paraId="2FD4137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自然人，单位</w:t>
            </w:r>
          </w:p>
        </w:tc>
        <w:tc>
          <w:tcPr>
            <w:tcW w:w="3085" w:type="dxa"/>
            <w:vAlign w:val="center"/>
          </w:tcPr>
          <w:p w14:paraId="75FB33F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自然人</w:t>
            </w:r>
          </w:p>
        </w:tc>
      </w:tr>
      <w:tr w14:paraId="0F221973">
        <w:trPr>
          <w:jc w:val="center"/>
        </w:trPr>
        <w:tc>
          <w:tcPr>
            <w:tcW w:w="680" w:type="dxa"/>
            <w:vAlign w:val="center"/>
          </w:tcPr>
          <w:p w14:paraId="298B383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对象</w:t>
            </w:r>
          </w:p>
        </w:tc>
        <w:tc>
          <w:tcPr>
            <w:tcW w:w="2440" w:type="dxa"/>
            <w:vAlign w:val="center"/>
          </w:tcPr>
          <w:p w14:paraId="5CF8006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共同生活的家庭成员（包括事实婚姻家庭、实际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扶养关系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）</w:t>
            </w:r>
          </w:p>
        </w:tc>
        <w:tc>
          <w:tcPr>
            <w:tcW w:w="2300" w:type="dxa"/>
            <w:vAlign w:val="center"/>
          </w:tcPr>
          <w:p w14:paraId="31343D45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被监护、看护的未成年人、老年人、患病的人、残疾人等</w:t>
            </w:r>
          </w:p>
        </w:tc>
        <w:tc>
          <w:tcPr>
            <w:tcW w:w="3085" w:type="dxa"/>
            <w:vAlign w:val="center"/>
          </w:tcPr>
          <w:p w14:paraId="3C1F4F57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年老、年幼、患病或者其他没有独立生活能力的家庭成员；</w:t>
            </w:r>
          </w:p>
          <w:p w14:paraId="18339D3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以及其它被扶养人员，如养老院、孤儿院等</w:t>
            </w:r>
          </w:p>
        </w:tc>
      </w:tr>
      <w:tr w14:paraId="399EE748">
        <w:trPr>
          <w:jc w:val="center"/>
        </w:trPr>
        <w:tc>
          <w:tcPr>
            <w:tcW w:w="680" w:type="dxa"/>
            <w:vAlign w:val="center"/>
          </w:tcPr>
          <w:p w14:paraId="2A37108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</w:t>
            </w:r>
          </w:p>
        </w:tc>
        <w:tc>
          <w:tcPr>
            <w:tcW w:w="2440" w:type="dxa"/>
            <w:vAlign w:val="center"/>
          </w:tcPr>
          <w:p w14:paraId="1D826E1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肉体或精神虐待（长期性、轻伤以下）</w:t>
            </w:r>
          </w:p>
        </w:tc>
        <w:tc>
          <w:tcPr>
            <w:tcW w:w="2300" w:type="dxa"/>
            <w:vAlign w:val="center"/>
          </w:tcPr>
          <w:p w14:paraId="2FC5B6F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肉体或精神虐待</w:t>
            </w:r>
          </w:p>
        </w:tc>
        <w:tc>
          <w:tcPr>
            <w:tcW w:w="3085" w:type="dxa"/>
            <w:vAlign w:val="center"/>
          </w:tcPr>
          <w:p w14:paraId="4F097A1F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不作为：负有扶养义务而拒绝扶养</w:t>
            </w:r>
          </w:p>
        </w:tc>
      </w:tr>
      <w:tr w14:paraId="00BAC182">
        <w:trPr>
          <w:jc w:val="center"/>
        </w:trPr>
        <w:tc>
          <w:tcPr>
            <w:tcW w:w="680" w:type="dxa"/>
            <w:vAlign w:val="center"/>
          </w:tcPr>
          <w:p w14:paraId="201B7DD7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罪数</w:t>
            </w:r>
          </w:p>
        </w:tc>
        <w:tc>
          <w:tcPr>
            <w:tcW w:w="2440" w:type="dxa"/>
            <w:vAlign w:val="center"/>
          </w:tcPr>
          <w:p w14:paraId="59B75BEC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结果加重犯：（虐待行为）过失致人重伤、死亡。</w:t>
            </w:r>
          </w:p>
          <w:p w14:paraId="6A4E5D20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故意伤害、杀害，数罪并罚</w:t>
            </w:r>
          </w:p>
        </w:tc>
        <w:tc>
          <w:tcPr>
            <w:tcW w:w="2300" w:type="dxa"/>
            <w:vAlign w:val="center"/>
          </w:tcPr>
          <w:p w14:paraId="5B578025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想象竞合：同时触犯它罪，择一重处</w:t>
            </w:r>
          </w:p>
        </w:tc>
        <w:tc>
          <w:tcPr>
            <w:tcW w:w="3085" w:type="dxa"/>
            <w:vAlign w:val="center"/>
          </w:tcPr>
          <w:p w14:paraId="46DBFE6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想象竞合：遗弃致人死亡</w:t>
            </w:r>
          </w:p>
        </w:tc>
      </w:tr>
      <w:tr w14:paraId="258094A4">
        <w:trPr>
          <w:jc w:val="center"/>
        </w:trPr>
        <w:tc>
          <w:tcPr>
            <w:tcW w:w="680" w:type="dxa"/>
            <w:vAlign w:val="center"/>
          </w:tcPr>
          <w:p w14:paraId="179E4BC8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亲告</w:t>
            </w:r>
          </w:p>
          <w:p w14:paraId="2ECDE9F0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罪否</w:t>
            </w:r>
          </w:p>
        </w:tc>
        <w:tc>
          <w:tcPr>
            <w:tcW w:w="2440" w:type="dxa"/>
            <w:vAlign w:val="center"/>
          </w:tcPr>
          <w:p w14:paraId="2C94569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虐待罪一般是亲告罪。没能力、受强制、威吓的不是；加重犯的不是</w:t>
            </w:r>
          </w:p>
        </w:tc>
        <w:tc>
          <w:tcPr>
            <w:tcW w:w="2300" w:type="dxa"/>
            <w:vAlign w:val="center"/>
          </w:tcPr>
          <w:p w14:paraId="51CAE277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不是亲告罪</w:t>
            </w:r>
          </w:p>
        </w:tc>
        <w:tc>
          <w:tcPr>
            <w:tcW w:w="3085" w:type="dxa"/>
            <w:vAlign w:val="center"/>
          </w:tcPr>
          <w:p w14:paraId="6F5EDE3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不是亲告罪</w:t>
            </w:r>
          </w:p>
        </w:tc>
      </w:tr>
      <w:bookmarkEnd w:id="5"/>
    </w:tbl>
    <w:p w14:paraId="50D3205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E8C4507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二、重婚罪；破坏军婚罪</w:t>
      </w:r>
    </w:p>
    <w:p w14:paraId="1941E3E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第258条【重婚罪】第259条【破坏军婚罪】【强奸罪的提示条款】</w:t>
      </w:r>
    </w:p>
    <w:p w14:paraId="0FD1B26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重婚：登记婚+登记婚、登记婚+事实婚。重婚罪中有两个以上的婚姻：第一个婚姻是受刑法保护的婚姻，故须为合法婚姻（登记婚[法律婚]）；第二个婚姻是犯罪行为（重婚行为），并不要求一定是登记婚，既可以是登记婚，也可以是事实婚。即：登记婚+登记婚、登记婚+事实婚，后一行为均是重婚犯罪行为。司法解释规定：新的《婚姻登记管理条例》发布施行（1994 年2月1日）后，有配偶的人与他人以夫妻名义同居生活的，或者明知他人有配偶而与之以夫妻名义同居生活的，仍应按重婚罪定罪量刑。这里的事实婚，指以共同生活为目的，以夫妻名义长期同居生活。通奸、临时姘居，不属事实婚。</w:t>
      </w:r>
    </w:p>
    <w:p w14:paraId="7AB5A87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2．重婚罪与破坏军婚罪之间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法条竞合关系。</w:t>
      </w:r>
    </w:p>
    <w:p w14:paraId="58EF200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2DA210F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考点29  财产犯罪四步推理法；</w:t>
      </w:r>
      <w:bookmarkStart w:id="6" w:name="_Toc21921991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他人占有的财物；非法占有目的</w:t>
      </w:r>
      <w:bookmarkEnd w:id="6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16:10—17:30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0532F8D8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A95553C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一、侵犯财产罪的法益（财产权）</w:t>
      </w:r>
    </w:p>
    <w:p w14:paraId="6DF3A62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1．本章13个罪名，保护的具体法益各有不同。</w:t>
      </w:r>
    </w:p>
    <w:p w14:paraId="0BFB1A79">
      <w:pPr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42DB0F0">
      <w:pPr>
        <w:widowControl/>
        <w:snapToGrid w:val="0"/>
        <w:spacing w:after="62" w:afterLines="20"/>
        <w:ind w:firstLine="0" w:firstLineChars="0"/>
        <w:jc w:val="center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侵犯财产罪的法益（财产权）</w:t>
      </w:r>
    </w:p>
    <w:p w14:paraId="07E9AC93">
      <w:pPr>
        <w:spacing w:after="0" w:line="200" w:lineRule="exact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10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85" w:type="dxa"/>
          <w:bottom w:w="85" w:type="dxa"/>
          <w:right w:w="85" w:type="dxa"/>
        </w:tblCellMar>
      </w:tblPr>
      <w:tblGrid>
        <w:gridCol w:w="1109"/>
        <w:gridCol w:w="1814"/>
        <w:gridCol w:w="1750"/>
        <w:gridCol w:w="1276"/>
        <w:gridCol w:w="1276"/>
        <w:gridCol w:w="1280"/>
      </w:tblGrid>
      <w:tr w14:paraId="2E015A38">
        <w:trPr>
          <w:trHeight w:val="70" w:hRule="atLeast"/>
          <w:jc w:val="center"/>
        </w:trPr>
        <w:tc>
          <w:tcPr>
            <w:tcW w:w="8505" w:type="dxa"/>
            <w:gridSpan w:val="6"/>
            <w:vAlign w:val="center"/>
          </w:tcPr>
          <w:p w14:paraId="2A8E3E86">
            <w:pPr>
              <w:widowControl/>
              <w:snapToGrid w:val="0"/>
              <w:spacing w:before="62" w:beforeLines="20"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第五章  侵犯财产罪（13）</w:t>
            </w:r>
          </w:p>
        </w:tc>
      </w:tr>
      <w:tr w14:paraId="38088F2E">
        <w:trPr>
          <w:trHeight w:val="20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04EEF163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第270条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5DAF0AAD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侵占罪</w:t>
            </w:r>
          </w:p>
        </w:tc>
        <w:tc>
          <w:tcPr>
            <w:tcW w:w="1750" w:type="dxa"/>
            <w:vMerge w:val="restart"/>
            <w:vAlign w:val="center"/>
          </w:tcPr>
          <w:p w14:paraId="1F397307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所有权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79FEA7C2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第263条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3976C3F9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抢劫罪</w:t>
            </w:r>
          </w:p>
        </w:tc>
        <w:tc>
          <w:tcPr>
            <w:tcW w:w="1280" w:type="dxa"/>
            <w:vMerge w:val="restart"/>
            <w:vAlign w:val="center"/>
          </w:tcPr>
          <w:p w14:paraId="1C490319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效力更高的事实占有（6个转移占有的财产犯罪）</w:t>
            </w:r>
          </w:p>
        </w:tc>
      </w:tr>
      <w:tr w14:paraId="412E405F">
        <w:trPr>
          <w:trHeight w:val="113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3B699AEC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第271条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5D6926F3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职务侵占罪</w:t>
            </w:r>
          </w:p>
        </w:tc>
        <w:tc>
          <w:tcPr>
            <w:tcW w:w="1750" w:type="dxa"/>
            <w:vMerge w:val="continue"/>
            <w:vAlign w:val="center"/>
          </w:tcPr>
          <w:p w14:paraId="2608229A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21243E1F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第267条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066FEC61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抢夺罪</w:t>
            </w:r>
          </w:p>
        </w:tc>
        <w:tc>
          <w:tcPr>
            <w:tcW w:w="1280" w:type="dxa"/>
            <w:vMerge w:val="continue"/>
            <w:vAlign w:val="center"/>
          </w:tcPr>
          <w:p w14:paraId="0ECBF2CC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220AD7C">
        <w:trPr>
          <w:trHeight w:val="20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26684232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第272条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08C04F29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挪用资金罪</w:t>
            </w:r>
          </w:p>
        </w:tc>
        <w:tc>
          <w:tcPr>
            <w:tcW w:w="1750" w:type="dxa"/>
            <w:vAlign w:val="center"/>
          </w:tcPr>
          <w:p w14:paraId="54A986F3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占有、使用权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06AAF4D1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第268条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677EB5EA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聚众哄抢罪</w:t>
            </w:r>
          </w:p>
        </w:tc>
        <w:tc>
          <w:tcPr>
            <w:tcW w:w="1280" w:type="dxa"/>
            <w:vMerge w:val="continue"/>
            <w:vAlign w:val="center"/>
          </w:tcPr>
          <w:p w14:paraId="0315B07F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663DD3A3">
        <w:trPr>
          <w:trHeight w:val="78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6AAC5479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第273条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7031A269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挪用特定款物罪</w:t>
            </w:r>
          </w:p>
        </w:tc>
        <w:tc>
          <w:tcPr>
            <w:tcW w:w="1750" w:type="dxa"/>
            <w:vAlign w:val="center"/>
          </w:tcPr>
          <w:p w14:paraId="3B308B09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特定款物专用权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50529988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第274条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0BD8D844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敲诈勒索罪</w:t>
            </w:r>
          </w:p>
        </w:tc>
        <w:tc>
          <w:tcPr>
            <w:tcW w:w="1280" w:type="dxa"/>
            <w:vMerge w:val="continue"/>
            <w:vAlign w:val="center"/>
          </w:tcPr>
          <w:p w14:paraId="18ED64B9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65B6910B">
        <w:trPr>
          <w:trHeight w:val="170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6CED0A86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第275条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5CB9AF9D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故意毁坏财物罪</w:t>
            </w:r>
          </w:p>
        </w:tc>
        <w:tc>
          <w:tcPr>
            <w:tcW w:w="1750" w:type="dxa"/>
            <w:vAlign w:val="center"/>
          </w:tcPr>
          <w:p w14:paraId="5A92FA77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财物本身效能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539F9EAA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第266条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2D96CE21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诈骗罪</w:t>
            </w:r>
          </w:p>
        </w:tc>
        <w:tc>
          <w:tcPr>
            <w:tcW w:w="1280" w:type="dxa"/>
            <w:vMerge w:val="continue"/>
            <w:vAlign w:val="center"/>
          </w:tcPr>
          <w:p w14:paraId="0D6E90D2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0D7DA6A6">
        <w:trPr>
          <w:trHeight w:val="20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27E73B26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第276条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6CD4E6B6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破坏生产经营罪</w:t>
            </w:r>
          </w:p>
        </w:tc>
        <w:tc>
          <w:tcPr>
            <w:tcW w:w="1750" w:type="dxa"/>
            <w:vAlign w:val="center"/>
          </w:tcPr>
          <w:p w14:paraId="3EA3C004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正常生产权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2B0A2283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第264条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3EDAB2E3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盗窃罪</w:t>
            </w:r>
          </w:p>
        </w:tc>
        <w:tc>
          <w:tcPr>
            <w:tcW w:w="1280" w:type="dxa"/>
            <w:vMerge w:val="continue"/>
            <w:vAlign w:val="center"/>
          </w:tcPr>
          <w:p w14:paraId="670D8A40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71CBB39">
        <w:trPr>
          <w:trHeight w:val="19" w:hRule="atLeast"/>
          <w:jc w:val="center"/>
        </w:trPr>
        <w:tc>
          <w:tcPr>
            <w:tcW w:w="1109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286EE946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第276条之一</w:t>
            </w:r>
          </w:p>
        </w:tc>
        <w:tc>
          <w:tcPr>
            <w:tcW w:w="1814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41F7FA65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拒不支付劳动报酬罪</w:t>
            </w:r>
          </w:p>
        </w:tc>
        <w:tc>
          <w:tcPr>
            <w:tcW w:w="1750" w:type="dxa"/>
            <w:vAlign w:val="center"/>
          </w:tcPr>
          <w:p w14:paraId="614DD7F8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劳动报酬求偿权</w:t>
            </w: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026338CA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276" w:type="dxa"/>
            <w:tcMar>
              <w:top w:w="86" w:type="dxa"/>
              <w:left w:w="130" w:type="dxa"/>
              <w:bottom w:w="86" w:type="dxa"/>
              <w:right w:w="130" w:type="dxa"/>
            </w:tcMar>
            <w:vAlign w:val="center"/>
          </w:tcPr>
          <w:p w14:paraId="33863BE1">
            <w:pPr>
              <w:widowControl/>
              <w:snapToGrid w:val="0"/>
              <w:spacing w:after="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280" w:type="dxa"/>
            <w:vMerge w:val="continue"/>
            <w:vAlign w:val="center"/>
          </w:tcPr>
          <w:p w14:paraId="3FB3FDCF">
            <w:pPr>
              <w:widowControl/>
              <w:snapToGrid w:val="0"/>
              <w:spacing w:after="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</w:tbl>
    <w:p w14:paraId="24476F6C">
      <w:pPr>
        <w:snapToGrid w:val="0"/>
        <w:spacing w:after="0"/>
        <w:ind w:firstLine="422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color w:val="FF0000"/>
          <w:sz w:val="21"/>
          <w:szCs w:val="21"/>
          <w:lang w:val="en-US" w:eastAsia="zh-CN"/>
        </w:rPr>
        <w:t>重点：“三抢，两诈，一盗窃”</w:t>
      </w:r>
    </w:p>
    <w:p w14:paraId="638A437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2．对于6个转移占有型财产犯罪（抢劫罪、抢夺罪、聚众哄抢罪、敲诈勒索罪、诈骗罪、盗窃罪）保护的法益“效力更高的事实占有”的理解：被害人（原占有人）的占有效力，要高于行为人的占有。</w:t>
      </w:r>
    </w:p>
    <w:p w14:paraId="4A4C40F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（1）首先是事实占有，既包括合法占有（如所有权人合法占有），也包括非法占有（如非法占有赃物）。</w:t>
      </w:r>
    </w:p>
    <w:p w14:paraId="6A6632A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（2）其次占有者的占有相对于行为人的占有而言效力更高，则受保护。</w:t>
      </w:r>
    </w:p>
    <w:p w14:paraId="6DB21D7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（3）最后，所有权人的占有并不一定效力更高。</w:t>
      </w:r>
    </w:p>
    <w:p w14:paraId="76A9675A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BEEDC82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二、侵犯财产罪的对象（财物）</w:t>
      </w:r>
    </w:p>
    <w:p w14:paraId="758E47F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E6B6EF2">
      <w:pPr>
        <w:autoSpaceDE w:val="0"/>
        <w:autoSpaceDN w:val="0"/>
        <w:adjustRightInd w:val="0"/>
        <w:snapToGrid w:val="0"/>
        <w:spacing w:after="0"/>
        <w:ind w:firstLine="0" w:firstLineChars="0"/>
        <w:jc w:val="center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财产犯罪的对象：“财物”的形式</w:t>
      </w:r>
    </w:p>
    <w:p w14:paraId="2A8C3E5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16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6667"/>
      </w:tblGrid>
      <w:tr w14:paraId="2E03C36F">
        <w:trPr>
          <w:jc w:val="center"/>
        </w:trPr>
        <w:tc>
          <w:tcPr>
            <w:tcW w:w="1838" w:type="dxa"/>
            <w:vAlign w:val="center"/>
          </w:tcPr>
          <w:p w14:paraId="613F5B6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bookmarkStart w:id="7" w:name="_Hlk514048936"/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货币</w:t>
            </w:r>
          </w:p>
        </w:tc>
        <w:tc>
          <w:tcPr>
            <w:tcW w:w="6667" w:type="dxa"/>
            <w:vAlign w:val="center"/>
          </w:tcPr>
          <w:p w14:paraId="56A25E2D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流通货币（本币、外币无可）。国家发行的国库券、债券，也是财物</w:t>
            </w:r>
          </w:p>
        </w:tc>
      </w:tr>
      <w:tr w14:paraId="114360BC">
        <w:trPr>
          <w:jc w:val="center"/>
        </w:trPr>
        <w:tc>
          <w:tcPr>
            <w:tcW w:w="1838" w:type="dxa"/>
            <w:vAlign w:val="center"/>
          </w:tcPr>
          <w:p w14:paraId="616D400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物品</w:t>
            </w:r>
          </w:p>
        </w:tc>
        <w:tc>
          <w:tcPr>
            <w:tcW w:w="6667" w:type="dxa"/>
            <w:vAlign w:val="center"/>
          </w:tcPr>
          <w:p w14:paraId="373F44E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有价值、可控制。可包括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无形物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：电力、煤气、天然气等。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违禁品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（毒品、假币、淫秽物品等）：也是财物，以情节计</w:t>
            </w:r>
          </w:p>
        </w:tc>
      </w:tr>
      <w:tr w14:paraId="6B5425BE">
        <w:trPr>
          <w:jc w:val="center"/>
        </w:trPr>
        <w:tc>
          <w:tcPr>
            <w:tcW w:w="1838" w:type="dxa"/>
            <w:vAlign w:val="center"/>
          </w:tcPr>
          <w:p w14:paraId="60E2C7B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虚拟财物</w:t>
            </w:r>
          </w:p>
        </w:tc>
        <w:tc>
          <w:tcPr>
            <w:tcW w:w="6667" w:type="dxa"/>
            <w:vAlign w:val="center"/>
          </w:tcPr>
          <w:p w14:paraId="771492E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符合“有价值、可控制”的是财物（无形财物），如Q币、比特币、游戏装备等</w:t>
            </w:r>
          </w:p>
        </w:tc>
      </w:tr>
      <w:tr w14:paraId="1B51E528">
        <w:trPr>
          <w:jc w:val="center"/>
        </w:trPr>
        <w:tc>
          <w:tcPr>
            <w:tcW w:w="1838" w:type="dxa"/>
            <w:vMerge w:val="restart"/>
            <w:vAlign w:val="center"/>
          </w:tcPr>
          <w:p w14:paraId="1638E00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有价票证（财产凭证）：刑法有明文规定时才是财物</w:t>
            </w:r>
          </w:p>
        </w:tc>
        <w:tc>
          <w:tcPr>
            <w:tcW w:w="6667" w:type="dxa"/>
            <w:vAlign w:val="center"/>
          </w:tcPr>
          <w:p w14:paraId="1EF7966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不记名、不挂失的有价票证（如现金支票）：是财物。数额按票面数额（及可得收益）计</w:t>
            </w:r>
          </w:p>
        </w:tc>
      </w:tr>
      <w:tr w14:paraId="39C8B0CB">
        <w:trPr>
          <w:jc w:val="center"/>
        </w:trPr>
        <w:tc>
          <w:tcPr>
            <w:tcW w:w="1838" w:type="dxa"/>
            <w:vMerge w:val="continue"/>
            <w:vAlign w:val="center"/>
          </w:tcPr>
          <w:p w14:paraId="2FD0ED0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67" w:type="dxa"/>
            <w:vAlign w:val="center"/>
          </w:tcPr>
          <w:p w14:paraId="7D22C411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记名、可挂失的有价票证（如存折、存单）：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在盗窃、抢劫时是财物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。数额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按实际兑现数额计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兑现行为触犯它罪的系事后不可罚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）。在捡到时不是财物</w:t>
            </w:r>
          </w:p>
        </w:tc>
      </w:tr>
      <w:tr w14:paraId="299D0536">
        <w:trPr>
          <w:jc w:val="center"/>
        </w:trPr>
        <w:tc>
          <w:tcPr>
            <w:tcW w:w="1838" w:type="dxa"/>
            <w:vMerge w:val="continue"/>
            <w:vAlign w:val="center"/>
          </w:tcPr>
          <w:p w14:paraId="633335E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67" w:type="dxa"/>
            <w:vAlign w:val="center"/>
          </w:tcPr>
          <w:p w14:paraId="3EA70CA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信用卡：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在盗窃、抢劫时是财物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；在捡到、诈骗、抢夺等时不是财物</w:t>
            </w:r>
          </w:p>
        </w:tc>
      </w:tr>
      <w:tr w14:paraId="72ABC47F">
        <w:trPr>
          <w:jc w:val="center"/>
        </w:trPr>
        <w:tc>
          <w:tcPr>
            <w:tcW w:w="1838" w:type="dxa"/>
            <w:vMerge w:val="continue"/>
            <w:vAlign w:val="center"/>
          </w:tcPr>
          <w:p w14:paraId="07DDB85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67" w:type="dxa"/>
            <w:vAlign w:val="center"/>
          </w:tcPr>
          <w:p w14:paraId="5FF5C5A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欠条：通常不认为是财物，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在可消灭债权债务时是财产性利益</w:t>
            </w:r>
          </w:p>
        </w:tc>
      </w:tr>
      <w:tr w14:paraId="33127ED3">
        <w:trPr>
          <w:jc w:val="center"/>
        </w:trPr>
        <w:tc>
          <w:tcPr>
            <w:tcW w:w="1838" w:type="dxa"/>
            <w:vAlign w:val="center"/>
          </w:tcPr>
          <w:p w14:paraId="429E248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发票</w:t>
            </w:r>
          </w:p>
        </w:tc>
        <w:tc>
          <w:tcPr>
            <w:tcW w:w="6667" w:type="dxa"/>
            <w:vAlign w:val="center"/>
          </w:tcPr>
          <w:p w14:paraId="47EB907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增值税专用发票，可用于骗取出口退税、抵扣税款的其他发票，在抢劫、盗窃、诈骗是财物</w:t>
            </w:r>
          </w:p>
        </w:tc>
      </w:tr>
      <w:tr w14:paraId="6FE570AA">
        <w:trPr>
          <w:jc w:val="center"/>
        </w:trPr>
        <w:tc>
          <w:tcPr>
            <w:tcW w:w="1838" w:type="dxa"/>
            <w:vAlign w:val="center"/>
          </w:tcPr>
          <w:p w14:paraId="67982AB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财产性利益</w:t>
            </w:r>
          </w:p>
        </w:tc>
        <w:tc>
          <w:tcPr>
            <w:tcW w:w="6667" w:type="dxa"/>
            <w:vAlign w:val="center"/>
          </w:tcPr>
          <w:p w14:paraId="53AB5B9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可立即转移交付、使一方得利、一方受损的财产性利益，例如免除债务，是转移占有型犯罪的对象财物。仅仅只是延缓债权、侵犯返还权、请求权等，通说认为不构成转移占有型犯罪；但之后获取财物的行为可涉嫌犯罪</w:t>
            </w:r>
          </w:p>
        </w:tc>
      </w:tr>
      <w:tr w14:paraId="7DA5EC26">
        <w:trPr>
          <w:jc w:val="center"/>
        </w:trPr>
        <w:tc>
          <w:tcPr>
            <w:tcW w:w="8505" w:type="dxa"/>
            <w:gridSpan w:val="2"/>
            <w:vAlign w:val="center"/>
          </w:tcPr>
          <w:p w14:paraId="50202E8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价值极其低廉微薄的物品，例如一两张白纸、一小滴墨水等，不认为是我国刑法值得保护的财物</w:t>
            </w:r>
          </w:p>
        </w:tc>
      </w:tr>
      <w:bookmarkEnd w:id="7"/>
    </w:tbl>
    <w:p w14:paraId="6161585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879BFE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E8759EC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</w:rPr>
        <w:t>三、认定财产犯罪的基本步骤（“财产犯罪四步推理法”）</w:t>
      </w:r>
    </w:p>
    <w:p w14:paraId="506D2AD6">
      <w:pPr>
        <w:adjustRightInd w:val="0"/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17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 w14:paraId="2514D32D">
        <w:trPr>
          <w:jc w:val="center"/>
        </w:trPr>
        <w:tc>
          <w:tcPr>
            <w:tcW w:w="8505" w:type="dxa"/>
            <w:vAlign w:val="center"/>
          </w:tcPr>
          <w:p w14:paraId="07113F6B">
            <w:pPr>
              <w:adjustRightInd w:val="0"/>
              <w:snapToGrid w:val="0"/>
              <w:spacing w:before="31" w:beforeLines="10" w:after="62" w:afterLines="20" w:line="280" w:lineRule="exact"/>
              <w:ind w:firstLine="32" w:firstLineChars="15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1"/>
                <w:szCs w:val="21"/>
              </w:rPr>
              <w:t>先民后刑（适用于保护民法合法财产权案件）</w:t>
            </w:r>
          </w:p>
          <w:p w14:paraId="3BBAA006">
            <w:pPr>
              <w:adjustRightInd w:val="0"/>
              <w:snapToGrid w:val="0"/>
              <w:spacing w:before="31" w:beforeLines="10" w:after="62" w:afterLines="20" w:line="280" w:lineRule="exact"/>
              <w:ind w:firstLine="40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第一步，确定被害人[结合民法（所有权、占有权；交付、物权转移等）：行为之后谁受损？]</w:t>
            </w:r>
          </w:p>
          <w:p w14:paraId="0199C9D8">
            <w:pPr>
              <w:adjustRightInd w:val="0"/>
              <w:snapToGrid w:val="0"/>
              <w:spacing w:before="31" w:beforeLines="10" w:after="62" w:afterLines="20" w:line="280" w:lineRule="exact"/>
              <w:ind w:firstLine="40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第二步，确定犯罪对象[损失的是什么？]</w:t>
            </w:r>
          </w:p>
          <w:p w14:paraId="03E117C6">
            <w:pPr>
              <w:adjustRightInd w:val="0"/>
              <w:snapToGrid w:val="0"/>
              <w:spacing w:before="31" w:beforeLines="10" w:after="62" w:afterLines="20" w:line="280" w:lineRule="exact"/>
              <w:ind w:firstLine="40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第三步，确定行为前犯罪对象（财物）的占有状态[他人占有VS脱离他人占有？]</w:t>
            </w:r>
          </w:p>
          <w:p w14:paraId="6D59B22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40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第四步，确定转移占有的手段[非法VS合法；何种非法转移占有的手段？]</w:t>
            </w:r>
          </w:p>
        </w:tc>
      </w:tr>
    </w:tbl>
    <w:p w14:paraId="5CFC1E37">
      <w:pPr>
        <w:snapToGrid w:val="0"/>
        <w:spacing w:after="0"/>
        <w:ind w:left="0" w:leftChars="0" w:firstLine="0" w:firstLineChars="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拓展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 xml:space="preserve">手机主板案 </w:t>
      </w:r>
      <w:bookmarkStart w:id="17" w:name="_GoBack"/>
      <w:bookmarkEnd w:id="17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被害人：商家；犯罪对象：8万元；原占有人：商家；转移占有手段：诈骗。</w:t>
      </w:r>
    </w:p>
    <w:p w14:paraId="2AEFE358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F201652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四、6个转移占有型财产犯罪中的两个必要要素</w:t>
      </w:r>
    </w:p>
    <w:p w14:paraId="69F6230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1．他人占有的财物：事实上占有、观念上占有（原占有人占有效力更高）</w:t>
      </w:r>
    </w:p>
    <w:p w14:paraId="22A9B30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10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7"/>
        <w:gridCol w:w="3516"/>
        <w:gridCol w:w="3832"/>
      </w:tblGrid>
      <w:tr w14:paraId="22E9AF7D">
        <w:trPr>
          <w:jc w:val="center"/>
        </w:trPr>
        <w:tc>
          <w:tcPr>
            <w:tcW w:w="1157" w:type="dxa"/>
            <w:vMerge w:val="restart"/>
            <w:vAlign w:val="center"/>
          </w:tcPr>
          <w:p w14:paraId="63451EC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事实占有、观念上占有（8种情形）</w:t>
            </w:r>
          </w:p>
        </w:tc>
        <w:tc>
          <w:tcPr>
            <w:tcW w:w="3516" w:type="dxa"/>
            <w:vAlign w:val="center"/>
          </w:tcPr>
          <w:p w14:paraId="6DBB9ED3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他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人直接支配下的财物</w:t>
            </w:r>
          </w:p>
        </w:tc>
        <w:tc>
          <w:tcPr>
            <w:tcW w:w="3832" w:type="dxa"/>
            <w:vAlign w:val="center"/>
          </w:tcPr>
          <w:p w14:paraId="51C8E443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物主、管理人（原占有人）近在咫尺，或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他人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短暂离开，归其占有</w:t>
            </w:r>
          </w:p>
        </w:tc>
      </w:tr>
      <w:tr w14:paraId="161F7753">
        <w:trPr>
          <w:jc w:val="center"/>
        </w:trPr>
        <w:tc>
          <w:tcPr>
            <w:tcW w:w="1157" w:type="dxa"/>
            <w:vMerge w:val="continue"/>
            <w:vAlign w:val="center"/>
          </w:tcPr>
          <w:p w14:paraId="79FE1D6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24BA23AD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他人事实支配领域内的财物</w:t>
            </w:r>
          </w:p>
        </w:tc>
        <w:tc>
          <w:tcPr>
            <w:tcW w:w="3832" w:type="dxa"/>
            <w:vAlign w:val="center"/>
          </w:tcPr>
          <w:p w14:paraId="13F76D0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房子、家、办公室、宿舍</w:t>
            </w:r>
          </w:p>
        </w:tc>
      </w:tr>
      <w:tr w14:paraId="6EBA8BB6">
        <w:trPr>
          <w:jc w:val="center"/>
        </w:trPr>
        <w:tc>
          <w:tcPr>
            <w:tcW w:w="1157" w:type="dxa"/>
            <w:vMerge w:val="continue"/>
            <w:vAlign w:val="center"/>
          </w:tcPr>
          <w:p w14:paraId="5031585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1016A30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据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存在状态可以推知由他人事实支配</w:t>
            </w:r>
          </w:p>
        </w:tc>
        <w:tc>
          <w:tcPr>
            <w:tcW w:w="3832" w:type="dxa"/>
            <w:vAlign w:val="center"/>
          </w:tcPr>
          <w:p w14:paraId="4F78F778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路边汽车、自行车，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归车主占有</w:t>
            </w:r>
          </w:p>
        </w:tc>
      </w:tr>
      <w:tr w14:paraId="10D24BF7">
        <w:trPr>
          <w:jc w:val="center"/>
        </w:trPr>
        <w:tc>
          <w:tcPr>
            <w:tcW w:w="1157" w:type="dxa"/>
            <w:vMerge w:val="continue"/>
            <w:vAlign w:val="center"/>
          </w:tcPr>
          <w:p w14:paraId="058EAC2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4D6ED7FD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原占有者丧失了占有，但有临时占有者</w:t>
            </w:r>
          </w:p>
        </w:tc>
        <w:tc>
          <w:tcPr>
            <w:tcW w:w="3832" w:type="dxa"/>
            <w:vAlign w:val="center"/>
          </w:tcPr>
          <w:p w14:paraId="3060E8D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该财物被置于相对隔离的，处于归临时占有人事实支配领域内，归临时占有人占有</w:t>
            </w:r>
          </w:p>
        </w:tc>
      </w:tr>
      <w:tr w14:paraId="1F0F54FF">
        <w:trPr>
          <w:jc w:val="center"/>
        </w:trPr>
        <w:tc>
          <w:tcPr>
            <w:tcW w:w="1157" w:type="dxa"/>
            <w:vMerge w:val="continue"/>
            <w:vAlign w:val="center"/>
          </w:tcPr>
          <w:p w14:paraId="6EB908D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4B95E0B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委托人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委托受托人管理的封缄物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kern w:val="0"/>
                <w:sz w:val="21"/>
                <w:szCs w:val="21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未授权受托人占有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封缄物内财物</w:t>
            </w:r>
          </w:p>
        </w:tc>
        <w:tc>
          <w:tcPr>
            <w:tcW w:w="3832" w:type="dxa"/>
            <w:vAlign w:val="center"/>
          </w:tcPr>
          <w:p w14:paraId="4FDAFC5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受托人占有整体；封缄物内财物仍归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委托人（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原管理人）占有</w:t>
            </w:r>
          </w:p>
        </w:tc>
      </w:tr>
      <w:tr w14:paraId="653C2F96">
        <w:trPr>
          <w:jc w:val="center"/>
        </w:trPr>
        <w:tc>
          <w:tcPr>
            <w:tcW w:w="1157" w:type="dxa"/>
            <w:vMerge w:val="continue"/>
            <w:vAlign w:val="center"/>
          </w:tcPr>
          <w:p w14:paraId="2A3C87BD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6F3033FA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辅助占有人非独立性的占有管理财物，财物仍归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上位占有人占有</w:t>
            </w:r>
          </w:p>
        </w:tc>
        <w:tc>
          <w:tcPr>
            <w:tcW w:w="3832" w:type="dxa"/>
            <w:vAlign w:val="center"/>
          </w:tcPr>
          <w:p w14:paraId="2746E141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数人均占有，上位人占有效力更高</w:t>
            </w:r>
          </w:p>
        </w:tc>
      </w:tr>
      <w:tr w14:paraId="77F203DA">
        <w:trPr>
          <w:jc w:val="center"/>
        </w:trPr>
        <w:tc>
          <w:tcPr>
            <w:tcW w:w="1157" w:type="dxa"/>
            <w:vMerge w:val="continue"/>
            <w:vAlign w:val="center"/>
          </w:tcPr>
          <w:p w14:paraId="50FA7771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33C4FDB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存款的占有归银行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  <w:lang w:eastAsia="zh-CN"/>
              </w:rPr>
              <w:t>返还权归名义存款人</w:t>
            </w:r>
          </w:p>
        </w:tc>
        <w:tc>
          <w:tcPr>
            <w:tcW w:w="3832" w:type="dxa"/>
            <w:vAlign w:val="center"/>
          </w:tcPr>
          <w:p w14:paraId="27475E1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现金归银行占有，存款人占有财产凭证、债权</w:t>
            </w:r>
          </w:p>
        </w:tc>
      </w:tr>
      <w:tr w14:paraId="7294F0A0">
        <w:trPr>
          <w:jc w:val="center"/>
        </w:trPr>
        <w:tc>
          <w:tcPr>
            <w:tcW w:w="1157" w:type="dxa"/>
            <w:vMerge w:val="continue"/>
            <w:vAlign w:val="center"/>
          </w:tcPr>
          <w:p w14:paraId="1A8ABE6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516" w:type="dxa"/>
            <w:vAlign w:val="center"/>
          </w:tcPr>
          <w:p w14:paraId="57B83BB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死者的遗物；坟墓上祭葬品，坟墓里陪葬品</w:t>
            </w:r>
          </w:p>
        </w:tc>
        <w:tc>
          <w:tcPr>
            <w:tcW w:w="3832" w:type="dxa"/>
            <w:vAlign w:val="center"/>
          </w:tcPr>
          <w:p w14:paraId="51D8507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  <w:t>社会观念认为占有（通说）</w:t>
            </w:r>
          </w:p>
        </w:tc>
      </w:tr>
    </w:tbl>
    <w:p w14:paraId="56E017D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DFEAA2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存款等银行账户资金的权属、占有</w:t>
      </w:r>
    </w:p>
    <w:p w14:paraId="5DD1A1D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（1）通说</w:t>
      </w:r>
    </w:p>
    <w:p w14:paraId="4E3A4D4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从“实然”（现实状态）层面上讲，如果把存款（储蓄）合同（《民法典》没有明文规定）理解为种类物借贷合同或借用合同，则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存款人一旦将现金存入银行，就与银行形成了债权债务关系，存款人是债权人，银行是债务人。存折是债权凭证，而不是现金本身。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债权所指向的现金，实然状态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归银行占有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，而不是归存款人占有；但名义存款人享有相应数额的债权。亦即：现金归银行占有，存款人占有财产凭证、债权。</w:t>
      </w:r>
    </w:p>
    <w:p w14:paraId="2DB49CE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从“应然”层面上讲，银行账户资金的归属，存款资金的支付请求权，归于名义存款人。</w:t>
      </w:r>
    </w:p>
    <w:p w14:paraId="04F31AAA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（2）少数观点</w:t>
      </w:r>
    </w:p>
    <w:p w14:paraId="7968893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当然，少数观点将存款（储蓄）合同理解为保管合同，或者消费寄托（保管）合同，则应当认为存款（或对应数量资金）的所有权归名义存款人，而银行作为保管人仍对现金直接占有。</w:t>
      </w:r>
    </w:p>
    <w:p w14:paraId="271B111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“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掐卡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”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  <w:lang w:val="en-US" w:eastAsia="zh-CN"/>
        </w:rPr>
        <w:t>行为：持卡人将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占有的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  <w:lang w:val="en-US" w:eastAsia="zh-CN"/>
        </w:rPr>
        <w:t>名义存款人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所有的钱款侵吞，构成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侵占罪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546AF67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2．非法占有（所有）目的：以所有人自居而占有利用处分</w:t>
      </w:r>
    </w:p>
    <w:p w14:paraId="267D468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构成转移占有型财产犯罪，在责任（主观）方面都要求行为人具有非法占有目的，所谓非法占有目的，实际上就是非法所有目的意思，亦即，排除他人占有之后以所有人自居对财物进行占有、利用、处分的意思。</w:t>
      </w:r>
    </w:p>
    <w:p w14:paraId="2F06D3E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（1）排除意思：排除权利人，将他人的财物作为自己的财物进行支配。</w:t>
      </w:r>
    </w:p>
    <w:p w14:paraId="33FCF7C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（2）利用意思：遵从财物的用途进行占有、利用、处分的意思。</w:t>
      </w:r>
    </w:p>
    <w:p w14:paraId="0AB953A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一般情况下，根据非法转移占有的事实，以及利分、处分的事实，大体上就能推定出行为具有非法占有目的。但以下情形不认为具有非法占有目的：①欲图获取后立即毁坏（毁坏目的）；②欲图获取后再归还（不妨害使用）。</w:t>
      </w:r>
    </w:p>
    <w:p w14:paraId="0E431C24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8" w:name="_Toc219219920"/>
    </w:p>
    <w:p w14:paraId="0731A7B2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考点30  抢劫罪、抢夺罪</w:t>
      </w:r>
      <w:bookmarkEnd w:id="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17:30—18:08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16FB0200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562BF24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一、抢劫罪（4种抢劫）</w:t>
      </w:r>
    </w:p>
    <w:p w14:paraId="07D262F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第263条【普通抢劫】第267条第2款【携带凶器抢夺定抢劫罪】第269条【转化型抢劫】第289条【聚众打砸抢的首要分子】</w:t>
      </w:r>
    </w:p>
    <w:p w14:paraId="2D2AC9E3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（一）普通抢劫罪的构成：</w:t>
      </w:r>
      <w:bookmarkStart w:id="9" w:name="_Hlk516065925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利用对人暴力（威胁）劫夺财物</w:t>
      </w:r>
      <w:bookmarkEnd w:id="9"/>
    </w:p>
    <w:p w14:paraId="35C86B7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1．行为。以暴力、胁迫或者其他方法，强行夺取公私财物。抢劫罪是复行为犯，包括手段行为（暴力、胁迫+人身）与目的行为（当场劫夺+财物）。</w:t>
      </w:r>
    </w:p>
    <w:p w14:paraId="64CE91B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（1）手段行为：抢（对原占有人、共管人+人身暴力、威胁+当场）。使用暴力（如杀害、伤害）、胁迫（如以当场实施暴力相威胁）。暴力包括杀害，以劫财为目的而杀人，构成抢劫罪一罪（抢劫致人死亡）。</w:t>
      </w:r>
    </w:p>
    <w:p w14:paraId="63B8CDC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①人身暴力或胁迫：从生命到自由。抢的手段要求以对人身的暴力（杀害、伤害、性侵犯、剥夺人身自由、殴打、捆绑、控制人身、禁闭、麻醉、灌醉等使他人失去意识等），或者当场暴力胁迫，或者其他压制被害人反抗的方法为内容。</w:t>
      </w:r>
    </w:p>
    <w:p w14:paraId="43BB434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②当场。暴力、以暴力为内容的胁迫要求当场实施，这里“当场”的含义，是指使被害人感受到当场会受到暴力或人身威胁（暴力能够当场兑现），而并不要求行为人就在现场。</w:t>
      </w:r>
    </w:p>
    <w:p w14:paraId="712CD42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③暴力对象：财物的原占有人或共管人。暴力一般针对的是财物的直接占有人或持有人、有权处分人、辅助占有人，针对占有者的家人（包括有一定看守能力的儿童）以及其他具有财物共管关系的人，以及其他协助占有、管理财物的人使用暴力的，也构成抢劫。</w:t>
      </w:r>
    </w:p>
    <w:p w14:paraId="371F169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（2）结果行为：劫（对原占有人、共管人+强取财物+当场）。当场强取公私财物、违背物主意志转移占有。</w:t>
      </w:r>
    </w:p>
    <w:p w14:paraId="1875E8B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①取财行为与暴力行为有因果关系。转移占有系因之前的暴力、胁迫或者其他压制反抗的方法导致。因无因果，则不属抢劫既遂。</w:t>
      </w:r>
    </w:p>
    <w:p w14:paraId="05E096C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②双当场性。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即当场暴力、当场取财。对于“双当场性”不能狭隘理解，在被害人交付财物当时，对其人身暴力或威胁仍然同时存在，即认为具有双当场性；并不要求暴力、取财时空地点一致。</w:t>
      </w:r>
    </w:p>
    <w:p w14:paraId="1405D62C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③取财对象人：财物的原占有人或共管人。被实施暴力胁迫的人和交付财物的人，一般表现为同一人；特殊情况下表面上可以是不同的人，仍属原占有人或共管人整体即可。行为人对具有财产共管关系的一人实施暴力，强迫近旁的另外一人交财，时空间距很近，可视为是对整体财产管理人实施暴力，构成抢劫罪。</w:t>
      </w:r>
    </w:p>
    <w:p w14:paraId="3EF6031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对象。抢劫罪的对象是人身（暴力、胁迫的对象人）和财物（劫夺行为的对象物），是双重对象。作为抢劫对象的他人占有的财物，包括：货币、物品、有价值可控制的虚拟财物、有价票证、可转移占有的财产性利益等。</w:t>
      </w:r>
    </w:p>
    <w:p w14:paraId="1A4E875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3．责任（主观方面）：抢劫故意，以非法占有为目的。</w:t>
      </w:r>
    </w:p>
    <w:p w14:paraId="51AA51B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（1）根据同时性原则，要求实施暴力、威胁行为当时即有劫财的故意、非法占有目的。</w:t>
      </w:r>
    </w:p>
    <w:p w14:paraId="0E0CEBA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（2）行为人出于其他故意，于正在实施暴力、胁迫的过程中（暴力、胁迫没有结束时）产生夺取财物的意思，并当场劫取财物的，可成立抢劫罪（“借势抢劫”）。</w:t>
      </w:r>
    </w:p>
    <w:p w14:paraId="65238BA3">
      <w:pPr>
        <w:snapToGrid w:val="0"/>
        <w:spacing w:after="0"/>
        <w:ind w:firstLine="408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3"/>
          <w:sz w:val="21"/>
          <w:szCs w:val="21"/>
        </w:rPr>
        <w:t>（3）如果基于其他故意或目的实施暴力，之后在被害人不知情的情况下临时起意取财的，不构成抢劫罪，取财行为视情况认定为盗窃罪（如物品已不再归他人占有，则构成侵占罪）。</w:t>
      </w:r>
    </w:p>
    <w:p w14:paraId="1FB0DFD5">
      <w:pPr>
        <w:pStyle w:val="4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（二）转化型抢劫（事后抢劫）：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盗窃罪、诈骗罪、抢夺罪（不考虑数额、但要求实行）+当场暴力、威胁+三种目的（窝藏赃物、抗拒抓捕、毁灭罪证）=转化型抢劫罪</w:t>
      </w:r>
    </w:p>
    <w:p w14:paraId="72E8AE4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1．犯盗窃、诈骗、抢夺罪（事实前提，但非抢劫罪实行行为）</w:t>
      </w:r>
    </w:p>
    <w:p w14:paraId="6371CFA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（1）这里的“犯盗窃、诈骗、抢夺罪”，要求已经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着手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实施前述三种行为（正犯实施实行行为，或同时共犯实施帮助行为、教唆行为），并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不要求既遂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；只要正犯实施了实行行为即可。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仅实施预备行为的，不能转化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20370910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（2）并非一定要求达到数额较大、次数。未达到数额较大，但对于人身具有较大威胁的，也可转化为抢劫罪。</w:t>
      </w:r>
    </w:p>
    <w:p w14:paraId="7A637FC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（3）盗窃、诈骗、抢夺罪，包括该三罪的特别法条，例如盗伐林木、合同诈骗、抢夺枪支等，都可转化为抢劫罪。但不包括不针对财物的盗、骗、抢行为，例如盗窃、抢夺印章、国有档案的行为。</w:t>
      </w:r>
    </w:p>
    <w:p w14:paraId="5629F4B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4）已满14周岁不满16周岁的人，以及12～14周岁，因为不能承担“犯盗窃、诈骗、抢夺罪”的刑事责任，故其实施转化型抢劫行为，不构成抢劫罪，而以暴力行为追究刑事责任（故意杀人罪，故意伤害罪[重伤]）。</w:t>
      </w:r>
    </w:p>
    <w:p w14:paraId="229F1C2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2．当场使用暴力或者以暴力相威胁（实行行为）。</w:t>
      </w:r>
    </w:p>
    <w:p w14:paraId="4D08CD8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（1）当场性。</w:t>
      </w:r>
      <w:bookmarkStart w:id="10" w:name="_Hlk516065650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指在盗窃、诈骗、抢夺的现场，以及行为人刚离开现场即被他人发现并抓捕的情形。</w:t>
      </w:r>
      <w:bookmarkEnd w:id="10"/>
    </w:p>
    <w:p w14:paraId="72BFBAE4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</w:t>
      </w:r>
      <w:bookmarkStart w:id="11" w:name="_Hlk516065674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暴力、暴力威胁达到压制反抗的程度。①与普通抢劫中的暴力、暴力威胁相同，并不要求造成轻伤或实害结果。②对于一般地以摆脱的方式逃脱抓捕，暴力强度较小，可不认定为“使用暴力”；但造成轻伤以上后果的，可认为是“使用暴力”。</w:t>
      </w:r>
      <w:bookmarkEnd w:id="11"/>
    </w:p>
    <w:p w14:paraId="4071B9E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（3）暴力、暴力威胁的对象是他人。</w:t>
      </w:r>
      <w:bookmarkStart w:id="12" w:name="_Hlk516065732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①是他人而不是自己，对自己实施暴力不构成转化型抢劫。②他人包括财产原占有人、管理人，警察、路人等抓捕行为人的人，阻碍其实施犯罪的人等。③误将他人当作失主，以特定三种目的而实施暴力，也构成转化型抢劫（这与普通抢劫要求暴力对象人客观上是财物原占有人、共管人有所不同）。</w:t>
      </w:r>
      <w:bookmarkEnd w:id="12"/>
    </w:p>
    <w:p w14:paraId="2311556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三种目的：使用暴力或暴力威胁，目的是为窝藏赃物、抗拒抓捕或者毁灭罪证。</w:t>
      </w:r>
    </w:p>
    <w:p w14:paraId="056D6E2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4．转化型抢劫的共同犯罪</w:t>
      </w:r>
    </w:p>
    <w:p w14:paraId="36C3BE35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</w:t>
      </w:r>
      <w:bookmarkStart w:id="13" w:name="_Hlk516065819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共同实施盗窃、诈骗、抢夺而后转化的情形：对暴力、威胁要有共同行为、共同故意。</w:t>
      </w:r>
      <w:bookmarkEnd w:id="13"/>
    </w:p>
    <w:p w14:paraId="0E64C8A1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</w:t>
      </w:r>
      <w:bookmarkStart w:id="14" w:name="_Hlk516065830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继承的共同犯罪：在暴力、威胁行为终了前加入，有共同行为、共同故意。</w:t>
      </w:r>
      <w:bookmarkEnd w:id="14"/>
    </w:p>
    <w:p w14:paraId="5D2EB31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转化型抢劫的客观构成，可视为是两部分组成：</w:t>
      </w:r>
      <w:bookmarkStart w:id="15" w:name="_Hlk516065840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盗窃罪、诈骗罪、抢夺罪（事实前提）+暴力、威胁（实行行为）=抢劫罪</w:t>
      </w:r>
      <w:bookmarkEnd w:id="15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故而，如果先行为人构成转化型抢劫，而后行为人在先行为人实施事实前提（即盗窃、诈骗、抢夺）之后，在暴力、威胁行为未终了之前，以抢劫故意加入，实施另外暴力、威胁行为或部分行为的，可构成转化型抢劫罪的承继的共同犯罪。</w:t>
      </w:r>
      <w:bookmarkStart w:id="16" w:name="_Hlk516065877"/>
    </w:p>
    <w:bookmarkEnd w:id="16"/>
    <w:p w14:paraId="69697201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B6CCAD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3701BC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23701BC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7ADE4"/>
    <w:rsid w:val="0FCE3E83"/>
    <w:rsid w:val="2EF95DB9"/>
    <w:rsid w:val="2FBB2261"/>
    <w:rsid w:val="2FED692D"/>
    <w:rsid w:val="337F12D8"/>
    <w:rsid w:val="387C820D"/>
    <w:rsid w:val="3F7B5AA5"/>
    <w:rsid w:val="55F6BDAB"/>
    <w:rsid w:val="5BE9583E"/>
    <w:rsid w:val="5C3E71DB"/>
    <w:rsid w:val="5DFE33A7"/>
    <w:rsid w:val="5E5AD09E"/>
    <w:rsid w:val="5F0B7128"/>
    <w:rsid w:val="6F1ED001"/>
    <w:rsid w:val="77BB0925"/>
    <w:rsid w:val="799F5AB8"/>
    <w:rsid w:val="79FDC846"/>
    <w:rsid w:val="7DF92653"/>
    <w:rsid w:val="7EB92DC9"/>
    <w:rsid w:val="7EFD679B"/>
    <w:rsid w:val="7F7F2748"/>
    <w:rsid w:val="7FFF3A0D"/>
    <w:rsid w:val="7FFF59E6"/>
    <w:rsid w:val="89663F67"/>
    <w:rsid w:val="AFFFACBD"/>
    <w:rsid w:val="BB7FEAEE"/>
    <w:rsid w:val="BE1B9727"/>
    <w:rsid w:val="BFBFA005"/>
    <w:rsid w:val="CE7FF0E3"/>
    <w:rsid w:val="D2F2969A"/>
    <w:rsid w:val="DDE3A518"/>
    <w:rsid w:val="DDFBB733"/>
    <w:rsid w:val="DFF7ADE4"/>
    <w:rsid w:val="E7EFFF6E"/>
    <w:rsid w:val="EBED8024"/>
    <w:rsid w:val="ECFDB4A1"/>
    <w:rsid w:val="EEDC1A51"/>
    <w:rsid w:val="EFCDCC6C"/>
    <w:rsid w:val="EFFF3D00"/>
    <w:rsid w:val="F46D260A"/>
    <w:rsid w:val="F57B5DCA"/>
    <w:rsid w:val="F6B230E0"/>
    <w:rsid w:val="F77F4691"/>
    <w:rsid w:val="FDBF5A3F"/>
    <w:rsid w:val="FE7BDB29"/>
    <w:rsid w:val="FEFFE992"/>
    <w:rsid w:val="FF3D1F3D"/>
    <w:rsid w:val="FF779234"/>
    <w:rsid w:val="FFDF6A4C"/>
    <w:rsid w:val="FFF5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after="160"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12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footnote text"/>
    <w:basedOn w:val="1"/>
    <w:unhideWhenUsed/>
    <w:qFormat/>
    <w:uiPriority w:val="0"/>
    <w:pPr>
      <w:snapToGrid w:val="0"/>
      <w:jc w:val="left"/>
    </w:pPr>
    <w:rPr>
      <w:sz w:val="18"/>
      <w:szCs w:val="18"/>
    </w:rPr>
  </w:style>
  <w:style w:type="paragraph" w:styleId="9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table" w:styleId="11">
    <w:name w:val="Table Grid"/>
    <w:basedOn w:val="10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footnote reference"/>
    <w:basedOn w:val="12"/>
    <w:unhideWhenUsed/>
    <w:qFormat/>
    <w:uiPriority w:val="0"/>
    <w:rPr>
      <w:vertAlign w:val="superscript"/>
    </w:rPr>
  </w:style>
  <w:style w:type="paragraph" w:customStyle="1" w:styleId="14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5">
    <w:name w:val="网格型37"/>
    <w:basedOn w:val="10"/>
    <w:qFormat/>
    <w:uiPriority w:val="59"/>
    <w:rPr>
      <w:rFonts w:asciiTheme="minorHAnsi" w:hAnsiTheme="minorHAnsi"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6">
    <w:name w:val="网格型91"/>
    <w:basedOn w:val="10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7">
    <w:name w:val="网格型82"/>
    <w:basedOn w:val="10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8">
    <w:name w:val="网格型110"/>
    <w:basedOn w:val="10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9">
    <w:name w:val="网格型101"/>
    <w:basedOn w:val="10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280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2026-04-05T06:52:00Z</dcterms:created>
  <dc:creator>ANXIOUS  YZH</dc:creator>
  <cp:lastModifiedBy>ANXIOUS  YZH</cp:lastModifiedBy>
  <dcterms:modified xsi:type="dcterms:W3CDTF">2026-04-05T18:10:55Z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C2F3C7BEC413EB7EAF25D16928CCF713_41</vt:lpwstr>
  </property>
</Properties>
</file>