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2FCEFA6">
      <w:pPr>
        <w:pStyle w:val="2"/>
        <w:spacing w:before="0" w:after="0" w:line="480" w:lineRule="exact"/>
        <w:jc w:val="both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</w:p>
    <w:p w14:paraId="607C484F">
      <w:pPr>
        <w:ind w:left="0" w:leftChars="0" w:firstLine="0" w:firstLineChars="0"/>
        <w:jc w:val="center"/>
        <w:rPr>
          <w:rFonts w:hint="default" w:eastAsiaTheme="minorEastAsia"/>
          <w:b/>
          <w:bCs/>
          <w:color w:val="auto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  <w:lang w:val="en-US" w:eastAsia="zh-CN"/>
        </w:rPr>
        <w:t>考点12 罪数规则</w:t>
      </w:r>
    </w:p>
    <w:p w14:paraId="7486F110">
      <w:pPr>
        <w:pStyle w:val="4"/>
        <w:spacing w:after="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  <w:t>五、事后不可罚（事前不可罚）：同一对象、同一法益，前行为已作评价（禁止重复评价）</w:t>
      </w:r>
    </w:p>
    <w:p w14:paraId="77DAEAC5">
      <w:pPr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1．典型事例：以非法占有为目的盗窃汽车，用后又毁坏汽车。</w:t>
      </w:r>
    </w:p>
    <w:p w14:paraId="246D806E">
      <w:pPr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2．事后不可罚（不可罚的事后行为），指在状态犯的场合，利用之前犯罪行为导致的状态或结果的事后行为，如果孤立地看，符合其他犯罪的犯罪构成，具有可罚性；但由于已被之前犯罪行为或状态犯所包括评价，故对其实施的事后行为，没有必要另认定为其他犯罪单独予以处罚。</w:t>
      </w:r>
    </w:p>
    <w:p w14:paraId="48E90DFC">
      <w:pPr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3．事后不可罚是罪数问题，故而其成立前提是前后两个实行行为分别触犯不同罪名。如果只触犯一个罪名，就不会涉及罪数问题。</w:t>
      </w:r>
    </w:p>
    <w:p w14:paraId="2FCA51F7">
      <w:pPr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4．事后不可罚的本质：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禁止重复评价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。</w:t>
      </w:r>
    </w:p>
    <w:p w14:paraId="6E6F14D0">
      <w:pPr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  <w:lang w:val="en-US" w:eastAsia="zh-CN"/>
        </w:rPr>
        <w:t>5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．事后不可罚与吸收犯的关系：大部分重叠但并不相同</w:t>
      </w:r>
    </w:p>
    <w:p w14:paraId="367E5444">
      <w:pPr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（1）事后不可罚与吸收犯存在重叠。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例如，以非法手段取得违禁品后对违禁品的持有、使用行为，既是事后不可罚行为，也是吸收犯。</w:t>
      </w:r>
    </w:p>
    <w:p w14:paraId="27739357">
      <w:pPr>
        <w:adjustRightInd w:val="0"/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（2）但是，吸收犯的本质特征是“必经阶段、必然后果”。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例如盗窃后又毁坏所盗物品的情形，毁坏即不是“必经阶段、必然后果”，故属事后不可罚行为，而不是吸收犯。</w:t>
      </w:r>
    </w:p>
    <w:p w14:paraId="583B0179">
      <w:pPr>
        <w:adjustRightInd w:val="0"/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（3）此外，事后不可罚的本质是禁止重复评价“同一对象、同一法益，前行为已作评价”。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例如入户抢劫的情形，就是侵害了不同的法益，故属吸收犯，而不是事后不可罚行为。</w:t>
      </w:r>
    </w:p>
    <w:p w14:paraId="43577711">
      <w:pPr>
        <w:adjustRightInd w:val="0"/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</w:p>
    <w:p w14:paraId="10183648">
      <w:pPr>
        <w:pStyle w:val="2"/>
        <w:spacing w:before="0" w:after="0" w:line="480" w:lineRule="exact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bookmarkStart w:id="0" w:name="_Toc219219887"/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</w:rPr>
        <w:t xml:space="preserve">考点13  </w:t>
      </w: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</w:rPr>
        <w:t>刑法分则及解释规定的</w:t>
      </w:r>
      <w:bookmarkEnd w:id="0"/>
      <w:bookmarkStart w:id="1" w:name="_Toc219219888"/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</w:rPr>
        <w:t>常考罪数规则</w:t>
      </w:r>
      <w:bookmarkEnd w:id="1"/>
    </w:p>
    <w:p w14:paraId="0BE71185">
      <w:pPr>
        <w:spacing w:after="0"/>
        <w:ind w:firstLine="420"/>
        <w:jc w:val="left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</w:p>
    <w:p w14:paraId="50A97DF8">
      <w:pPr>
        <w:pStyle w:val="4"/>
        <w:spacing w:after="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bookmarkStart w:id="2" w:name="_Hlk28268774"/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  <w:t>一、以确定一罪处罚（法条强行规定，多为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kern w:val="0"/>
          <w:sz w:val="21"/>
          <w:szCs w:val="21"/>
        </w:rPr>
        <w:t>结合犯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  <w:t>或加重犯，12个变态规定）</w:t>
      </w:r>
      <w:bookmarkEnd w:id="2"/>
    </w:p>
    <w:p w14:paraId="1340D26B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1．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绑架罪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+故意杀人、伤害致死、重伤=绑架罪（加重犯）。犯绑架罪，杀害被绑架人的，或者故意伤害被绑架人，致人重伤、死亡的（之时、之中：法条竞合；之后：结合犯）：绑架罪（第239条）。</w:t>
      </w:r>
    </w:p>
    <w:p w14:paraId="38D50812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2．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抢劫罪、劫持航空器罪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+杀人、伤害手段=抢劫罪、劫持航空器罪（加重犯）。以杀人、伤害为手段抢劫（之时、之中）：抢劫罪（整体法与部分法的法条竞合）。以杀人、伤害为手段劫持航空器（之时、之中）：劫持航空器罪（整体法与部分法的法条竞合）。[对比：犯罪之后（绑架除外）+灭口而杀人=数罪并罚。]</w:t>
      </w:r>
    </w:p>
    <w:p w14:paraId="5FA37307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3．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拐卖罪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+强奸、引诱卖淫、强迫卖淫=拐卖罪（加重犯）。拐卖妇女、儿童中强奸、诱骗、强迫卖淫的：拐卖妇女、儿童罪（第240条第1款第3、4项）。[对比：收买罪+强奸罪=数罪并罚；对比：强迫卖淫、组织卖淫罪+强奸罪=数罪并罚]。记忆：拐卖是重罪，或包容强奸；收买的轻罪，啥都不包容。</w:t>
      </w:r>
    </w:p>
    <w:p w14:paraId="1C80C13E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4．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收买罪+拐卖罪=拐卖罪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。收买被拐卖的妇女、儿童后又出卖的：拐卖妇女、儿童罪（第241条第5款）。</w:t>
      </w:r>
    </w:p>
    <w:p w14:paraId="12821801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5．组织偷越罪+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非法拘禁罪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=组织偷越罪（加重犯）。组织偷越国（边）境中非法拘禁偷越人：组织偷越国（边）境罪（第318条第4项）。</w:t>
      </w:r>
    </w:p>
    <w:p w14:paraId="23DFA5D9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6．组织、运送偷越罪、毒品（四行为）+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妨害公务罪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=组织、运送偷越罪、毒品罪（加重犯）。组织、运送偷越国（边）境又暴力抗拒检查：组织、运送偷越国（边）境罪（第318条第5项）。走私、制造、贩卖、运输毒品又暴力抗拒检查：走私、制造、贩卖、运输毒品（第347条第2项）。[对比：走私犯罪（走私毒品除外）、伪劣商品犯罪、危险驾驶罪、污染环境罪、收买罪以及其它犯罪+妨害公务罪=数罪并罚。]</w:t>
      </w:r>
    </w:p>
    <w:p w14:paraId="55EA343F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7．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网络手段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+目的行为=目的行为罪。利用计算机手段（侵入、获取、控制、破坏…罪），实施目的行为（金融诈骗、盗窃、贪污、挪用公款、窃取国家秘密或者其他犯罪等），定目的罪名（第287条）。[对比：想象竞合，为违法犯罪设立网组、发布信息，构成非法利用…罪；帮助网络犯罪，构成帮助…罪；同时触犯它罪（开设赌场、组织卖淫、贩卖毒品等、共犯），择一重处]。</w:t>
      </w:r>
    </w:p>
    <w:p w14:paraId="14E33A7E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8．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抢夺罪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+过失致死、重伤=抢夺罪（情节加重犯）。抢夺公私财物，（过失）导致他人重伤、死亡的，导致他人自杀：抢夺罪（情节加重犯）。</w:t>
      </w:r>
    </w:p>
    <w:p w14:paraId="6C47B2F0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</w:p>
    <w:p w14:paraId="15A87FC0">
      <w:pPr>
        <w:pStyle w:val="4"/>
        <w:spacing w:after="0"/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  <w:t>二、</w:t>
      </w:r>
      <w:bookmarkStart w:id="3" w:name="_Hlk28268808"/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  <w:t>转化犯（实为想象竞合犯的提示规定）</w:t>
      </w:r>
    </w:p>
    <w:p w14:paraId="7C39A537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1．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非法拘禁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他人，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使用暴力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致人伤残、死亡的，以故意伤害罪、故意杀人罪论处（第238条）；</w:t>
      </w:r>
    </w:p>
    <w:p w14:paraId="4A841F39">
      <w:pPr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2．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刑讯逼供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致人伤残、死亡的，以故意伤害罪、故意杀人罪论处（第247条）；</w:t>
      </w:r>
    </w:p>
    <w:p w14:paraId="49AEAB71">
      <w:pPr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3．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暴力取证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致人伤残、死亡的，以故意伤害罪、故意杀人罪论处（第247条）；</w:t>
      </w:r>
    </w:p>
    <w:p w14:paraId="4CF3F0CE">
      <w:pPr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4．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虐待被监管人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致人伤残、死亡的，以故意伤害罪、故意杀人罪论处（第248条）；</w:t>
      </w:r>
    </w:p>
    <w:p w14:paraId="4569F81C">
      <w:pPr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5．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聚众斗殴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致人重伤、死亡的，以故意伤害罪、故意杀人罪论处（第292条）；</w:t>
      </w:r>
    </w:p>
    <w:p w14:paraId="0D602BE2">
      <w:pPr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6．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非法组织卖血、强迫卖血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，对他人造成伤害的，以故意伤害罪论处（第333条第2款）。</w:t>
      </w:r>
      <w:bookmarkEnd w:id="3"/>
    </w:p>
    <w:p w14:paraId="3D802B2F">
      <w:pPr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</w:p>
    <w:p w14:paraId="790578BF">
      <w:pPr>
        <w:pStyle w:val="4"/>
        <w:spacing w:after="0"/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  <w:t>三、事后不可罚的提示规定</w:t>
      </w:r>
    </w:p>
    <w:p w14:paraId="61F62CF3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1．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盗窃信用卡并使用：盗窃罪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（第196条第3款）（实为事后不可罚）。</w:t>
      </w:r>
    </w:p>
    <w:p w14:paraId="3C273FF8">
      <w:pPr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2．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商标犯罪：同宗商品事后不可罚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。实施假冒注册商标犯罪，又销售该假冒注册商标的商品，构成销售假冒注册商标的商品罪的，以假冒注册商标罪定罪处罚（事后不可罚）。（对比：实施假冒注册商标犯罪，又销售明知是他人的假冒注册商标的商品，构成销售假冒注册商标的商品罪的，应当实行数罪并罚。）</w:t>
      </w:r>
    </w:p>
    <w:p w14:paraId="48CDD0D4">
      <w:pPr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3．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著作权犯罪：同宗作品事后不可罚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。实施刑法侵犯著作权犯罪，又销售该侵权复制品，构成销售侵权复制品罪的，以侵犯著作权罪定罪处罚（事后不可罚）。（对比：实施侵犯著作权犯罪，又销售明知是他人的侵权复制品，构成销售侵权复制品罪的，应当实行数罪并罚。）</w:t>
      </w:r>
    </w:p>
    <w:p w14:paraId="1AD136A6">
      <w:pPr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</w:p>
    <w:p w14:paraId="672A4BC7">
      <w:pPr>
        <w:pStyle w:val="4"/>
        <w:spacing w:after="0"/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  <w:t>四、择一重罪（或从重）处断（大部分为想象竞合犯、法条竞合，常态）</w:t>
      </w:r>
    </w:p>
    <w:p w14:paraId="5CAA0A73">
      <w:pPr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1．采用破坏公共设施（电力设备、易燃易爆设备、交通设施）的手段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盗窃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，以及采用毁坏财物的手段盗窃，同时触犯数罪的，择一重罪处断（想象竞合）。［对比：盗窃此财物，毁坏彼财物的，数罪并罚。盗窃财物之后毁坏所盗窃财物的，按盗窃罪定罪（毁坏系事后不可罚的行为）。］</w:t>
      </w:r>
    </w:p>
    <w:p w14:paraId="025FD2F8">
      <w:pPr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2．生产销售假药、劣药、有毒有害食品、不符合安全标准的食品等，构成各罪；同时销售金额5万元以上（或货值金额15万元以上），构成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生产、销售伪劣产品罪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的。依照处罚较重的规定定罪处罚（法条竞合的特殊规定）（第149条）。</w:t>
      </w:r>
    </w:p>
    <w:p w14:paraId="312D2ADE">
      <w:pPr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3．实施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生产、销售伪劣商品犯罪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，同时构成侵犯知识产权、非法经营等其它犯罪的，依照处罚较重的规定定罪处罚（想象竞合）。</w:t>
      </w:r>
    </w:p>
    <w:p w14:paraId="2CD25806">
      <w:pPr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4．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绑架中当场抢劫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被害人随身携带的财物，依照处罚较重的规定定罪处罚（想象竞合）。（对比：如果两种性质不同的暴力可以区分开来，则数罪并罚）。</w:t>
      </w:r>
    </w:p>
    <w:p w14:paraId="1C87B2B4">
      <w:pPr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5．冒充国家机关工作人员进行诈骗，同时构成诈骗罪（数额较大）和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招摇撞骗罪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的，依照处罚较重的规定定罪处罚（重法与轻法的法条竞合［也有人认为是想象竞合］）。</w:t>
      </w:r>
    </w:p>
    <w:p w14:paraId="1CDF52AC">
      <w:pPr>
        <w:spacing w:after="0"/>
        <w:ind w:firstLine="0" w:firstLineChars="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★  6．司法工作人员收受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贿赂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，有三款行为（徇私枉法罪；民事、行政枉法裁判罪；执行裁判滥用职权罪）的，同时又构成徇私枉法罪，民事、行政枉法裁判罪，执行判决、裁定滥用职权罪的，依照处罚较重的规定定罪处罚（第399条第4款）。［对比：受贿后又实施三罪名之外的滥用职权罪的，数罪并罚］。</w:t>
      </w:r>
    </w:p>
    <w:p w14:paraId="3E735B90">
      <w:pPr>
        <w:spacing w:after="0"/>
        <w:ind w:firstLine="0" w:firstLineChars="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★  7．犯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准备实施恐怖活动罪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，同时构成其他犯罪的，依照处罚较重的规定定罪处罚（第120条之二第2款）。［对比：组织、领导、参加恐怖组织，又犯他罪的，数罪并罚］。</w:t>
      </w:r>
    </w:p>
    <w:p w14:paraId="6A8C7D4D">
      <w:pPr>
        <w:spacing w:after="0"/>
        <w:ind w:firstLine="0" w:firstLineChars="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★  8．犯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非法利用信息网络罪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，或者犯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帮助信息网络犯罪活动罪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，同时构成其他犯罪的，依照处罚较重的规定定罪处罚（第287条之一第3款、第287条之二第3款）。[对比：利用计算机手段（侵入、获取、控制、破坏…罪），实施目的行为（金融诈骗、盗窃、贪污、挪用公款、窃取国家秘密或者其他犯罪等），定目的罪名（第287条）。]</w:t>
      </w:r>
    </w:p>
    <w:p w14:paraId="2AAFD295">
      <w:pPr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9．择一重罪从重处罚：以捏造的事实提起民事诉讼（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虚假诉讼罪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），非法占有他人财产或者逃避合法债务，又构成其他犯罪的（诈骗罪、职务侵占罪、贪污罪），依照处罚较重的规定定罪从重处罚（第307条之一第3款）。</w:t>
      </w:r>
    </w:p>
    <w:p w14:paraId="362E6F47">
      <w:pPr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10．择一重罪从重处罚：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司法工作人员利用职权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，与他人共同（有共谋）实施虚假民事诉讼，触犯虚假诉讼罪，同时触犯它罪（如民事枉法裁判罪，诈骗罪、职务侵占罪、贪污罪的共犯），择一重罪从重处罚（第307条之一第4款）。</w:t>
      </w:r>
    </w:p>
    <w:p w14:paraId="35A2FBED">
      <w:pPr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</w:p>
    <w:p w14:paraId="48A7715D">
      <w:pPr>
        <w:pStyle w:val="4"/>
        <w:spacing w:after="0"/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  <w:t>五、数罪并罚（常态）</w:t>
      </w:r>
    </w:p>
    <w:p w14:paraId="5AB4D473">
      <w:pPr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1．抢劫、强奸、盗窃（绑架除外）等犯罪之后+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灭口而杀人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=数罪并罚。</w:t>
      </w:r>
    </w:p>
    <w:p w14:paraId="66472D8C">
      <w:pPr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2．收买罪、国边境犯罪、卖淫周边犯罪、绑架罪+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强奸罪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=数罪并罚。</w:t>
      </w:r>
    </w:p>
    <w:p w14:paraId="53AB31AB">
      <w:pPr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（1）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收买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被拐卖的妇女、儿童，又强奸、非法拘禁、伤害、侮辱，数罪并罚（第241条第4款）。（对比：拐卖的妇女、儿童，又强奸、非法拘禁的，定拐卖妇女、儿童罪一罪）。</w:t>
      </w:r>
    </w:p>
    <w:p w14:paraId="699D56D8">
      <w:pPr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（2）组织、运送偷越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国（边）境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，有杀害、伤害、强奸、拐卖，数罪并罚（第318条第2款）。</w:t>
      </w:r>
    </w:p>
    <w:p w14:paraId="5419819F">
      <w:pPr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（3）在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组织卖淫罪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、强迫卖淫中杀害、伤害、强奸、绑架，数罪并罚（第358条第3款）。</w:t>
      </w:r>
    </w:p>
    <w:p w14:paraId="718E92D7">
      <w:pPr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3．走私犯罪（走私毒品除外）、生产、销售伪劣商品犯罪、危险驾驶罪、污染环境罪、收买罪+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妨害公务罪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=数罪并罚。</w:t>
      </w:r>
    </w:p>
    <w:p w14:paraId="05A43965">
      <w:pPr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4．组织、领导、参加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恐怖组织（以及黑社会性质组织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），又实施杀人、爆炸、绑架等犯罪，数罪并罚（第120条第2款）。</w:t>
      </w:r>
    </w:p>
    <w:p w14:paraId="083A91C4">
      <w:pPr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5．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保险诈骗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中，杀人、伤害、毁财等，数罪并罚（第198条第2款）。</w:t>
      </w:r>
    </w:p>
    <w:p w14:paraId="49F6B6E9">
      <w:pPr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6．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挪用公款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用于非法活动又构成它罪的，数罪并罚。</w:t>
      </w:r>
    </w:p>
    <w:p w14:paraId="18D3F704">
      <w:pPr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7．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受贿后又滥用职权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，除三种情况外，都数罪并罚。国家机关工作人员实施渎职犯罪并收受贿赂，同时构成受贿罪的，除刑法另有规定外（徇私枉法罪，民事、行政枉法裁判罪，执行判决、裁定滥用职权罪），以渎职犯罪和受贿罪数罪并罚。</w:t>
      </w:r>
    </w:p>
    <w:p w14:paraId="16B81D49">
      <w:pPr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8．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受贿后挪用公款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，数罪并罚。[对比：挪用公款生息后私吞利息，定挪用公款罪一罪]。</w:t>
      </w:r>
    </w:p>
    <w:p w14:paraId="30484247">
      <w:pPr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9．行贿人谋取不正当利益的行为构成犯罪的，应当与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行贿犯罪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实行数罪并罚。</w:t>
      </w:r>
    </w:p>
    <w:p w14:paraId="5F235F94">
      <w:pPr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10．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假币犯罪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之③：出售、运输假币，同时又使用的，数罪并罚。</w:t>
      </w:r>
    </w:p>
    <w:p w14:paraId="6B169D09">
      <w:pPr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11．同时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走私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多种不同类物品的（均有故意），数罪并罚。</w:t>
      </w:r>
    </w:p>
    <w:p w14:paraId="5D934E2A">
      <w:pPr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12．纳税人缴纳税款后，又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骗取出口退税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，骗取税款超过所缴纳的税款的，以逃税罪、骗取出口退税罪数罪并罚（第204条第2款）。</w:t>
      </w:r>
    </w:p>
    <w:p w14:paraId="53A7B9C5">
      <w:pPr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13．组织、领导、参加黑社会性质的组织，或者境外的黑社会组织的人员到中国境内发展组织成员（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组织、领导、参加黑社会性质组织罪，入境发展黑社会组织罪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），又有其他犯罪行为的，数罪并罚（第394条第3款）。</w:t>
      </w:r>
    </w:p>
    <w:p w14:paraId="4AC7BA39">
      <w:pPr>
        <w:pStyle w:val="2"/>
        <w:spacing w:before="0" w:after="0" w:line="480" w:lineRule="exact"/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</w:rPr>
      </w:pPr>
      <w:bookmarkStart w:id="4" w:name="_Toc219219890"/>
    </w:p>
    <w:p w14:paraId="28BCD798">
      <w:pPr>
        <w:pStyle w:val="2"/>
        <w:spacing w:before="0" w:after="0" w:line="480" w:lineRule="exact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</w:rPr>
        <w:t xml:space="preserve">考点14  </w:t>
      </w: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</w:rPr>
        <w:t>罪名之间的法条竞合</w:t>
      </w:r>
      <w:bookmarkEnd w:id="4"/>
    </w:p>
    <w:p w14:paraId="4C320A41">
      <w:pPr>
        <w:snapToGrid w:val="0"/>
        <w:spacing w:after="0"/>
        <w:ind w:left="0" w:leftChars="0" w:firstLine="0" w:firstLineChars="0"/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</w:pPr>
    </w:p>
    <w:p w14:paraId="36C02E97">
      <w:pPr>
        <w:pStyle w:val="4"/>
        <w:spacing w:after="0"/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  <w:t>一、法条竞合关系及形成原理</w:t>
      </w:r>
    </w:p>
    <w:p w14:paraId="05C81B92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1．法条明文规定和提示存在法条竞合关系</w:t>
      </w:r>
    </w:p>
    <w:p w14:paraId="3DCFE11B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第224条【合同诈骗罪】 第266条【诈骗罪】 第233条【过失致人死亡罪】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 xml:space="preserve"> 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第235条【过失致人重伤罪】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 xml:space="preserve"> 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第234条【故意伤害罪】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 xml:space="preserve"> 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 xml:space="preserve">第397条【滥用职权罪；玩忽职守罪】 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 xml:space="preserve"> </w:t>
      </w:r>
    </w:p>
    <w:p w14:paraId="398D36CB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</w:rPr>
        <w:t>2．根据法条规定推理存在法条竞合关系（交叠关系）</w:t>
      </w:r>
    </w:p>
    <w:p w14:paraId="55B84611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第二百六十四条【盗窃罪】 第一百二十七条【盗窃、抢夺枪支、弹药、爆炸物、危险物质罪、抢劫枪支、弹药、爆炸物、危险物质罪】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 xml:space="preserve"> </w:t>
      </w:r>
    </w:p>
    <w:p w14:paraId="4EB6DC07">
      <w:pPr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</w:p>
    <w:p w14:paraId="72EE7864">
      <w:pPr>
        <w:pStyle w:val="4"/>
        <w:spacing w:after="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  <w:t>二、法条竞合的种类</w:t>
      </w:r>
    </w:p>
    <w:p w14:paraId="418D79DB">
      <w:pPr>
        <w:pStyle w:val="5"/>
        <w:spacing w:after="0"/>
        <w:ind w:firstLine="252" w:firstLineChars="1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（一）特别法与一般法的竞合：特别法优于一般法</w:t>
      </w:r>
    </w:p>
    <w:p w14:paraId="27EA2566">
      <w:pPr>
        <w:snapToGrid w:val="0"/>
        <w:spacing w:after="0"/>
        <w:ind w:firstLine="412"/>
        <w:rPr>
          <w:rFonts w:hint="eastAsia" w:asciiTheme="minorEastAsia" w:hAnsiTheme="minorEastAsia" w:eastAsiaTheme="minorEastAsia" w:cstheme="minorEastAsia"/>
          <w:color w:val="auto"/>
          <w:spacing w:val="-2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pacing w:val="-2"/>
          <w:kern w:val="0"/>
          <w:sz w:val="21"/>
          <w:szCs w:val="21"/>
        </w:rPr>
        <w:t>一般法指适用一般情况的罪名条款，特别法指适用于特别情况（例如对象、手段、行为手段特殊）的罪名条款。</w:t>
      </w:r>
    </w:p>
    <w:p w14:paraId="6EBE5F54">
      <w:pPr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当特别法与一般法的竞合时，一般适用特别法优于一般法的处理原则，以特别法定罪。但是，如果刑法有特别规定则依其规定。</w:t>
      </w:r>
    </w:p>
    <w:p w14:paraId="185C12D4">
      <w:pPr>
        <w:pStyle w:val="5"/>
        <w:spacing w:after="0"/>
        <w:ind w:firstLine="252" w:firstLineChars="1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（二）整体法与部分法的竞合：整体法优于部分法</w:t>
      </w:r>
    </w:p>
    <w:p w14:paraId="15E722F8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当一个罪名是另一个罪名的组成部分时，就形成了整体法与部分法的竞合。</w:t>
      </w:r>
    </w:p>
    <w:p w14:paraId="5F35359F">
      <w:pPr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当一个行为触犯整体法与部分法时，应适用整体法优于部分法的原则，以整体法定罪。</w:t>
      </w:r>
    </w:p>
    <w:p w14:paraId="15373C2F">
      <w:pPr>
        <w:pStyle w:val="5"/>
        <w:spacing w:after="0"/>
        <w:ind w:firstLine="252" w:firstLineChars="1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（三）交叉竞合：重法优于轻法</w:t>
      </w:r>
    </w:p>
    <w:p w14:paraId="40EB1C93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当两个罪名的外延之间存在交叉关系时。</w:t>
      </w:r>
    </w:p>
    <w:p w14:paraId="16B3F890">
      <w:pPr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重法与轻法的交叉竞合，一般认为适用重法优于轻法的原则，以重法定罪。</w:t>
      </w:r>
    </w:p>
    <w:p w14:paraId="4A518EBB">
      <w:pPr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常考的交叉竞合（重法优于轻法）：（1）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诈骗罪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与招摇撞骗罪、冒充军人招摇撞骗罪；（2）票据诈骗罪、金融凭证诈骗罪与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贷款诈骗罪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；（3）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催收非法债务罪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与非法拘禁罪、非法侵入住宅罪、寻衅滋事罪。</w:t>
      </w:r>
    </w:p>
    <w:p w14:paraId="35DD75D9">
      <w:pPr>
        <w:pStyle w:val="5"/>
        <w:spacing w:after="0"/>
        <w:ind w:firstLine="252" w:firstLineChars="1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（四）基本法与补充法的竞合：基本法优于补充法</w:t>
      </w:r>
    </w:p>
    <w:p w14:paraId="12D66E87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基本法是适用案件基本情况的罪名条款，补充法是用于补充基本条件的罪名规定。</w:t>
      </w:r>
    </w:p>
    <w:p w14:paraId="475AF035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对于基本法与补充法的偏一竞合，适用于基本法优于补充法的原则。</w:t>
      </w:r>
    </w:p>
    <w:p w14:paraId="06BDFFD1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常考：（1）拐卖儿童罪与拐骗儿童罪；（2）违禁物品犯罪（如走私、制造、运输、贩卖毒品罪）与相应的持有型犯罪（如非法持有毒品罪）；（3）贪污罪、受贿罪与巨额财产来源不明罪。</w:t>
      </w:r>
    </w:p>
    <w:p w14:paraId="420BB13E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</w:p>
    <w:p w14:paraId="559B79D4">
      <w:pPr>
        <w:pStyle w:val="4"/>
        <w:spacing w:after="0"/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  <w:t>三、法条竞合与想象竞合的区别：规范（罪名）层面上的交叠VS事实（行为）层面上的交叠</w:t>
      </w:r>
    </w:p>
    <w:p w14:paraId="1B98BC71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bookmarkStart w:id="5" w:name="_Hlk29856031"/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区分法条竞合与想象竞合的最简单方法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：在于看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刑法对于二罪名有无明确规定交叠关系，或者构成要件有无交叠关系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。</w:t>
      </w:r>
      <w:bookmarkEnd w:id="5"/>
    </w:p>
    <w:p w14:paraId="61F96494">
      <w:pPr>
        <w:ind w:left="0" w:leftChars="0" w:firstLine="0" w:firstLineChars="0"/>
        <w:rPr>
          <w:rFonts w:hint="eastAsia" w:asciiTheme="minorEastAsia" w:hAnsiTheme="minorEastAsia" w:eastAsiaTheme="minorEastAsia" w:cstheme="minorEastAsia"/>
          <w:color w:val="auto"/>
          <w:sz w:val="21"/>
          <w:szCs w:val="21"/>
          <w:lang w:eastAsia="zh-CN"/>
        </w:rPr>
      </w:pPr>
    </w:p>
    <w:p w14:paraId="4996E3E5">
      <w:pPr>
        <w:pStyle w:val="2"/>
        <w:spacing w:before="0" w:after="0" w:line="480" w:lineRule="exact"/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  <w:lang w:eastAsia="zh-CN"/>
        </w:rPr>
      </w:pP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</w:rPr>
        <w:t>考点22  侵害生命健康犯罪</w:t>
      </w:r>
    </w:p>
    <w:p w14:paraId="3CB1A4F4">
      <w:pPr>
        <w:spacing w:after="0"/>
        <w:ind w:firstLine="420"/>
        <w:jc w:val="left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</w:p>
    <w:p w14:paraId="02F9B391">
      <w:pPr>
        <w:pStyle w:val="4"/>
        <w:spacing w:after="0"/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  <w:t>一、故意杀人罪</w:t>
      </w:r>
    </w:p>
    <w:p w14:paraId="7F1AFBFE">
      <w:pPr>
        <w:pStyle w:val="5"/>
        <w:spacing w:after="0"/>
        <w:ind w:firstLine="252" w:firstLineChars="1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（一）故意杀人罪的犯罪构成要件</w:t>
      </w:r>
    </w:p>
    <w:tbl>
      <w:tblPr>
        <w:tblStyle w:val="9"/>
        <w:tblW w:w="8505" w:type="dxa"/>
        <w:jc w:val="center"/>
        <w:tblBorders>
          <w:top w:val="single" w:color="FF0000" w:sz="4" w:space="0"/>
          <w:left w:val="single" w:color="FF0000" w:sz="4" w:space="0"/>
          <w:bottom w:val="single" w:color="FF0000" w:sz="4" w:space="0"/>
          <w:right w:val="single" w:color="FF0000" w:sz="4" w:space="0"/>
          <w:insideH w:val="single" w:color="FF0000" w:sz="4" w:space="0"/>
          <w:insideV w:val="single" w:color="FF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4"/>
        <w:gridCol w:w="1559"/>
        <w:gridCol w:w="2410"/>
        <w:gridCol w:w="3832"/>
      </w:tblGrid>
      <w:tr w14:paraId="645B932B">
        <w:trPr>
          <w:trHeight w:val="385" w:hRule="atLeast"/>
          <w:jc w:val="center"/>
        </w:trPr>
        <w:tc>
          <w:tcPr>
            <w:tcW w:w="704" w:type="dxa"/>
            <w:vMerge w:val="restart"/>
            <w:vAlign w:val="center"/>
          </w:tcPr>
          <w:p w14:paraId="1CD16122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bookmarkStart w:id="6" w:name="_Hlk514048439"/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客观不法</w:t>
            </w:r>
          </w:p>
        </w:tc>
        <w:tc>
          <w:tcPr>
            <w:tcW w:w="1559" w:type="dxa"/>
            <w:vAlign w:val="center"/>
          </w:tcPr>
          <w:p w14:paraId="278824B4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客体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（法益）</w:t>
            </w:r>
          </w:p>
        </w:tc>
        <w:tc>
          <w:tcPr>
            <w:tcW w:w="2410" w:type="dxa"/>
            <w:vAlign w:val="center"/>
          </w:tcPr>
          <w:p w14:paraId="2CF4CE94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他人的生命权</w:t>
            </w:r>
          </w:p>
        </w:tc>
        <w:tc>
          <w:tcPr>
            <w:tcW w:w="3832" w:type="dxa"/>
            <w:vAlign w:val="center"/>
          </w:tcPr>
          <w:p w14:paraId="46A5DEA7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</w:p>
        </w:tc>
      </w:tr>
      <w:tr w14:paraId="5B9DC004">
        <w:trPr>
          <w:trHeight w:val="1195" w:hRule="atLeast"/>
          <w:jc w:val="center"/>
        </w:trPr>
        <w:tc>
          <w:tcPr>
            <w:tcW w:w="704" w:type="dxa"/>
            <w:vMerge w:val="continue"/>
            <w:vAlign w:val="center"/>
          </w:tcPr>
          <w:p w14:paraId="2829C50B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</w:p>
        </w:tc>
        <w:tc>
          <w:tcPr>
            <w:tcW w:w="1559" w:type="dxa"/>
            <w:vMerge w:val="restart"/>
            <w:vAlign w:val="center"/>
          </w:tcPr>
          <w:p w14:paraId="65790A77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客观方面</w:t>
            </w:r>
          </w:p>
        </w:tc>
        <w:tc>
          <w:tcPr>
            <w:tcW w:w="2410" w:type="dxa"/>
            <w:vAlign w:val="center"/>
          </w:tcPr>
          <w:p w14:paraId="6F935E67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1．行为：杀（杀人）</w:t>
            </w:r>
          </w:p>
        </w:tc>
        <w:tc>
          <w:tcPr>
            <w:tcW w:w="3832" w:type="dxa"/>
            <w:vAlign w:val="center"/>
          </w:tcPr>
          <w:p w14:paraId="03999A32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（1）杀人行为的本质：非自然地提前结束他人生命；支配他人生命</w:t>
            </w:r>
          </w:p>
          <w:p w14:paraId="36BD1E8C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（2）行为方式和手段：</w:t>
            </w:r>
          </w:p>
          <w:p w14:paraId="1049A50C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①作为，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间接正犯</w:t>
            </w:r>
          </w:p>
          <w:p w14:paraId="744D7C12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②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不作为故意杀人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：作为义务；与作为行为价值相当（等值性）</w:t>
            </w:r>
          </w:p>
        </w:tc>
      </w:tr>
      <w:tr w14:paraId="764BCB6C">
        <w:trPr>
          <w:jc w:val="center"/>
        </w:trPr>
        <w:tc>
          <w:tcPr>
            <w:tcW w:w="704" w:type="dxa"/>
            <w:vMerge w:val="continue"/>
            <w:vAlign w:val="center"/>
          </w:tcPr>
          <w:p w14:paraId="4DDC2E7F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</w:p>
        </w:tc>
        <w:tc>
          <w:tcPr>
            <w:tcW w:w="1559" w:type="dxa"/>
            <w:vMerge w:val="continue"/>
            <w:vAlign w:val="center"/>
          </w:tcPr>
          <w:p w14:paraId="12F09E33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</w:p>
        </w:tc>
        <w:tc>
          <w:tcPr>
            <w:tcW w:w="2410" w:type="dxa"/>
            <w:vAlign w:val="center"/>
          </w:tcPr>
          <w:p w14:paraId="33F1B8C2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2．行为对象：人（他人）</w:t>
            </w:r>
          </w:p>
        </w:tc>
        <w:tc>
          <w:tcPr>
            <w:tcW w:w="3832" w:type="dxa"/>
            <w:vAlign w:val="center"/>
          </w:tcPr>
          <w:p w14:paraId="5B49C716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（1）人：生命的起始（出生）和终止（死亡）。婴儿、胎儿问题</w:t>
            </w:r>
          </w:p>
          <w:p w14:paraId="38678450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（2）他人。自杀不属不法</w:t>
            </w:r>
          </w:p>
        </w:tc>
      </w:tr>
      <w:tr w14:paraId="18A29569">
        <w:trPr>
          <w:jc w:val="center"/>
        </w:trPr>
        <w:tc>
          <w:tcPr>
            <w:tcW w:w="704" w:type="dxa"/>
            <w:vMerge w:val="continue"/>
            <w:vAlign w:val="center"/>
          </w:tcPr>
          <w:p w14:paraId="54C7F0AF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</w:p>
        </w:tc>
        <w:tc>
          <w:tcPr>
            <w:tcW w:w="1559" w:type="dxa"/>
            <w:vMerge w:val="continue"/>
            <w:vAlign w:val="center"/>
          </w:tcPr>
          <w:p w14:paraId="15694C8F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</w:p>
        </w:tc>
        <w:tc>
          <w:tcPr>
            <w:tcW w:w="2410" w:type="dxa"/>
            <w:vAlign w:val="center"/>
          </w:tcPr>
          <w:p w14:paraId="03AABB68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3．（既遂）结果：死亡</w:t>
            </w:r>
          </w:p>
        </w:tc>
        <w:tc>
          <w:tcPr>
            <w:tcW w:w="3832" w:type="dxa"/>
            <w:vAlign w:val="center"/>
          </w:tcPr>
          <w:p w14:paraId="47E433C3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基本构成要件的结果要素，即既遂标准</w:t>
            </w:r>
          </w:p>
        </w:tc>
      </w:tr>
      <w:tr w14:paraId="183F1D93">
        <w:trPr>
          <w:jc w:val="center"/>
        </w:trPr>
        <w:tc>
          <w:tcPr>
            <w:tcW w:w="704" w:type="dxa"/>
            <w:vMerge w:val="continue"/>
            <w:vAlign w:val="center"/>
          </w:tcPr>
          <w:p w14:paraId="304AA141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</w:p>
        </w:tc>
        <w:tc>
          <w:tcPr>
            <w:tcW w:w="1559" w:type="dxa"/>
            <w:vMerge w:val="continue"/>
            <w:vAlign w:val="center"/>
          </w:tcPr>
          <w:p w14:paraId="3A1918B9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</w:p>
        </w:tc>
        <w:tc>
          <w:tcPr>
            <w:tcW w:w="2410" w:type="dxa"/>
            <w:vAlign w:val="center"/>
          </w:tcPr>
          <w:p w14:paraId="6FD65070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4．行为与死亡结果之间具有因果关系</w:t>
            </w:r>
          </w:p>
        </w:tc>
        <w:tc>
          <w:tcPr>
            <w:tcW w:w="3832" w:type="dxa"/>
            <w:vAlign w:val="center"/>
          </w:tcPr>
          <w:p w14:paraId="0BD8D3B9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死亡结果与杀人行为无因果关系，可能构成未遂</w:t>
            </w:r>
          </w:p>
        </w:tc>
      </w:tr>
      <w:tr w14:paraId="6E9838DF">
        <w:trPr>
          <w:jc w:val="center"/>
        </w:trPr>
        <w:tc>
          <w:tcPr>
            <w:tcW w:w="704" w:type="dxa"/>
            <w:vMerge w:val="restart"/>
            <w:vAlign w:val="center"/>
          </w:tcPr>
          <w:p w14:paraId="485E612D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主观责任</w:t>
            </w:r>
          </w:p>
        </w:tc>
        <w:tc>
          <w:tcPr>
            <w:tcW w:w="1559" w:type="dxa"/>
            <w:vAlign w:val="center"/>
          </w:tcPr>
          <w:p w14:paraId="67C2CDD7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主体要件</w:t>
            </w:r>
          </w:p>
        </w:tc>
        <w:tc>
          <w:tcPr>
            <w:tcW w:w="2410" w:type="dxa"/>
            <w:vAlign w:val="center"/>
          </w:tcPr>
          <w:p w14:paraId="375FB0C9">
            <w:pPr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5．责任年龄：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14周岁（12周岁）</w:t>
            </w:r>
          </w:p>
          <w:p w14:paraId="6D0DD646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6．具有责任能力</w:t>
            </w:r>
          </w:p>
        </w:tc>
        <w:tc>
          <w:tcPr>
            <w:tcW w:w="3832" w:type="dxa"/>
            <w:vAlign w:val="center"/>
          </w:tcPr>
          <w:p w14:paraId="46E231AB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已满14周岁（所有）；已满12周岁（致死、严重残疾手段残忍+情节恶劣）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精神正常</w:t>
            </w:r>
          </w:p>
        </w:tc>
      </w:tr>
      <w:tr w14:paraId="2125CCBE">
        <w:trPr>
          <w:jc w:val="center"/>
        </w:trPr>
        <w:tc>
          <w:tcPr>
            <w:tcW w:w="704" w:type="dxa"/>
            <w:vMerge w:val="continue"/>
            <w:vAlign w:val="center"/>
          </w:tcPr>
          <w:p w14:paraId="60CAB55A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z w:val="21"/>
                <w:szCs w:val="21"/>
              </w:rPr>
            </w:pPr>
          </w:p>
        </w:tc>
        <w:tc>
          <w:tcPr>
            <w:tcW w:w="1559" w:type="dxa"/>
            <w:vAlign w:val="center"/>
          </w:tcPr>
          <w:p w14:paraId="5B9C1EBA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主观方面</w:t>
            </w:r>
          </w:p>
        </w:tc>
        <w:tc>
          <w:tcPr>
            <w:tcW w:w="2410" w:type="dxa"/>
            <w:vAlign w:val="center"/>
          </w:tcPr>
          <w:p w14:paraId="0F53A808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7．杀人故意</w:t>
            </w:r>
          </w:p>
        </w:tc>
        <w:tc>
          <w:tcPr>
            <w:tcW w:w="3832" w:type="dxa"/>
            <w:vAlign w:val="center"/>
          </w:tcPr>
          <w:p w14:paraId="1761E1F2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故意内容：杀、人、死亡、因果。与故意伤害的区分；与过失的区分</w:t>
            </w:r>
          </w:p>
        </w:tc>
      </w:tr>
      <w:bookmarkEnd w:id="6"/>
    </w:tbl>
    <w:p w14:paraId="422C67F8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</w:p>
    <w:p w14:paraId="3C9D71DB">
      <w:pPr>
        <w:pStyle w:val="5"/>
        <w:spacing w:after="0"/>
        <w:ind w:firstLine="42" w:firstLineChars="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★（二）不作为故意杀人（不纯正的不作为犯）</w:t>
      </w:r>
    </w:p>
    <w:p w14:paraId="7F25B373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</w:p>
    <w:tbl>
      <w:tblPr>
        <w:tblStyle w:val="13"/>
        <w:tblW w:w="8505" w:type="dxa"/>
        <w:jc w:val="center"/>
        <w:tblBorders>
          <w:top w:val="single" w:color="FF0000" w:sz="4" w:space="0"/>
          <w:left w:val="single" w:color="FF0000" w:sz="4" w:space="0"/>
          <w:bottom w:val="single" w:color="FF0000" w:sz="4" w:space="0"/>
          <w:right w:val="single" w:color="FF0000" w:sz="4" w:space="0"/>
          <w:insideH w:val="single" w:color="FF0000" w:sz="4" w:space="0"/>
          <w:insideV w:val="single" w:color="FF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69"/>
        <w:gridCol w:w="1757"/>
        <w:gridCol w:w="2329"/>
        <w:gridCol w:w="2250"/>
      </w:tblGrid>
      <w:tr w14:paraId="35995D9E">
        <w:trPr>
          <w:jc w:val="center"/>
        </w:trPr>
        <w:tc>
          <w:tcPr>
            <w:tcW w:w="2169" w:type="dxa"/>
            <w:vMerge w:val="restart"/>
            <w:vAlign w:val="center"/>
          </w:tcPr>
          <w:p w14:paraId="64623B43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bookmarkStart w:id="7" w:name="_Hlk514048468"/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不作为故意杀人罪的构成要件</w:t>
            </w:r>
          </w:p>
        </w:tc>
        <w:tc>
          <w:tcPr>
            <w:tcW w:w="4086" w:type="dxa"/>
            <w:gridSpan w:val="2"/>
            <w:vAlign w:val="center"/>
          </w:tcPr>
          <w:p w14:paraId="2788562E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客观：不作为+杀人</w:t>
            </w:r>
          </w:p>
        </w:tc>
        <w:tc>
          <w:tcPr>
            <w:tcW w:w="2250" w:type="dxa"/>
            <w:vAlign w:val="center"/>
          </w:tcPr>
          <w:p w14:paraId="345ED836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主观：杀人故意</w:t>
            </w:r>
          </w:p>
        </w:tc>
      </w:tr>
      <w:tr w14:paraId="65DC8DEA">
        <w:trPr>
          <w:jc w:val="center"/>
        </w:trPr>
        <w:tc>
          <w:tcPr>
            <w:tcW w:w="2169" w:type="dxa"/>
            <w:vMerge w:val="continue"/>
            <w:vAlign w:val="center"/>
          </w:tcPr>
          <w:p w14:paraId="57A9539C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</w:p>
        </w:tc>
        <w:tc>
          <w:tcPr>
            <w:tcW w:w="4086" w:type="dxa"/>
            <w:gridSpan w:val="2"/>
            <w:vAlign w:val="center"/>
          </w:tcPr>
          <w:p w14:paraId="15F96004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  <w:t>符合总论不作为的成立条件：有作为义务、有履行能力、因果关系</w:t>
            </w:r>
          </w:p>
        </w:tc>
        <w:tc>
          <w:tcPr>
            <w:tcW w:w="2250" w:type="dxa"/>
            <w:vMerge w:val="restart"/>
            <w:vAlign w:val="center"/>
          </w:tcPr>
          <w:p w14:paraId="1AE532DA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  <w:t>对死亡结果有故意</w:t>
            </w:r>
          </w:p>
        </w:tc>
      </w:tr>
      <w:tr w14:paraId="5FD7FAF3">
        <w:trPr>
          <w:jc w:val="center"/>
        </w:trPr>
        <w:tc>
          <w:tcPr>
            <w:tcW w:w="2169" w:type="dxa"/>
            <w:vMerge w:val="continue"/>
            <w:vAlign w:val="center"/>
          </w:tcPr>
          <w:p w14:paraId="593D371A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</w:p>
        </w:tc>
        <w:tc>
          <w:tcPr>
            <w:tcW w:w="4086" w:type="dxa"/>
            <w:gridSpan w:val="2"/>
            <w:vAlign w:val="center"/>
          </w:tcPr>
          <w:p w14:paraId="1C77CC45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  <w:t>符合分则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“杀”的行为（等价性）：对他人生命具有支配力</w:t>
            </w:r>
          </w:p>
        </w:tc>
        <w:tc>
          <w:tcPr>
            <w:tcW w:w="2250" w:type="dxa"/>
            <w:vMerge w:val="continue"/>
            <w:vAlign w:val="center"/>
          </w:tcPr>
          <w:p w14:paraId="3AE43527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</w:p>
        </w:tc>
      </w:tr>
      <w:tr w14:paraId="12438E51">
        <w:trPr>
          <w:jc w:val="center"/>
        </w:trPr>
        <w:tc>
          <w:tcPr>
            <w:tcW w:w="2169" w:type="dxa"/>
            <w:vMerge w:val="restart"/>
            <w:vAlign w:val="center"/>
          </w:tcPr>
          <w:p w14:paraId="7BC317B0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不作为故意杀人罪（过失致人死亡罪）与遗弃罪的区分</w:t>
            </w:r>
          </w:p>
        </w:tc>
        <w:tc>
          <w:tcPr>
            <w:tcW w:w="4086" w:type="dxa"/>
            <w:gridSpan w:val="2"/>
            <w:vAlign w:val="center"/>
          </w:tcPr>
          <w:p w14:paraId="0670ABDC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  <w:t xml:space="preserve">支配生命（大概率会死）：杀人行为 </w:t>
            </w:r>
          </w:p>
        </w:tc>
        <w:tc>
          <w:tcPr>
            <w:tcW w:w="2250" w:type="dxa"/>
            <w:vAlign w:val="center"/>
          </w:tcPr>
          <w:p w14:paraId="2B7DC035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  <w:t>不支配生命（大概率会活）：遗弃行为</w:t>
            </w:r>
          </w:p>
        </w:tc>
      </w:tr>
      <w:tr w14:paraId="2B869734">
        <w:trPr>
          <w:jc w:val="center"/>
        </w:trPr>
        <w:tc>
          <w:tcPr>
            <w:tcW w:w="2169" w:type="dxa"/>
            <w:vMerge w:val="continue"/>
            <w:vAlign w:val="center"/>
          </w:tcPr>
          <w:p w14:paraId="44B783D4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</w:p>
        </w:tc>
        <w:tc>
          <w:tcPr>
            <w:tcW w:w="1757" w:type="dxa"/>
            <w:vAlign w:val="center"/>
          </w:tcPr>
          <w:p w14:paraId="4F494404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  <w:t>对死亡结果是故意：故意杀人罪</w:t>
            </w:r>
          </w:p>
        </w:tc>
        <w:tc>
          <w:tcPr>
            <w:tcW w:w="2329" w:type="dxa"/>
            <w:vAlign w:val="center"/>
          </w:tcPr>
          <w:p w14:paraId="48C32BCA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  <w:t>对死亡结果过失：过失致人死亡罪</w:t>
            </w:r>
          </w:p>
        </w:tc>
        <w:tc>
          <w:tcPr>
            <w:tcW w:w="2250" w:type="dxa"/>
            <w:vAlign w:val="center"/>
          </w:tcPr>
          <w:p w14:paraId="0273B22A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  <w:t>遗弃罪（对遗弃行为是故意）</w:t>
            </w:r>
          </w:p>
        </w:tc>
      </w:tr>
      <w:bookmarkEnd w:id="7"/>
    </w:tbl>
    <w:p w14:paraId="6563643B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</w:p>
    <w:p w14:paraId="31092112">
      <w:pPr>
        <w:pStyle w:val="5"/>
        <w:spacing w:after="0"/>
        <w:ind w:firstLine="42" w:firstLineChars="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（三）引起他人自杀的问题</w:t>
      </w:r>
    </w:p>
    <w:p w14:paraId="1C13D446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教唆、帮助有认知能力、有意志自由的他人自杀，不能构成犯罪。只有教唆者、帮助者系间接正犯（对自杀者有支配关系）的情况下，才能成立故意杀人罪（间接正犯）。</w:t>
      </w:r>
    </w:p>
    <w:p w14:paraId="3FC34132">
      <w:pPr>
        <w:pStyle w:val="5"/>
        <w:spacing w:after="0"/>
        <w:ind w:firstLine="252" w:firstLineChars="1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（四）罪数</w:t>
      </w:r>
    </w:p>
    <w:p w14:paraId="40A8E4BE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1．整体法与部分法的法条竞合。</w:t>
      </w:r>
    </w:p>
    <w:p w14:paraId="2A5C351A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（1）以杀人为手段的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绑架、抢劫、劫持航空器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（之中、之时杀人），认定为绑架罪（故意杀害被绑架人）、抢劫罪（致人死亡）、劫持航空器罪（致人死亡）。</w:t>
      </w:r>
    </w:p>
    <w:p w14:paraId="2E6DE563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（2）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故意危害公共安全类犯罪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（放火罪、爆炸罪、投放危险物质罪、决水、以危险方法危害公共安全，破坏交通工具等）中，可包容了故意杀人的结果（系公共安全的死亡结果），系故意危害公共安全类犯罪的结果加重犯。</w:t>
      </w:r>
    </w:p>
    <w:p w14:paraId="4905D09E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2．结合犯：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绑架后为灭口而杀人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，认定为绑架罪（绑架过程中故意杀害被绑架人）。</w:t>
      </w:r>
    </w:p>
    <w:p w14:paraId="7F212C70">
      <w:pPr>
        <w:snapToGrid w:val="0"/>
        <w:spacing w:after="0"/>
        <w:ind w:firstLine="408"/>
        <w:rPr>
          <w:rFonts w:hint="eastAsia" w:asciiTheme="minorEastAsia" w:hAnsiTheme="minorEastAsia" w:eastAsiaTheme="minorEastAsia" w:cstheme="minorEastAsia"/>
          <w:color w:val="auto"/>
          <w:spacing w:val="-3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pacing w:val="-3"/>
          <w:sz w:val="21"/>
          <w:szCs w:val="21"/>
        </w:rPr>
        <w:t>3．转化犯（想象竞合犯的提示）：以故意杀人罪论处。（1）非法拘禁使用暴力致人死亡；（2）刑讯逼供致人死亡；（3）暴力取证致人死亡；（4）虐待被监管人致人死亡；（5）聚众斗殴致人死亡。</w:t>
      </w:r>
    </w:p>
    <w:p w14:paraId="36B2CC3C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4．数罪并罚（常态）。（1）犯组织、领导、参加恐怖组织罪，组织、领导、参加黑社会性质组织罪，并故意杀人；（2）为实施保险诈骗罪而故意杀人的；（3）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犯罪（抢劫罪、强奸罪、盗窃罪等，不包括绑架）之后为灭口而杀人的，数罪并罚。</w:t>
      </w:r>
    </w:p>
    <w:p w14:paraId="587C9CED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</w:p>
    <w:p w14:paraId="3F9D0464">
      <w:pPr>
        <w:pStyle w:val="4"/>
        <w:spacing w:after="0"/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  <w:t>二、过失致人死亡罪</w:t>
      </w:r>
    </w:p>
    <w:p w14:paraId="05BE576F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 xml:space="preserve">第233条【过失致人死亡罪】 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 xml:space="preserve"> 过失致人死亡的，处三年以上七年以下有期徒刑；情节较轻的，处三年以下有期徒刑。本法另有规定的，依照规定。</w:t>
      </w:r>
    </w:p>
    <w:p w14:paraId="2C794909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</w:p>
    <w:p w14:paraId="43F3B230">
      <w:pPr>
        <w:pStyle w:val="4"/>
        <w:spacing w:after="0"/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  <w:t>三、故意伤害罪：故意伤害他人身体</w:t>
      </w:r>
    </w:p>
    <w:p w14:paraId="1C4CF448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b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第234条【故意伤害罪】</w:t>
      </w:r>
    </w:p>
    <w:p w14:paraId="4F442B26">
      <w:pPr>
        <w:pStyle w:val="5"/>
        <w:spacing w:after="0"/>
        <w:ind w:firstLine="252" w:firstLineChars="1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（一）构成特征</w:t>
      </w:r>
    </w:p>
    <w:p w14:paraId="0538337D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bookmarkStart w:id="8" w:name="_Hlk515640499"/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1．伤害行为：非法损害他人身体健康、支配轻伤以上结果的行为。例如暴力伤害、使人染病、使人精神失常、强迫、欺骗他人捐献器官等。</w:t>
      </w:r>
      <w:bookmarkEnd w:id="8"/>
    </w:p>
    <w:p w14:paraId="581BFE5A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2．行为对象：他人身体。</w:t>
      </w:r>
    </w:p>
    <w:p w14:paraId="299AC7F3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3．结果（既遂的结果）：轻伤（基本犯结果）、重伤（加重结果之一）、伤害致人死亡（加重结果之二）三种情形。“轻伤不轻”，比轻伤还轻的有轻微伤。</w:t>
      </w:r>
    </w:p>
    <w:p w14:paraId="31F572B8">
      <w:pPr>
        <w:snapToGrid w:val="0"/>
        <w:spacing w:after="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注意：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这里的结果（轻伤、重伤、死亡）是既遂标准（基本犯结果）。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造成轻伤以上结果的，认定故意伤害罪既遂。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故意伤害罪当然有未遂形态。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有造成轻伤以上结果的危险，即是故意伤害罪的未遂。只不过，故意轻伤未遂一般不处罚，不以犯罪处理；故意重伤未遂可处罚。</w:t>
      </w:r>
    </w:p>
    <w:p w14:paraId="7A567B36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pacing w:val="-4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4．罪过形式：伤害故意。要求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对伤害结果（轻伤、重伤）具有认识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和希望或放任的态度。</w:t>
      </w:r>
    </w:p>
    <w:p w14:paraId="62C1B848">
      <w:pPr>
        <w:pStyle w:val="5"/>
        <w:spacing w:after="0"/>
        <w:ind w:firstLine="42" w:firstLineChars="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（二）结果加重犯：故意伤害致人（重伤）死亡</w:t>
      </w:r>
    </w:p>
    <w:p w14:paraId="4B1B0AC8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1．故意伤害过程中，因伤害行为而过失致人死亡。要求：（1）客观上有伤害行为，造成了死亡结果；（2）伤害行为与死亡结果之间具有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因果关系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；（3）行为人主观上具有伤害故意，对死亡结果具有过失（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推定：只要具有伤害故意，一般推定对结果有过失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）。注：在结果加重犯中，对基本犯有故意，基本上都推定对加重结果至少有过失。</w:t>
      </w:r>
    </w:p>
    <w:p w14:paraId="67798653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2．致人死亡中的“人”：致死对象与伤害对象可以是同一人，也可是不同人。例如因认识错误、打击错误导致第三人死亡，也属故意伤害致人死亡。</w:t>
      </w:r>
    </w:p>
    <w:p w14:paraId="3EFFE0D6">
      <w:pPr>
        <w:pStyle w:val="5"/>
        <w:spacing w:after="0"/>
        <w:ind w:firstLine="42" w:firstLineChars="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（三）罪数</w:t>
      </w:r>
    </w:p>
    <w:p w14:paraId="796137CC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1．转化犯（实为想象竞合的提示规定）：以下情形，造成重伤的，以故意伤害罪（重伤）论处。（1）非法拘禁使用暴力致人伤残；（2）刑讯逼供致人伤残；（3）暴力取证致人伤残；（4）虐待被监管人致人伤残；（5）聚众斗殴致人伤残；（6）非法组织或者强迫卖血造成伤害（一般理解为重伤）。注意：这里转化的条件均为“伤残”，即造成重伤结果。</w:t>
      </w:r>
    </w:p>
    <w:p w14:paraId="21A686F2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如只造成轻伤结果，理论上属故意伤害罪（轻伤）与前述各罪的想象竞合，应当择一重罪处断；但由于前述各罪与故意伤害罪（轻伤）的法定刑相同，故仍以目的行为论，即前述各罪论处。例如，刑讯逼供致人轻伤，最终认定为刑讯逼供罪一罪。</w:t>
      </w:r>
    </w:p>
    <w:p w14:paraId="0C93B2E1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2．想象竞合（暴力手段犯罪、一行为）。妨害公务致人伤害、强迫交易致人伤害，都应以想象竞合论处，择一重罪处断。（1）由此，造成重伤的，以重罪故意伤害罪（重伤）论处。（2）造成轻伤的，以目的行为论处，即认定为妨害公务罪、强迫交易罪。</w:t>
      </w:r>
    </w:p>
    <w:p w14:paraId="4736B862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3．数罪并罚规定（非暴力手段犯罪、数行为）。组织他人偷越国（边）境罪，运送他人偷越国（边）境罪，组织、领导参加黑社会性质组织罪，组织、领导、参加恐怖组织罪，保险诈骗罪以及其他犯罪中实施故意伤害罪的，数罪并罚。</w:t>
      </w:r>
      <w:bookmarkStart w:id="9" w:name="_Toc219219906"/>
    </w:p>
    <w:p w14:paraId="32C4939F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</w:p>
    <w:p w14:paraId="2276EB3A">
      <w:pPr>
        <w:pStyle w:val="2"/>
        <w:spacing w:before="0" w:after="0" w:line="480" w:lineRule="exact"/>
        <w:rPr>
          <w:rFonts w:hint="eastAsia" w:asciiTheme="minorEastAsia" w:hAnsiTheme="minorEastAsia" w:eastAsiaTheme="minorEastAsia" w:cstheme="minorEastAsia"/>
          <w:color w:val="auto"/>
          <w:sz w:val="21"/>
          <w:szCs w:val="21"/>
          <w:lang w:eastAsia="zh-CN"/>
        </w:rPr>
      </w:pP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</w:rPr>
        <w:t>考点23  性犯罪</w:t>
      </w:r>
      <w:bookmarkEnd w:id="9"/>
    </w:p>
    <w:p w14:paraId="2941B0F6">
      <w:pPr>
        <w:spacing w:after="0"/>
        <w:ind w:left="0" w:leftChars="0" w:firstLine="0" w:firstLineChars="0"/>
        <w:jc w:val="left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</w:p>
    <w:p w14:paraId="582E856A">
      <w:pPr>
        <w:pStyle w:val="4"/>
        <w:spacing w:after="0"/>
        <w:jc w:val="both"/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  <w:t>一、强奸罪：违背意志强行奸淫妇女、奸淫幼女（包括嫖宿卖淫幼女）</w:t>
      </w:r>
    </w:p>
    <w:p w14:paraId="613ACE02">
      <w:pPr>
        <w:pStyle w:val="8"/>
        <w:widowControl w:val="0"/>
        <w:adjustRightInd w:val="0"/>
        <w:snapToGrid w:val="0"/>
        <w:spacing w:before="0" w:beforeAutospacing="0" w:after="0" w:afterAutospacing="0"/>
        <w:ind w:firstLine="420"/>
        <w:jc w:val="both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bookmarkStart w:id="10" w:name="_Hlk515643464"/>
      <w:r>
        <w:rPr>
          <w:rFonts w:hint="eastAsia" w:asciiTheme="minorEastAsia" w:hAnsiTheme="minorEastAsia" w:eastAsiaTheme="minorEastAsia" w:cstheme="minorEastAsia"/>
          <w:color w:val="auto"/>
          <w:kern w:val="2"/>
          <w:sz w:val="21"/>
          <w:szCs w:val="21"/>
        </w:rPr>
        <w:t>第236条【强奸罪】</w:t>
      </w:r>
      <w:bookmarkEnd w:id="10"/>
    </w:p>
    <w:p w14:paraId="0F70D034">
      <w:pPr>
        <w:pStyle w:val="5"/>
        <w:spacing w:after="0"/>
        <w:ind w:firstLine="252" w:firstLineChars="120"/>
        <w:rPr>
          <w:rFonts w:hint="eastAsia" w:asciiTheme="minorEastAsia" w:hAnsiTheme="minorEastAsia" w:eastAsiaTheme="minorEastAsia" w:cstheme="minorEastAsia"/>
          <w:b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（一）构成特征</w:t>
      </w:r>
    </w:p>
    <w:p w14:paraId="75F00FA3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1．主体身份：“奸”行为的直接实行者为男性，“强”行为的实行者男女皆可。</w:t>
      </w:r>
    </w:p>
    <w:p w14:paraId="1594DBA0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2．对象：女性（妇女、幼女）。</w:t>
      </w:r>
    </w:p>
    <w:p w14:paraId="0ABA42E6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 xml:space="preserve">3．强奸行为。强奸罪的行为有两种情形： </w:t>
      </w:r>
    </w:p>
    <w:p w14:paraId="26A526C1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（1）强奸妇女（这里的妇女指所有女性，包括幼女）。使用暴力、胁迫或者其他手段，违背妇女真实的性自由意志与妇女发生性关系。</w:t>
      </w:r>
    </w:p>
    <w:p w14:paraId="28CC929B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强奸妇女，通常表现为“强”、“奸”组成的复合行为，但是，核心实行行为仍为“奸”。“强”指违背妇女真实的性自由意志，并一定要有客观行为。因此，强奸妇女型强奸，也并不是真实的复合行为犯。“强奸”应当理解为“违背意志形式的奸的行为”。</w:t>
      </w:r>
    </w:p>
    <w:p w14:paraId="21F47DEA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2）奸淫幼女（不满14周岁，包括嫖宿卖淫幼女）。指与不满14周岁的幼女发生性关系。奸淫幼女，只需“奸”的行为即可。不要求行为人使用暴力、胁迫或者其他手段，无论幼女是否同意，与之发生性关系即以强奸论。</w:t>
      </w:r>
    </w:p>
    <w:p w14:paraId="20112043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4．责任年龄。年满14周岁的人，对强奸罪承担刑事责任。</w:t>
      </w:r>
    </w:p>
    <w:p w14:paraId="4C0F6994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5．罪过形式：故意。</w:t>
      </w:r>
    </w:p>
    <w:p w14:paraId="0652384C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（1）强奸妇女型的强奸罪，要求行为人主观上明知对象是女性（活的）、违背女性真实意志、奸的行为。</w:t>
      </w:r>
    </w:p>
    <w:p w14:paraId="1B4673CF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（2）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奸淫幼女型的强奸罪，要求行为人主观上明知对象是不满14周岁的幼女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。行为人确实不知对方是不满14周岁的幼女，双方自愿发生性关系，不以强奸罪论处。“明知”采用推断方式确认，包括知道或者应当知道。</w:t>
      </w:r>
    </w:p>
    <w:p w14:paraId="78D58883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  <w:t>推定规则：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①对于不满12周岁的被害人实施奸淫等性侵害行为的，应当认定行为人“明知”对方是幼女。②对于已满12周岁不满14周岁的被害人，从其身体发育状况、言谈举止、衣着特征、生活作息规律等观察可能是幼女，而实施奸淫等性侵害行为的，应当认定行为人“明知”对方是幼女。③对幼女负有特殊职责的人员与幼女发生性关系的，以强奸罪论处。</w:t>
      </w:r>
    </w:p>
    <w:p w14:paraId="32E31243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6．特殊责任阻却事由：丈夫“婚内强奸”妻子的问题。</w:t>
      </w:r>
    </w:p>
    <w:p w14:paraId="4C4053CE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1）特殊责任阻却事由：原则上认为婚内无奸，亦即，丈夫使用暴力等强制手段强行与妻子性交的行为，一般不认为构成强奸罪。条件有二：①婚姻正常存续；②明知是妻子。涉及虐待、伤害，达到犯罪程度的，可按虐待罪、故意伤害罪论处。</w:t>
      </w:r>
    </w:p>
    <w:p w14:paraId="5ADBD9E7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2）不具前述阻却事由的条件时，丈夫仍可构成强奸罪。在实质上的婚姻关系破裂的场合（例如一审离婚判决已下达尚未生效，包办、买卖、强迫婚姻期间等）。丈夫教唆、帮助他人强奸妻子的，也可构成强奸罪。</w:t>
      </w:r>
    </w:p>
    <w:p w14:paraId="3F436B7A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（3）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  <w:t>在原理上，“婚内强奸”仍是符合强奸罪构成要件的，主体、对象均符合。只是因刑事政策的原因而将其定位为责任阻却事由。</w:t>
      </w:r>
    </w:p>
    <w:p w14:paraId="5CDAA25D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4）“两小无猜”条款。《最高人民法院、最高人民检察院、公安部、司法部关于依法惩治性侵害未成年人犯罪的意见》第27条的规定：已满14周岁不满16周岁的人偶尔与幼女发生性行为，情节轻微、未造成严重后果的，不认为是犯罪。</w:t>
      </w:r>
    </w:p>
    <w:p w14:paraId="4A93BE86">
      <w:pPr>
        <w:pStyle w:val="5"/>
        <w:spacing w:after="0"/>
        <w:ind w:firstLine="42" w:firstLineChars="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（二）加重犯</w:t>
      </w:r>
    </w:p>
    <w:p w14:paraId="2100F45F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强奸罪具有六种加重犯情形，以下对其中三种细致讲解：</w:t>
      </w:r>
    </w:p>
    <w:p w14:paraId="3CABA43F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1．（过失）致使被害人重伤、死亡，或者造成其他严重后果的。</w:t>
      </w:r>
    </w:p>
    <w:p w14:paraId="1FC8E685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（1）强奸“致使被害人重伤、死亡”，是指强或奸的行为导致被害人严重伤害或者死亡。亦即，强奸行为过失导致被害人重伤、死亡，要求行为人对重伤、死亡结果是过失，死亡与强奸行为之间具有因果关系。</w:t>
      </w:r>
    </w:p>
    <w:p w14:paraId="794049CA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（2）强奸被害人后被害人事后自杀身亡的（无因果关系），不属强奸致使被害人死亡，而属造成其他严重后果。</w:t>
      </w:r>
    </w:p>
    <w:p w14:paraId="325BC38B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（3）不包括故意杀人。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  <w:t>先强奸后杀人的，构成强奸罪、故意杀人罪，数罪并罚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；先杀害后奸尸的，构成故意杀人罪、侮辱尸体罪，数罪并罚；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  <w:t>以杀人为故意采用强奸手段致死的，系强奸罪、故意杀人罪的想象竞合，择一重罪处断。</w:t>
      </w:r>
    </w:p>
    <w:p w14:paraId="0A19655C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b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2．二人以上轮奸的。轮奸是指二男以上在同一段时间内，共同对同一妇女（或幼女）连续地轮流或同时强奸（或奸淫）的行为。即共同实行类型的强奸，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  <w:t>要求二男以上均强奸（奸的实行）得逞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。</w:t>
      </w:r>
    </w:p>
    <w:p w14:paraId="0B5236F8">
      <w:pPr>
        <w:pStyle w:val="5"/>
        <w:spacing w:after="0"/>
        <w:ind w:firstLine="252" w:firstLineChars="1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（三）罪数</w:t>
      </w:r>
    </w:p>
    <w:p w14:paraId="6C137293">
      <w:pPr>
        <w:snapToGrid w:val="0"/>
        <w:spacing w:after="0"/>
        <w:ind w:firstLine="420" w:firstLineChars="20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1．结合犯（加重犯）：拐卖妇女、儿童罪中强奸被拐卖的妇女、幼女，只构成拐卖妇女、儿童罪一罪，系该罪加重犯。</w:t>
      </w:r>
    </w:p>
    <w:p w14:paraId="411F713B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2．数罪并罚（常态）：</w:t>
      </w:r>
    </w:p>
    <w:p w14:paraId="6E47B9C6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（1）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  <w:t>收买拐卖妇女、儿童（幼女）后强奸，数罪并罚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；</w:t>
      </w:r>
    </w:p>
    <w:p w14:paraId="50AEDCDC">
      <w:pPr>
        <w:snapToGrid w:val="0"/>
        <w:spacing w:after="0"/>
        <w:ind w:firstLine="420" w:firstLineChars="20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（2）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强迫卖淫、组织卖淫中强奸，数罪并罚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。</w:t>
      </w:r>
    </w:p>
    <w:p w14:paraId="5F5BCE8B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（3）组织他人偷越国（边）境、运送他人偷越国（边）境中强奸，数罪并罚</w:t>
      </w:r>
    </w:p>
    <w:p w14:paraId="600F968B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（4）其他，如绑架、非法拘禁中强奸，均数罪并罚。</w:t>
      </w:r>
    </w:p>
    <w:p w14:paraId="6C1A1A31">
      <w:pPr>
        <w:snapToGrid w:val="0"/>
        <w:spacing w:after="0"/>
        <w:rPr>
          <w:rFonts w:hint="eastAsia" w:asciiTheme="minorEastAsia" w:hAnsiTheme="minorEastAsia" w:eastAsiaTheme="minorEastAsia" w:cstheme="minorEastAsia"/>
          <w:b/>
          <w:color w:val="auto"/>
          <w:sz w:val="21"/>
          <w:szCs w:val="21"/>
        </w:rPr>
      </w:pPr>
    </w:p>
    <w:p w14:paraId="406BB0AD">
      <w:pPr>
        <w:pStyle w:val="4"/>
        <w:spacing w:after="0"/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  <w:lang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  <w:t>二、负有照护职责人员性侵罪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  <w:lang w:eastAsia="zh-CN"/>
        </w:rPr>
        <w:t>（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  <w:lang w:val="en-US" w:eastAsia="zh-CN"/>
        </w:rPr>
        <w:t>重点关注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  <w:lang w:eastAsia="zh-CN"/>
        </w:rPr>
        <w:t>）</w:t>
      </w:r>
    </w:p>
    <w:p w14:paraId="2162F57D">
      <w:pPr>
        <w:pStyle w:val="8"/>
        <w:adjustRightInd w:val="0"/>
        <w:snapToGrid w:val="0"/>
        <w:spacing w:before="0" w:beforeAutospacing="0" w:after="0" w:afterAutospacing="0"/>
        <w:ind w:firstLine="420"/>
        <w:jc w:val="both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2"/>
          <w:sz w:val="21"/>
          <w:szCs w:val="21"/>
        </w:rPr>
        <w:t>第236条之一【负有照护职责人员性侵罪】</w:t>
      </w:r>
    </w:p>
    <w:p w14:paraId="322A95FF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1．行为人身份：负有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  <w:t>监护、收养、看护、教育、医疗等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特殊职责的人员。例如父亲、继父、养父以及形成了实际收养和监护关系的人，教师、医生、受委托看护人等。</w:t>
      </w:r>
    </w:p>
    <w:p w14:paraId="26C93513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2．被害人身份：即少女。（1）已满十四周岁不满十六周岁的未成年人。不包括16～18周岁的未成年人。（2）女性。不包括男性。</w:t>
      </w:r>
    </w:p>
    <w:p w14:paraId="1005E0CA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3．无论被害人同意与否，有无性认知能力、性承诺能力，行为人均可构成本罪。</w:t>
      </w:r>
    </w:p>
    <w:p w14:paraId="07D579F9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4．与奸淫幼女型强奸罪、猥亵儿童罪的关系</w:t>
      </w:r>
    </w:p>
    <w:tbl>
      <w:tblPr>
        <w:tblStyle w:val="10"/>
        <w:tblW w:w="8505" w:type="dxa"/>
        <w:jc w:val="center"/>
        <w:tblBorders>
          <w:top w:val="single" w:color="FF0000" w:sz="4" w:space="0"/>
          <w:left w:val="single" w:color="FF0000" w:sz="4" w:space="0"/>
          <w:bottom w:val="single" w:color="FF0000" w:sz="4" w:space="0"/>
          <w:right w:val="single" w:color="FF0000" w:sz="4" w:space="0"/>
          <w:insideH w:val="single" w:color="FF0000" w:sz="4" w:space="0"/>
          <w:insideV w:val="single" w:color="FF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96"/>
        <w:gridCol w:w="3969"/>
        <w:gridCol w:w="2840"/>
      </w:tblGrid>
      <w:tr w14:paraId="340CE676">
        <w:trPr>
          <w:jc w:val="center"/>
        </w:trPr>
        <w:tc>
          <w:tcPr>
            <w:tcW w:w="8505" w:type="dxa"/>
            <w:gridSpan w:val="3"/>
            <w:vAlign w:val="center"/>
          </w:tcPr>
          <w:p w14:paraId="57E62B03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 w:val="0"/>
                <w:color w:val="auto"/>
                <w:sz w:val="21"/>
                <w:szCs w:val="21"/>
              </w:rPr>
              <w:t>经同意与之发生性行为的行为定性</w:t>
            </w:r>
          </w:p>
        </w:tc>
      </w:tr>
      <w:tr w14:paraId="32B04424">
        <w:trPr>
          <w:jc w:val="center"/>
        </w:trPr>
        <w:tc>
          <w:tcPr>
            <w:tcW w:w="1696" w:type="dxa"/>
            <w:vAlign w:val="center"/>
          </w:tcPr>
          <w:p w14:paraId="6DF20492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z w:val="21"/>
                <w:szCs w:val="21"/>
              </w:rPr>
              <w:t>主体</w:t>
            </w:r>
          </w:p>
        </w:tc>
        <w:tc>
          <w:tcPr>
            <w:tcW w:w="3969" w:type="dxa"/>
            <w:vAlign w:val="center"/>
          </w:tcPr>
          <w:p w14:paraId="78A64EB8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z w:val="21"/>
                <w:szCs w:val="21"/>
              </w:rPr>
              <w:t>对象</w:t>
            </w:r>
          </w:p>
        </w:tc>
        <w:tc>
          <w:tcPr>
            <w:tcW w:w="2840" w:type="dxa"/>
            <w:vAlign w:val="center"/>
          </w:tcPr>
          <w:p w14:paraId="1F26E873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z w:val="21"/>
                <w:szCs w:val="21"/>
              </w:rPr>
              <w:t>罪名</w:t>
            </w:r>
          </w:p>
        </w:tc>
      </w:tr>
      <w:tr w14:paraId="7D1D453A">
        <w:trPr>
          <w:jc w:val="center"/>
        </w:trPr>
        <w:tc>
          <w:tcPr>
            <w:tcW w:w="1696" w:type="dxa"/>
            <w:vMerge w:val="restart"/>
            <w:vAlign w:val="center"/>
          </w:tcPr>
          <w:p w14:paraId="2F32F40B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任何人</w:t>
            </w:r>
          </w:p>
        </w:tc>
        <w:tc>
          <w:tcPr>
            <w:tcW w:w="3969" w:type="dxa"/>
            <w:vAlign w:val="center"/>
          </w:tcPr>
          <w:p w14:paraId="50C9111A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“幼女”：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0～14周岁，性交</w:t>
            </w:r>
          </w:p>
        </w:tc>
        <w:tc>
          <w:tcPr>
            <w:tcW w:w="2840" w:type="dxa"/>
            <w:vAlign w:val="center"/>
          </w:tcPr>
          <w:p w14:paraId="4CA1FABF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奸淫幼女型强奸罪</w:t>
            </w:r>
          </w:p>
        </w:tc>
      </w:tr>
      <w:tr w14:paraId="4D0C9576">
        <w:trPr>
          <w:trHeight w:val="70" w:hRule="atLeast"/>
          <w:jc w:val="center"/>
        </w:trPr>
        <w:tc>
          <w:tcPr>
            <w:tcW w:w="1696" w:type="dxa"/>
            <w:vMerge w:val="continue"/>
            <w:vAlign w:val="center"/>
          </w:tcPr>
          <w:p w14:paraId="66F5CC16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</w:p>
        </w:tc>
        <w:tc>
          <w:tcPr>
            <w:tcW w:w="3969" w:type="dxa"/>
            <w:vAlign w:val="center"/>
          </w:tcPr>
          <w:p w14:paraId="2FC79C5E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“儿童”（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男童女童）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：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0～14周岁，</w:t>
            </w:r>
          </w:p>
          <w:p w14:paraId="7EA3584E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非性交的性行为</w:t>
            </w:r>
          </w:p>
        </w:tc>
        <w:tc>
          <w:tcPr>
            <w:tcW w:w="2840" w:type="dxa"/>
            <w:vAlign w:val="center"/>
          </w:tcPr>
          <w:p w14:paraId="5B7FB340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猥亵儿童罪</w:t>
            </w:r>
          </w:p>
        </w:tc>
      </w:tr>
      <w:tr w14:paraId="68804311">
        <w:trPr>
          <w:jc w:val="center"/>
        </w:trPr>
        <w:tc>
          <w:tcPr>
            <w:tcW w:w="1696" w:type="dxa"/>
            <w:vAlign w:val="center"/>
          </w:tcPr>
          <w:p w14:paraId="76CEA954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特殊职责人员</w:t>
            </w:r>
          </w:p>
        </w:tc>
        <w:tc>
          <w:tcPr>
            <w:tcW w:w="3969" w:type="dxa"/>
            <w:vMerge w:val="restart"/>
            <w:vAlign w:val="center"/>
          </w:tcPr>
          <w:p w14:paraId="7142F712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少女：14～16周岁</w:t>
            </w:r>
          </w:p>
        </w:tc>
        <w:tc>
          <w:tcPr>
            <w:tcW w:w="2840" w:type="dxa"/>
            <w:vAlign w:val="center"/>
          </w:tcPr>
          <w:p w14:paraId="310D5B9C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负有照护职责人员性侵罪</w:t>
            </w:r>
          </w:p>
        </w:tc>
      </w:tr>
      <w:tr w14:paraId="0E7BAE11">
        <w:trPr>
          <w:jc w:val="center"/>
        </w:trPr>
        <w:tc>
          <w:tcPr>
            <w:tcW w:w="1696" w:type="dxa"/>
            <w:vAlign w:val="center"/>
          </w:tcPr>
          <w:p w14:paraId="1B99C363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一般人</w:t>
            </w:r>
          </w:p>
        </w:tc>
        <w:tc>
          <w:tcPr>
            <w:tcW w:w="3969" w:type="dxa"/>
            <w:vMerge w:val="continue"/>
            <w:vAlign w:val="center"/>
          </w:tcPr>
          <w:p w14:paraId="74E96921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</w:p>
        </w:tc>
        <w:tc>
          <w:tcPr>
            <w:tcW w:w="2840" w:type="dxa"/>
            <w:vAlign w:val="center"/>
          </w:tcPr>
          <w:p w14:paraId="397311B9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无罪</w:t>
            </w:r>
          </w:p>
        </w:tc>
      </w:tr>
      <w:tr w14:paraId="2E5703F0">
        <w:trPr>
          <w:jc w:val="center"/>
        </w:trPr>
        <w:tc>
          <w:tcPr>
            <w:tcW w:w="1696" w:type="dxa"/>
            <w:vAlign w:val="center"/>
          </w:tcPr>
          <w:p w14:paraId="39D17D12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任何人</w:t>
            </w:r>
          </w:p>
        </w:tc>
        <w:tc>
          <w:tcPr>
            <w:tcW w:w="3969" w:type="dxa"/>
            <w:vAlign w:val="center"/>
          </w:tcPr>
          <w:p w14:paraId="34B7EC8A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已满16周岁的女性</w:t>
            </w:r>
          </w:p>
        </w:tc>
        <w:tc>
          <w:tcPr>
            <w:tcW w:w="2840" w:type="dxa"/>
            <w:vAlign w:val="center"/>
          </w:tcPr>
          <w:p w14:paraId="0EFA2B2D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无罪</w:t>
            </w:r>
          </w:p>
        </w:tc>
      </w:tr>
    </w:tbl>
    <w:p w14:paraId="5B3ED691">
      <w:pPr>
        <w:snapToGrid w:val="0"/>
        <w:spacing w:after="0" w:line="300" w:lineRule="exact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</w:p>
    <w:p w14:paraId="14BA645A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5．想象竞合。特殊职责人员违背少女真实意志强奸少女，既触犯本罪，又触犯强奸罪，择一重处以强奸罪论。</w:t>
      </w:r>
    </w:p>
    <w:p w14:paraId="54FD3C7E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</w:p>
    <w:p w14:paraId="12068871">
      <w:pPr>
        <w:pStyle w:val="4"/>
        <w:spacing w:after="0"/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  <w:t>三、强制猥亵、侮辱罪；猥亵儿童罪</w:t>
      </w:r>
    </w:p>
    <w:p w14:paraId="057F2E71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第236条【强制猥亵、侮辱罪】</w:t>
      </w:r>
      <w:r>
        <w:rPr>
          <w:rFonts w:hint="eastAsia" w:asciiTheme="minorEastAsia" w:hAnsiTheme="minorEastAsia" w:eastAsiaTheme="minorEastAsia" w:cstheme="minorEastAsia"/>
          <w:color w:val="auto"/>
          <w:kern w:val="2"/>
          <w:sz w:val="21"/>
          <w:szCs w:val="21"/>
        </w:rPr>
        <w:t>【猥亵儿童罪】</w:t>
      </w:r>
    </w:p>
    <w:p w14:paraId="51E92ECC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1．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刺激或者满足性欲的内心倾向（动机），不是本罪的必要构成要素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。只要猥亵、侮辱行为在客观上侵害了他人涉及性尊严（性羞耻心）的身体权，主观上有故意就应按强制猥亵、侮辱罪论处。</w:t>
      </w:r>
    </w:p>
    <w:p w14:paraId="7B2565EF">
      <w:pPr>
        <w:snapToGrid w:val="0"/>
        <w:spacing w:after="0"/>
        <w:ind w:firstLine="420"/>
        <w:rPr>
          <w:rFonts w:hint="default" w:asciiTheme="minorEastAsia" w:hAnsiTheme="minorEastAsia" w:eastAsiaTheme="minorEastAsia" w:cstheme="minorEastAsia"/>
          <w:color w:val="auto"/>
          <w:sz w:val="21"/>
          <w:szCs w:val="21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FF0000"/>
          <w:sz w:val="21"/>
          <w:szCs w:val="21"/>
          <w:lang w:val="en-US" w:eastAsia="zh-CN"/>
        </w:rPr>
        <w:t>注意：本罪有故意即可，无需有性动机。</w:t>
      </w:r>
    </w:p>
    <w:p w14:paraId="64C48D90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2．强制猥亵、侮辱罪与侮辱罪的想象竞合。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强制猥亵他人、侮辱妇女侵害他人涉及性尊严的身体权，同时通过该行为贬损他人名誉的，同时触犯强制猥亵、侮辱罪与侮辱罪，系想象竞合，应当择一重罪处断。</w:t>
      </w:r>
    </w:p>
    <w:p w14:paraId="6377C45F">
      <w:pPr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3．网络猥亵。</w:t>
      </w:r>
    </w:p>
    <w:p w14:paraId="69F11442">
      <w:pPr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胁迫、诱骗未成年人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通过网络视频聊天或者发送视频、照片等方式，暴露身体隐私部位或者实施淫秽行为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，符合刑法第二百三十七条规定的，以强制猥亵罪或者猥亵儿童罪定罪处罚。胁迫、诱骗未成年人通过网络直播方式实施前款行为，同时符合刑法第二百三十七条、第三百六十五条的规定，构成强制猥亵罪、猥亵儿童罪、组织淫秽表演罪的，依照处罚较重的规定定罪处罚。</w:t>
      </w:r>
    </w:p>
    <w:p w14:paraId="3FBB3005">
      <w:pPr>
        <w:pStyle w:val="2"/>
        <w:spacing w:before="0" w:after="0" w:line="480" w:lineRule="exact"/>
        <w:jc w:val="both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bookmarkStart w:id="11" w:name="_Toc219219908"/>
    </w:p>
    <w:p w14:paraId="625F4B91">
      <w:pPr>
        <w:pStyle w:val="2"/>
        <w:spacing w:before="0" w:after="0" w:line="480" w:lineRule="exact"/>
        <w:rPr>
          <w:rFonts w:hint="default" w:asciiTheme="minorEastAsia" w:hAnsiTheme="minorEastAsia" w:eastAsiaTheme="minorEastAsia" w:cstheme="minorEastAsia"/>
          <w:color w:val="auto"/>
          <w:sz w:val="21"/>
          <w:szCs w:val="21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</w:rPr>
        <w:t>考点24  非法拘禁罪</w:t>
      </w:r>
      <w:bookmarkEnd w:id="11"/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  <w:lang w:eastAsia="zh-CN"/>
        </w:rPr>
        <w:t>（</w:t>
      </w:r>
      <w:r>
        <w:rPr>
          <w:rFonts w:hint="eastAsia" w:asciiTheme="minorEastAsia" w:hAnsiTheme="minorEastAsia" w:eastAsiaTheme="minorEastAsia" w:cstheme="minorEastAsia"/>
          <w:b/>
          <w:bCs w:val="0"/>
          <w:color w:val="FF0000"/>
          <w:sz w:val="21"/>
          <w:szCs w:val="21"/>
          <w:lang w:val="en-US" w:eastAsia="zh-CN"/>
        </w:rPr>
        <w:t>重点罪名）</w:t>
      </w:r>
    </w:p>
    <w:p w14:paraId="7CE2E0A0">
      <w:pPr>
        <w:spacing w:after="0"/>
        <w:ind w:firstLine="420"/>
        <w:jc w:val="left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</w:p>
    <w:p w14:paraId="5C04501D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第238条【非法拘禁罪】</w:t>
      </w:r>
    </w:p>
    <w:p w14:paraId="2C826165">
      <w:pPr>
        <w:snapToGrid w:val="0"/>
        <w:spacing w:after="0"/>
        <w:ind w:left="0" w:leftChars="0" w:firstLine="0" w:firstLineChars="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</w:p>
    <w:p w14:paraId="20DF3902">
      <w:pPr>
        <w:pStyle w:val="4"/>
        <w:spacing w:after="0"/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  <w:t>一、构成特征</w:t>
      </w:r>
    </w:p>
    <w:p w14:paraId="2E9AC8FC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1．行为对象：他人，系具有身体活动自由或具有自由意识的自然人。能够行走的幼儿、精神病患者、残疾人，可成为本罪的对象。不能活动的婴儿，不属本罪对象。单纯的偷盗婴儿的行为，涉嫌拐骗儿童罪（其他目的涉嫌绑架罪、拐卖儿童罪等）。</w:t>
      </w:r>
    </w:p>
    <w:p w14:paraId="031D3B6D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2．拘禁行为：剥夺他人人身自由。包括有形方式，也可以是无形方式。例如，将妇女洗澡时的换洗衣服拿走，使其基于羞耻心无法走出浴室；使被害人进入货车车厢后高速行驶，使之不敢轻易跳下车，都属拘禁行为。</w:t>
      </w:r>
    </w:p>
    <w:p w14:paraId="137D69D7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</w:p>
    <w:p w14:paraId="4D521B26">
      <w:pPr>
        <w:pStyle w:val="4"/>
        <w:spacing w:after="0"/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  <w:t>二、索债型非法拘禁：主观上不具非法占有目的</w:t>
      </w:r>
    </w:p>
    <w:p w14:paraId="61E85A91">
      <w:pPr>
        <w:snapToGrid w:val="0"/>
        <w:spacing w:after="0"/>
        <w:ind w:firstLine="422"/>
        <w:rPr>
          <w:rFonts w:hint="eastAsia" w:asciiTheme="minorEastAsia" w:hAnsiTheme="minorEastAsia" w:eastAsiaTheme="minorEastAsia" w:cstheme="minorEastAsia"/>
          <w:b/>
          <w:color w:val="auto"/>
          <w:sz w:val="21"/>
          <w:szCs w:val="21"/>
        </w:rPr>
      </w:pPr>
    </w:p>
    <w:tbl>
      <w:tblPr>
        <w:tblStyle w:val="10"/>
        <w:tblW w:w="8505" w:type="dxa"/>
        <w:jc w:val="center"/>
        <w:tblBorders>
          <w:top w:val="single" w:color="FF0000" w:sz="4" w:space="0"/>
          <w:left w:val="single" w:color="FF0000" w:sz="4" w:space="0"/>
          <w:bottom w:val="single" w:color="FF0000" w:sz="4" w:space="0"/>
          <w:right w:val="single" w:color="FF0000" w:sz="4" w:space="0"/>
          <w:insideH w:val="single" w:color="FF0000" w:sz="4" w:space="0"/>
          <w:insideV w:val="single" w:color="FF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56"/>
        <w:gridCol w:w="5249"/>
      </w:tblGrid>
      <w:tr w14:paraId="2C041F89">
        <w:trPr>
          <w:jc w:val="center"/>
        </w:trPr>
        <w:tc>
          <w:tcPr>
            <w:tcW w:w="8505" w:type="dxa"/>
            <w:gridSpan w:val="2"/>
            <w:vAlign w:val="center"/>
          </w:tcPr>
          <w:p w14:paraId="29E75DBF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为索取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债务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非法扣押、拘禁他人的，依照非法拘禁罪（故意伤害罪、杀人罪）定罪处罚</w:t>
            </w:r>
          </w:p>
        </w:tc>
      </w:tr>
      <w:tr w14:paraId="23FDDB0A">
        <w:trPr>
          <w:jc w:val="center"/>
        </w:trPr>
        <w:tc>
          <w:tcPr>
            <w:tcW w:w="8505" w:type="dxa"/>
            <w:gridSpan w:val="2"/>
            <w:vAlign w:val="center"/>
          </w:tcPr>
          <w:p w14:paraId="353A989F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原理：主观上不具有非法占有的目的</w:t>
            </w:r>
          </w:p>
        </w:tc>
      </w:tr>
      <w:tr w14:paraId="0A68DB05">
        <w:trPr>
          <w:jc w:val="center"/>
        </w:trPr>
        <w:tc>
          <w:tcPr>
            <w:tcW w:w="3256" w:type="dxa"/>
            <w:vAlign w:val="center"/>
          </w:tcPr>
          <w:p w14:paraId="5CC8C8DA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为索取“债务”（主观目的）</w:t>
            </w:r>
          </w:p>
        </w:tc>
        <w:tc>
          <w:tcPr>
            <w:tcW w:w="5249" w:type="dxa"/>
            <w:vAlign w:val="center"/>
          </w:tcPr>
          <w:p w14:paraId="1DCE3235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为了索取合法债务；为了索取高利贷、赌债等法律不予保护的债务</w:t>
            </w:r>
          </w:p>
        </w:tc>
      </w:tr>
      <w:tr w14:paraId="30BFBE95">
        <w:trPr>
          <w:jc w:val="center"/>
        </w:trPr>
        <w:tc>
          <w:tcPr>
            <w:tcW w:w="3256" w:type="dxa"/>
            <w:vAlign w:val="center"/>
          </w:tcPr>
          <w:p w14:paraId="73A71865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  <w:t>“他人”</w:t>
            </w:r>
          </w:p>
        </w:tc>
        <w:tc>
          <w:tcPr>
            <w:tcW w:w="5249" w:type="dxa"/>
            <w:vAlign w:val="center"/>
          </w:tcPr>
          <w:p w14:paraId="6C5FC2C4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  <w:t>债务人本人，其近亲属、其它具有关联的人，任何人</w:t>
            </w:r>
          </w:p>
        </w:tc>
      </w:tr>
      <w:tr w14:paraId="0E0BFBEF">
        <w:trPr>
          <w:jc w:val="center"/>
        </w:trPr>
        <w:tc>
          <w:tcPr>
            <w:tcW w:w="3256" w:type="dxa"/>
            <w:vAlign w:val="center"/>
          </w:tcPr>
          <w:p w14:paraId="46FF2AD4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  <w:t>行为人</w:t>
            </w:r>
          </w:p>
        </w:tc>
        <w:tc>
          <w:tcPr>
            <w:tcW w:w="5249" w:type="dxa"/>
            <w:vAlign w:val="center"/>
          </w:tcPr>
          <w:p w14:paraId="461AD28B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  <w:t>债权人，帮债权人索债的人</w:t>
            </w:r>
          </w:p>
        </w:tc>
      </w:tr>
    </w:tbl>
    <w:p w14:paraId="7CCCC6B4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</w:p>
    <w:p w14:paraId="7B657634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1．原理：之所以此种情形不以绑架罪、抢劫罪论处而构成非法拘禁罪，其基本原理在于，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行为人主观上不具备非法占有目的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，不符合绑架罪、抢劫罪成立的责任（主观）要件</w:t>
      </w:r>
    </w:p>
    <w:p w14:paraId="4B9D4F16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2．法条解释。</w:t>
      </w:r>
    </w:p>
    <w:p w14:paraId="6CEFE87D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（1）“为索取债务”是主观要素，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既包括为了索取合法债务，也包括为了索取高利贷、赌债等法律不予保护的债务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。为了索取高利贷、赌债而拘禁他人的，也构成非法拘禁罪。</w:t>
      </w:r>
    </w:p>
    <w:p w14:paraId="4AB6FA05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（2）“他人”包括债务人本人，也包括其近亲属、其他具有关联的人，以及其他人员（任何人）。例如，债权人扣禁债务人的儿子，逼债务人还债的，也构成非法拘禁罪。</w:t>
      </w:r>
    </w:p>
    <w:p w14:paraId="68A28055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（3）行为人既包括债权人，也包括为了债权人利益帮助其索债的人。例如，“欠债公司”受债权人所托，采用拘禁手段索债的，也构成非法拘禁罪。</w:t>
      </w:r>
    </w:p>
    <w:p w14:paraId="3D223A02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4）在手段、方式上，为索债而采用暴力威胁（包括严重暴力威胁）而未将暴力变为现实的，仍然认定为非法拘禁罪。在其过程中使用暴力造成重伤、死亡的，应当认为是转化犯，构成故意伤害罪（重伤）、故意杀人罪。在其过程中使用暴力造成轻伤，认定为非法拘禁罪与故意伤害罪（轻伤）的想象竞合，择一重处仍认为是非法拘禁罪。</w:t>
      </w:r>
    </w:p>
    <w:p w14:paraId="6518459A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</w:p>
    <w:p w14:paraId="6F330DD8">
      <w:pPr>
        <w:pStyle w:val="4"/>
        <w:spacing w:after="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  <w:t>三、非法拘禁罪的结果加重犯与转化犯的区分：主观上对于结果是过失、还是故意</w:t>
      </w:r>
    </w:p>
    <w:p w14:paraId="14A6FCB3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b/>
          <w:bCs/>
          <w:color w:val="FF0000"/>
          <w:sz w:val="21"/>
          <w:szCs w:val="21"/>
          <w:lang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FF0000"/>
          <w:sz w:val="21"/>
          <w:szCs w:val="21"/>
          <w:lang w:eastAsia="zh-CN"/>
        </w:rPr>
        <w:t>“</w:t>
      </w:r>
      <w:r>
        <w:rPr>
          <w:rFonts w:hint="eastAsia" w:asciiTheme="minorEastAsia" w:hAnsiTheme="minorEastAsia" w:eastAsiaTheme="minorEastAsia" w:cstheme="minorEastAsia"/>
          <w:b/>
          <w:bCs/>
          <w:color w:val="FF0000"/>
          <w:sz w:val="21"/>
          <w:szCs w:val="21"/>
          <w:lang w:val="en-US" w:eastAsia="zh-CN"/>
        </w:rPr>
        <w:t>绝招</w:t>
      </w:r>
      <w:r>
        <w:rPr>
          <w:rFonts w:hint="eastAsia" w:asciiTheme="minorEastAsia" w:hAnsiTheme="minorEastAsia" w:eastAsiaTheme="minorEastAsia" w:cstheme="minorEastAsia"/>
          <w:b/>
          <w:bCs/>
          <w:color w:val="FF0000"/>
          <w:sz w:val="21"/>
          <w:szCs w:val="21"/>
          <w:lang w:eastAsia="zh-CN"/>
        </w:rPr>
        <w:t>”：去掉非法拘禁，直接考虑致死行为触犯什么罪</w:t>
      </w:r>
    </w:p>
    <w:p w14:paraId="6A02A472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1．结果加重犯和转化犯的法条规定：</w:t>
      </w:r>
    </w:p>
    <w:p w14:paraId="026B90AB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（1）非法拘禁罪的结果加重犯。犯非法拘禁罪而（过失）致人重伤或者致人死亡的，仍然认定为非法拘禁罪，是本罪的结果加重犯。</w:t>
      </w:r>
    </w:p>
    <w:p w14:paraId="7399AF22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（2）非法拘禁的转化犯（故意杀人罪、故意伤害罪）实为想象竞合犯的提示规定。非法拘禁使用暴力（故意）致人伤残、死亡的，以故意伤害罪、故意杀人罪论处。</w:t>
      </w:r>
    </w:p>
    <w:p w14:paraId="69E0A256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2．二者的区别。</w:t>
      </w:r>
    </w:p>
    <w:p w14:paraId="69C0BF3E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（1）在理论原理上，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过失、故意进行区分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：结果加重犯中，行为人对于伤害、死亡结果，主观上是过失心态。在转化犯中，行为人对于伤害、死亡结果，主观上是故意心态。</w:t>
      </w:r>
    </w:p>
    <w:p w14:paraId="22758CFC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2）推定规则：①致人重伤、死亡，但没有使用超出拘禁行为所需范围的暴力的，推定行为人对结果是过失的，仍为结果加重犯；②致人重伤、死亡，但使用超出拘禁行为所需范围的暴力的，推定行为人对结果是故意的，认定为转化犯，构成故意伤害罪、故意杀人罪。例如，在非法拘禁过程中因捆绑过紧导致被害人死亡的，应当认定为结果加重犯。</w:t>
      </w:r>
    </w:p>
    <w:p w14:paraId="12AE62C3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（3）如果确有证据，可以证明行为人对伤害、死亡结果的罪过心态，根据事实认定。</w:t>
      </w:r>
    </w:p>
    <w:p w14:paraId="393C07A0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3．不属结果加重犯也不属转化犯的情况：</w:t>
      </w:r>
    </w:p>
    <w:p w14:paraId="4EFD554C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（1）基本犯：死亡与拘禁行为没有因果关系（如自杀）</w:t>
      </w:r>
    </w:p>
    <w:p w14:paraId="67BE2C15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（2）想象竞合：在非法拘禁的过程中，因拘禁使用暴力致人轻伤的，触犯非法拘禁罪、故意伤害罪（轻伤），择一重罪处断，一般以非法拘禁罪论处</w:t>
      </w:r>
    </w:p>
    <w:p w14:paraId="05AE1BEA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4．争议：在非法拘禁的过程中，另起杀人故意而直接实施杀人行为或者伤害行为的（暴力与拘禁无关）。</w:t>
      </w:r>
    </w:p>
    <w:p w14:paraId="0371A446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（1）观点一：认定为非法拘禁罪、故意杀人罪或故意伤害罪，数罪并罚。</w:t>
      </w:r>
    </w:p>
    <w:p w14:paraId="39B7B0C0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（2）观点二：仍按故意杀人罪或故意伤害罪从一重罪论处。</w:t>
      </w:r>
    </w:p>
    <w:p w14:paraId="4D61043D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bookmarkStart w:id="13" w:name="_GoBack"/>
      <w:bookmarkEnd w:id="13"/>
    </w:p>
    <w:p w14:paraId="11266F76">
      <w:pPr>
        <w:pStyle w:val="4"/>
        <w:spacing w:after="0"/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  <w:t>四、罪数</w:t>
      </w:r>
    </w:p>
    <w:p w14:paraId="0A8EC59B">
      <w:pPr>
        <w:pStyle w:val="5"/>
        <w:spacing w:after="0"/>
        <w:ind w:firstLine="252" w:firstLineChars="1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（一）一罪</w:t>
      </w:r>
    </w:p>
    <w:p w14:paraId="223F8694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1．法条竞合（整体法优于部分法）。实施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绑架、抢劫、拐卖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等以暴力为手段的犯罪，以拘禁作为“暴力”手段的，应当以整体法绑架、抢劫、拐卖等罪名定罪，不再单独认定构成非法拘禁罪。</w:t>
      </w:r>
    </w:p>
    <w:p w14:paraId="6BDB8251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2．结合犯（加重犯）。犯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组织他人偷越国（边）境罪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，剥夺或者限制被组织人人身自由的，以组织他人偷越国（边）境罪一罪论处（情节加重犯）。</w:t>
      </w:r>
    </w:p>
    <w:p w14:paraId="5F2352B0">
      <w:pPr>
        <w:pStyle w:val="5"/>
        <w:spacing w:after="0"/>
        <w:ind w:firstLine="252" w:firstLineChars="1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（二）数罪并罚</w:t>
      </w:r>
    </w:p>
    <w:p w14:paraId="69280E1D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1．犯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收买被拐卖的妇女、儿童罪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，又非法拘禁，应当数罪并罚。</w:t>
      </w:r>
    </w:p>
    <w:p w14:paraId="40B2691E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2．非法拘禁罪是继续犯，在继续状态中又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另起犯意犯它罪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，例如先非法拘禁，在拘禁过程中又临时起意实施绑架、抢劫、拐卖、强奸等犯罪，应当数罪并罚。</w:t>
      </w:r>
    </w:p>
    <w:p w14:paraId="17778409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</w:p>
    <w:p w14:paraId="5F110278">
      <w:pPr>
        <w:pStyle w:val="4"/>
        <w:spacing w:after="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  <w:t>五、索债型非法拘禁与催收非法债务罪（《刑法修正案（十一）》增设）的关系</w:t>
      </w:r>
    </w:p>
    <w:p w14:paraId="0C561D1F">
      <w:pPr>
        <w:pStyle w:val="8"/>
        <w:adjustRightInd w:val="0"/>
        <w:snapToGrid w:val="0"/>
        <w:spacing w:before="0" w:beforeAutospacing="0" w:after="0" w:afterAutospacing="0"/>
        <w:ind w:firstLine="420"/>
        <w:jc w:val="both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2"/>
          <w:sz w:val="21"/>
          <w:szCs w:val="21"/>
        </w:rPr>
        <w:t>第293条之一【催收非法债务罪】</w:t>
      </w:r>
    </w:p>
    <w:p w14:paraId="091458BF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交叉竞合关系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：与寻衅滋事罪、非法拘禁罪、非法侵入住宅罪、故意伤害罪等犯罪之间的关系。在构成要件层面上，本罪的方法行为实际上就是寻衅滋事、非法拘禁、非法侵入住宅等，只不过目的行为系催收非法债务的行为。因此，本罪与前述这些罪名系交叉竞合的法条竞合关系，既触犯本罪又触犯前述这些罪名的，应当择一重处。</w:t>
      </w:r>
    </w:p>
    <w:p w14:paraId="3916ED7D">
      <w:pPr>
        <w:pStyle w:val="2"/>
        <w:spacing w:before="0" w:after="0" w:line="480" w:lineRule="exact"/>
        <w:jc w:val="both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</w:p>
    <w:p w14:paraId="7EDA635D">
      <w:pPr>
        <w:pStyle w:val="2"/>
        <w:spacing w:before="0" w:after="0" w:line="480" w:lineRule="exact"/>
        <w:rPr>
          <w:rFonts w:hint="eastAsia" w:asciiTheme="minorEastAsia" w:hAnsiTheme="minorEastAsia" w:eastAsiaTheme="minorEastAsia" w:cstheme="minorEastAsia"/>
          <w:color w:val="auto"/>
          <w:sz w:val="21"/>
          <w:szCs w:val="21"/>
          <w:lang w:eastAsia="zh-CN"/>
        </w:rPr>
      </w:pP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</w:rPr>
        <w:t>考点25  绑架罪</w:t>
      </w:r>
    </w:p>
    <w:p w14:paraId="1B22D502">
      <w:pPr>
        <w:spacing w:after="0" w:line="320" w:lineRule="exact"/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</w:p>
    <w:p w14:paraId="429A66E9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客观绑架行为（拘禁、杀伤、偷盗婴幼儿）+主观勒赎、人质目的</w:t>
      </w:r>
    </w:p>
    <w:p w14:paraId="324691B6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第239条【绑架罪】</w:t>
      </w:r>
    </w:p>
    <w:p w14:paraId="261155D1">
      <w:pPr>
        <w:snapToGrid w:val="0"/>
        <w:spacing w:after="0"/>
        <w:ind w:left="0" w:leftChars="0" w:firstLine="0" w:firstLineChars="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</w:p>
    <w:p w14:paraId="0215F05F">
      <w:pPr>
        <w:pStyle w:val="4"/>
        <w:spacing w:after="0"/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  <w:t>一、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  <w:lang w:val="en-US" w:eastAsia="zh-CN"/>
        </w:rPr>
        <w:t>本罪为</w:t>
      </w:r>
      <w:r>
        <w:rPr>
          <w:rFonts w:hint="eastAsia" w:asciiTheme="minorEastAsia" w:hAnsiTheme="minorEastAsia" w:eastAsiaTheme="minorEastAsia" w:cstheme="minorEastAsia"/>
          <w:b/>
          <w:bCs/>
          <w:color w:val="FF0000"/>
          <w:sz w:val="21"/>
          <w:szCs w:val="21"/>
        </w:rPr>
        <w:t>单行为犯</w:t>
      </w:r>
    </w:p>
    <w:p w14:paraId="1EB31DE4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1．绑架罪有三种行为方式：（1）为勒索财物而绑架他人；（2）绑架他人作为人质；（3）为勒索财物偷盗婴幼儿。</w:t>
      </w:r>
    </w:p>
    <w:p w14:paraId="588E8234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2．绑架罪是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  <w:t>单行为犯：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在客观方面只需具有一个绑架行为（扣押、控制、杀害他人等）即可。勒赎或扣为人质是主观目的要素（法定的目的犯）。</w:t>
      </w:r>
    </w:p>
    <w:p w14:paraId="6E25F595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</w:p>
    <w:p w14:paraId="414B3629">
      <w:pPr>
        <w:pStyle w:val="4"/>
        <w:spacing w:after="0"/>
        <w:jc w:val="both"/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  <w:t>二、构成要件要点：客观绑架行为（拘禁、杀伤、偷盗婴幼儿）+主观勒赎、人质目的</w:t>
      </w:r>
    </w:p>
    <w:p w14:paraId="7D69A56C">
      <w:pPr>
        <w:autoSpaceDE w:val="0"/>
        <w:autoSpaceDN w:val="0"/>
        <w:adjustRightInd w:val="0"/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1．绑架行为：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表现为拘禁、杀伤、偷盗婴幼儿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（法条竞合）。</w:t>
      </w:r>
    </w:p>
    <w:p w14:paraId="58FC1AF7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bookmarkStart w:id="12" w:name="OLE_LINK6"/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（1）</w:t>
      </w:r>
      <w:bookmarkEnd w:id="12"/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需要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实际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扣押、控制他人（真绑架）。没有实际扣押、控制而谎称扣押、控制（“假绑架”），以此向他人勒索财物，不构成绑架罪，可构成敲诈勒索罪（与诈骗罪想象竞合）。</w:t>
      </w:r>
    </w:p>
    <w:p w14:paraId="5AA363F3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（2）绑架行为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表现为拘禁、杀伤、偷盗婴幼儿。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以勒赎为目的杀害、伤害被害人，以绑架罪（绑架中杀害、伤害被绑架人）论处。以勒赎为目的偷盗婴幼儿，以绑架罪论处。</w:t>
      </w:r>
    </w:p>
    <w:p w14:paraId="493E4289">
      <w:pPr>
        <w:snapToGrid w:val="0"/>
        <w:spacing w:after="0"/>
        <w:ind w:firstLine="408"/>
        <w:rPr>
          <w:rFonts w:hint="eastAsia" w:asciiTheme="minorEastAsia" w:hAnsiTheme="minorEastAsia" w:eastAsiaTheme="minorEastAsia" w:cstheme="minorEastAsia"/>
          <w:color w:val="auto"/>
          <w:spacing w:val="-3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pacing w:val="-3"/>
          <w:sz w:val="21"/>
          <w:szCs w:val="21"/>
        </w:rPr>
        <w:t>（3）需要实际扣押、控制他人，而</w:t>
      </w:r>
      <w:r>
        <w:rPr>
          <w:rFonts w:hint="eastAsia" w:asciiTheme="minorEastAsia" w:hAnsiTheme="minorEastAsia" w:eastAsiaTheme="minorEastAsia" w:cstheme="minorEastAsia"/>
          <w:color w:val="auto"/>
          <w:spacing w:val="-3"/>
          <w:sz w:val="21"/>
          <w:szCs w:val="21"/>
        </w:rPr>
        <w:t>不是假扣押、假控制</w:t>
      </w:r>
      <w:r>
        <w:rPr>
          <w:rFonts w:hint="eastAsia" w:asciiTheme="minorEastAsia" w:hAnsiTheme="minorEastAsia" w:eastAsiaTheme="minorEastAsia" w:cstheme="minorEastAsia"/>
          <w:color w:val="auto"/>
          <w:spacing w:val="-3"/>
          <w:sz w:val="21"/>
          <w:szCs w:val="21"/>
        </w:rPr>
        <w:t>。没有实际扣押、控制而谎称扣押、控制（“假绑架”），以此向他人勒索财物，不构成绑架罪，可构成敲诈勒索罪与诈骗罪的想象竞合。</w:t>
      </w:r>
    </w:p>
    <w:p w14:paraId="748B52C4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2．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目的犯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：行为人主观上具有以勒索，或扣为人质的目的。</w:t>
      </w:r>
    </w:p>
    <w:p w14:paraId="1FF3109B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主观要素。“勒赎”（意图要挟第三人向第三人要钱）要素定位于主观目的要素，而不是客观行为要素。只要行为人在扣押他人时在主观上有勒赎目的，即使客观上没有实施勒赎行为，也能认定为绑架罪。</w:t>
      </w:r>
    </w:p>
    <w:p w14:paraId="4AD0D742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（1）“勒赎”是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意图向第三人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（被绑架人的近亲属或者其他负有保护责任的人）要钱。</w:t>
      </w:r>
    </w:p>
    <w:p w14:paraId="48DEEDB8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（2）行为人主观意图的内容，是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想使第三人知情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被绑架人（被害人）被绑架的事实，想利用第三人担心人质安危来换钱（主观）。</w:t>
      </w:r>
    </w:p>
    <w:p w14:paraId="2B529784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（3）无需第三人客观现实上知情人质被绑架的事实（客观）。行为人有此主观意图，被害人（人质）却欺骗第三人使其不知情绑架事，行为人仍构成绑架罪。</w:t>
      </w:r>
    </w:p>
    <w:p w14:paraId="1A8B7D78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3．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主观目的与客观行为需同时存在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。</w:t>
      </w:r>
    </w:p>
    <w:p w14:paraId="1B6A2047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要求行为人在实施扣押、控制他人，或者对他人实施暴力（包括杀害）的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当时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，在主观上就有之后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向第三人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勒赎或提出请求（人质）的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目的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。</w:t>
      </w:r>
    </w:p>
    <w:p w14:paraId="2DF82F7E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</w:p>
    <w:p w14:paraId="2542BEE1">
      <w:pPr>
        <w:pStyle w:val="4"/>
        <w:spacing w:after="0"/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  <w:t>三、既遂标准：人质丧失自由（或被杀害、伤害）</w:t>
      </w:r>
    </w:p>
    <w:p w14:paraId="0CA189DE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绑架罪是单行为犯，以绑架行为实施完毕，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控制人质使之逃脱显著困难，或人质被杀害、伤害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，就应当成立本罪既遂。行为人是否勒索到赎金，是否提出要求、取得财物，不是绑架罪的既遂标准（注：也有少数说法认为绑架保护的是第三人的安宁，只有第三人受到恐吓时，才是既遂）。</w:t>
      </w:r>
    </w:p>
    <w:p w14:paraId="2C32D21B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</w:p>
    <w:p w14:paraId="34B32216">
      <w:pPr>
        <w:pStyle w:val="4"/>
        <w:spacing w:after="0"/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  <w:t>四、刑罚</w:t>
      </w:r>
    </w:p>
    <w:p w14:paraId="1B80BFF3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</w:p>
    <w:tbl>
      <w:tblPr>
        <w:tblStyle w:val="10"/>
        <w:tblW w:w="8505" w:type="dxa"/>
        <w:jc w:val="center"/>
        <w:tblBorders>
          <w:top w:val="single" w:color="FF0000" w:sz="8" w:space="0"/>
          <w:left w:val="single" w:color="FF0000" w:sz="8" w:space="0"/>
          <w:bottom w:val="single" w:color="FF0000" w:sz="8" w:space="0"/>
          <w:right w:val="single" w:color="FF0000" w:sz="8" w:space="0"/>
          <w:insideH w:val="single" w:color="FF0000" w:sz="8" w:space="0"/>
          <w:insideV w:val="single" w:color="FF0000" w:sz="8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57"/>
        <w:gridCol w:w="3092"/>
        <w:gridCol w:w="4156"/>
      </w:tblGrid>
      <w:tr w14:paraId="2D09CEDA">
        <w:trPr>
          <w:jc w:val="center"/>
        </w:trPr>
        <w:tc>
          <w:tcPr>
            <w:tcW w:w="1179" w:type="dxa"/>
            <w:vMerge w:val="restart"/>
            <w:vAlign w:val="center"/>
          </w:tcPr>
          <w:p w14:paraId="6B461541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犯绑架罪</w:t>
            </w:r>
          </w:p>
        </w:tc>
        <w:tc>
          <w:tcPr>
            <w:tcW w:w="2900" w:type="dxa"/>
            <w:vAlign w:val="center"/>
          </w:tcPr>
          <w:p w14:paraId="7AAA5752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行为</w:t>
            </w:r>
          </w:p>
        </w:tc>
        <w:tc>
          <w:tcPr>
            <w:tcW w:w="3898" w:type="dxa"/>
            <w:vAlign w:val="center"/>
          </w:tcPr>
          <w:p w14:paraId="73E4D69A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现行刑法</w:t>
            </w:r>
          </w:p>
        </w:tc>
      </w:tr>
      <w:tr w14:paraId="2053356F">
        <w:trPr>
          <w:trHeight w:val="60" w:hRule="atLeast"/>
          <w:jc w:val="center"/>
        </w:trPr>
        <w:tc>
          <w:tcPr>
            <w:tcW w:w="1179" w:type="dxa"/>
            <w:vMerge w:val="continue"/>
            <w:vAlign w:val="center"/>
          </w:tcPr>
          <w:p w14:paraId="6C51533D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</w:p>
        </w:tc>
        <w:tc>
          <w:tcPr>
            <w:tcW w:w="2900" w:type="dxa"/>
            <w:vAlign w:val="center"/>
          </w:tcPr>
          <w:p w14:paraId="06F34765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杀害被绑架人</w:t>
            </w:r>
          </w:p>
        </w:tc>
        <w:tc>
          <w:tcPr>
            <w:tcW w:w="3898" w:type="dxa"/>
            <w:vMerge w:val="restart"/>
            <w:vAlign w:val="center"/>
          </w:tcPr>
          <w:p w14:paraId="3E06A776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加重犯，处无期或死刑</w:t>
            </w:r>
          </w:p>
        </w:tc>
      </w:tr>
      <w:tr w14:paraId="5FA2B1F4">
        <w:trPr>
          <w:trHeight w:val="60" w:hRule="atLeast"/>
          <w:jc w:val="center"/>
        </w:trPr>
        <w:tc>
          <w:tcPr>
            <w:tcW w:w="1179" w:type="dxa"/>
            <w:vMerge w:val="continue"/>
            <w:vAlign w:val="center"/>
          </w:tcPr>
          <w:p w14:paraId="33359574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</w:p>
        </w:tc>
        <w:tc>
          <w:tcPr>
            <w:tcW w:w="2900" w:type="dxa"/>
            <w:vAlign w:val="center"/>
          </w:tcPr>
          <w:p w14:paraId="29B34A79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故意伤害被绑架人，致人死亡</w:t>
            </w:r>
          </w:p>
        </w:tc>
        <w:tc>
          <w:tcPr>
            <w:tcW w:w="3898" w:type="dxa"/>
            <w:vMerge w:val="continue"/>
            <w:vAlign w:val="center"/>
          </w:tcPr>
          <w:p w14:paraId="5E3CDACC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</w:p>
        </w:tc>
      </w:tr>
      <w:tr w14:paraId="0B44A69C">
        <w:trPr>
          <w:jc w:val="center"/>
        </w:trPr>
        <w:tc>
          <w:tcPr>
            <w:tcW w:w="1179" w:type="dxa"/>
            <w:vMerge w:val="continue"/>
            <w:vAlign w:val="center"/>
          </w:tcPr>
          <w:p w14:paraId="7F91C26A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</w:p>
        </w:tc>
        <w:tc>
          <w:tcPr>
            <w:tcW w:w="2900" w:type="dxa"/>
            <w:vAlign w:val="center"/>
          </w:tcPr>
          <w:p w14:paraId="15DC687A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故意伤害被绑架人，致人重伤</w:t>
            </w:r>
          </w:p>
        </w:tc>
        <w:tc>
          <w:tcPr>
            <w:tcW w:w="3898" w:type="dxa"/>
            <w:vMerge w:val="continue"/>
            <w:vAlign w:val="center"/>
          </w:tcPr>
          <w:p w14:paraId="43A0CF7C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</w:p>
        </w:tc>
      </w:tr>
      <w:tr w14:paraId="07F3CE46">
        <w:trPr>
          <w:jc w:val="center"/>
        </w:trPr>
        <w:tc>
          <w:tcPr>
            <w:tcW w:w="1179" w:type="dxa"/>
            <w:vMerge w:val="continue"/>
            <w:vAlign w:val="center"/>
          </w:tcPr>
          <w:p w14:paraId="63B86AFD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</w:p>
        </w:tc>
        <w:tc>
          <w:tcPr>
            <w:tcW w:w="2900" w:type="dxa"/>
            <w:vAlign w:val="center"/>
          </w:tcPr>
          <w:p w14:paraId="34ED4E38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故意伤害被绑架人，致人轻伤</w:t>
            </w:r>
          </w:p>
        </w:tc>
        <w:tc>
          <w:tcPr>
            <w:tcW w:w="3898" w:type="dxa"/>
            <w:vAlign w:val="center"/>
          </w:tcPr>
          <w:p w14:paraId="0EDE79D0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想象竞合（同一行为），绑架罪基本犯</w:t>
            </w:r>
          </w:p>
        </w:tc>
      </w:tr>
      <w:tr w14:paraId="3093A973">
        <w:trPr>
          <w:jc w:val="center"/>
        </w:trPr>
        <w:tc>
          <w:tcPr>
            <w:tcW w:w="1179" w:type="dxa"/>
            <w:vMerge w:val="continue"/>
            <w:vAlign w:val="center"/>
          </w:tcPr>
          <w:p w14:paraId="2F3CFF44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</w:p>
        </w:tc>
        <w:tc>
          <w:tcPr>
            <w:tcW w:w="2900" w:type="dxa"/>
            <w:vAlign w:val="center"/>
          </w:tcPr>
          <w:p w14:paraId="52199125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过失致人死亡</w:t>
            </w:r>
          </w:p>
        </w:tc>
        <w:tc>
          <w:tcPr>
            <w:tcW w:w="3898" w:type="dxa"/>
            <w:vAlign w:val="center"/>
          </w:tcPr>
          <w:p w14:paraId="39E2102F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想象竞合（同一行为），绑架罪基本犯</w:t>
            </w:r>
          </w:p>
        </w:tc>
      </w:tr>
      <w:tr w14:paraId="42D47048">
        <w:trPr>
          <w:jc w:val="center"/>
        </w:trPr>
        <w:tc>
          <w:tcPr>
            <w:tcW w:w="1179" w:type="dxa"/>
            <w:vMerge w:val="continue"/>
            <w:vAlign w:val="center"/>
          </w:tcPr>
          <w:p w14:paraId="2BD87A78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</w:p>
        </w:tc>
        <w:tc>
          <w:tcPr>
            <w:tcW w:w="2900" w:type="dxa"/>
            <w:vAlign w:val="center"/>
          </w:tcPr>
          <w:p w14:paraId="2ADF1155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强奸、侮辱等它罪</w:t>
            </w:r>
          </w:p>
        </w:tc>
        <w:tc>
          <w:tcPr>
            <w:tcW w:w="3898" w:type="dxa"/>
            <w:vAlign w:val="center"/>
          </w:tcPr>
          <w:p w14:paraId="4AA8A526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数罪并罚</w:t>
            </w:r>
          </w:p>
        </w:tc>
      </w:tr>
    </w:tbl>
    <w:p w14:paraId="6AE44CF3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</w:p>
    <w:p w14:paraId="5368FB77">
      <w:pPr>
        <w:snapToGrid w:val="0"/>
        <w:spacing w:after="0"/>
        <w:ind w:firstLine="0" w:firstLineChars="0"/>
        <w:jc w:val="center"/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结果加重犯的既遂和结果加重犯的未遂</w:t>
      </w:r>
    </w:p>
    <w:p w14:paraId="3BDDACD3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</w:p>
    <w:tbl>
      <w:tblPr>
        <w:tblStyle w:val="10"/>
        <w:tblW w:w="8505" w:type="dxa"/>
        <w:jc w:val="center"/>
        <w:tblBorders>
          <w:top w:val="single" w:color="FF0000" w:sz="8" w:space="0"/>
          <w:left w:val="single" w:color="FF0000" w:sz="8" w:space="0"/>
          <w:bottom w:val="single" w:color="FF0000" w:sz="8" w:space="0"/>
          <w:right w:val="single" w:color="FF0000" w:sz="8" w:space="0"/>
          <w:insideH w:val="single" w:color="FF0000" w:sz="8" w:space="0"/>
          <w:insideV w:val="single" w:color="FF0000" w:sz="8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38"/>
        <w:gridCol w:w="1888"/>
        <w:gridCol w:w="3679"/>
      </w:tblGrid>
      <w:tr w14:paraId="4769A485">
        <w:trPr>
          <w:trHeight w:val="60" w:hRule="atLeast"/>
          <w:jc w:val="center"/>
        </w:trPr>
        <w:tc>
          <w:tcPr>
            <w:tcW w:w="8946" w:type="dxa"/>
            <w:gridSpan w:val="3"/>
            <w:vAlign w:val="center"/>
          </w:tcPr>
          <w:p w14:paraId="7D83E15D">
            <w:pPr>
              <w:snapToGrid w:val="0"/>
              <w:spacing w:before="31" w:beforeLines="10" w:after="62" w:afterLines="20" w:line="280" w:lineRule="exact"/>
              <w:ind w:firstLine="40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“绑架中杀害被绑架人的”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  <w:t>=绑架罪+故意杀人既遂（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“结果加重犯的既遂”的情形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  <w:t>）</w:t>
            </w:r>
          </w:p>
        </w:tc>
      </w:tr>
      <w:tr w14:paraId="61EDE3F5">
        <w:trPr>
          <w:jc w:val="center"/>
        </w:trPr>
        <w:tc>
          <w:tcPr>
            <w:tcW w:w="3087" w:type="dxa"/>
            <w:vAlign w:val="center"/>
          </w:tcPr>
          <w:p w14:paraId="3AD96659">
            <w:pPr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杀死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  <w:t>：绑架罪+故意杀人既遂</w:t>
            </w:r>
          </w:p>
        </w:tc>
        <w:tc>
          <w:tcPr>
            <w:tcW w:w="1983" w:type="dxa"/>
            <w:vAlign w:val="center"/>
          </w:tcPr>
          <w:p w14:paraId="41382A9D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结果加重犯的既遂</w:t>
            </w:r>
          </w:p>
        </w:tc>
        <w:tc>
          <w:tcPr>
            <w:tcW w:w="3876" w:type="dxa"/>
            <w:vAlign w:val="center"/>
          </w:tcPr>
          <w:p w14:paraId="22C7B16A">
            <w:pPr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处无期或死刑（基准刑）</w:t>
            </w:r>
          </w:p>
        </w:tc>
      </w:tr>
      <w:tr w14:paraId="1D8EB1F9">
        <w:trPr>
          <w:jc w:val="center"/>
        </w:trPr>
        <w:tc>
          <w:tcPr>
            <w:tcW w:w="3087" w:type="dxa"/>
            <w:vAlign w:val="center"/>
          </w:tcPr>
          <w:p w14:paraId="7E4F0D89">
            <w:pPr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杀而未死：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  <w:t>绑架罪+故意杀人未遂（基本犯既遂、加重结果未遂类型）</w:t>
            </w:r>
          </w:p>
        </w:tc>
        <w:tc>
          <w:tcPr>
            <w:tcW w:w="1983" w:type="dxa"/>
            <w:vAlign w:val="center"/>
          </w:tcPr>
          <w:p w14:paraId="39C73150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结果加重犯的未遂</w:t>
            </w:r>
          </w:p>
        </w:tc>
        <w:tc>
          <w:tcPr>
            <w:tcW w:w="3876" w:type="dxa"/>
            <w:vAlign w:val="center"/>
          </w:tcPr>
          <w:p w14:paraId="29BB9D4F">
            <w:pPr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以上栏为基准刑，适用关于未遂犯“可以从轻、减轻”的规定。情节恶劣，也可不从轻、减轻</w:t>
            </w:r>
          </w:p>
        </w:tc>
      </w:tr>
    </w:tbl>
    <w:p w14:paraId="5DF31FE7">
      <w:pPr>
        <w:snapToGrid w:val="0"/>
        <w:spacing w:after="0"/>
        <w:ind w:left="0" w:leftChars="0" w:firstLine="0" w:firstLineChars="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</w:p>
    <w:p w14:paraId="13C42525">
      <w:pPr>
        <w:pStyle w:val="4"/>
        <w:spacing w:after="0"/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  <w:t>五、绑架罪的承继共犯：绑架行为终了之前加入</w:t>
      </w:r>
    </w:p>
    <w:p w14:paraId="61593CFF">
      <w:pPr>
        <w:autoSpaceDE w:val="0"/>
        <w:autoSpaceDN w:val="0"/>
        <w:adjustRightInd w:val="0"/>
        <w:snapToGrid w:val="0"/>
        <w:spacing w:after="0"/>
        <w:ind w:left="0" w:leftChars="0" w:firstLine="0" w:firstLineChars="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</w:p>
    <w:tbl>
      <w:tblPr>
        <w:tblStyle w:val="19"/>
        <w:tblW w:w="8505" w:type="dxa"/>
        <w:jc w:val="center"/>
        <w:tblBorders>
          <w:top w:val="single" w:color="FF0000" w:sz="4" w:space="0"/>
          <w:left w:val="single" w:color="FF0000" w:sz="4" w:space="0"/>
          <w:bottom w:val="single" w:color="FF0000" w:sz="4" w:space="0"/>
          <w:right w:val="single" w:color="FF0000" w:sz="4" w:space="0"/>
          <w:insideH w:val="single" w:color="FF0000" w:sz="4" w:space="0"/>
          <w:insideV w:val="single" w:color="FF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24"/>
        <w:gridCol w:w="2071"/>
        <w:gridCol w:w="1675"/>
        <w:gridCol w:w="2335"/>
      </w:tblGrid>
      <w:tr w14:paraId="261FFDB8">
        <w:trPr>
          <w:jc w:val="center"/>
        </w:trPr>
        <w:tc>
          <w:tcPr>
            <w:tcW w:w="8505" w:type="dxa"/>
            <w:gridSpan w:val="4"/>
            <w:vAlign w:val="center"/>
          </w:tcPr>
          <w:p w14:paraId="3785E146">
            <w:pPr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前行为人以勒赎目的（或扣为人质目的）实行绑架（构成绑架罪），后行为人中途加入</w:t>
            </w:r>
          </w:p>
        </w:tc>
      </w:tr>
      <w:tr w14:paraId="639ABA0B">
        <w:trPr>
          <w:jc w:val="center"/>
        </w:trPr>
        <w:tc>
          <w:tcPr>
            <w:tcW w:w="2424" w:type="dxa"/>
            <w:vAlign w:val="center"/>
          </w:tcPr>
          <w:p w14:paraId="345533AB">
            <w:pPr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加入阶段（人质控制状态）</w:t>
            </w:r>
          </w:p>
        </w:tc>
        <w:tc>
          <w:tcPr>
            <w:tcW w:w="2071" w:type="dxa"/>
            <w:vAlign w:val="center"/>
          </w:tcPr>
          <w:p w14:paraId="43ABE6F6">
            <w:pPr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后行为人故意、目的</w:t>
            </w:r>
          </w:p>
        </w:tc>
        <w:tc>
          <w:tcPr>
            <w:tcW w:w="1675" w:type="dxa"/>
            <w:vAlign w:val="center"/>
          </w:tcPr>
          <w:p w14:paraId="34C83BEB">
            <w:pPr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后行为人行为</w:t>
            </w:r>
          </w:p>
        </w:tc>
        <w:tc>
          <w:tcPr>
            <w:tcW w:w="2335" w:type="dxa"/>
            <w:vAlign w:val="center"/>
          </w:tcPr>
          <w:p w14:paraId="00AF63F7">
            <w:pPr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后行为人、前行为人关系</w:t>
            </w:r>
          </w:p>
        </w:tc>
      </w:tr>
      <w:tr w14:paraId="3DF16B48">
        <w:trPr>
          <w:jc w:val="center"/>
        </w:trPr>
        <w:tc>
          <w:tcPr>
            <w:tcW w:w="2424" w:type="dxa"/>
            <w:vMerge w:val="restart"/>
            <w:vAlign w:val="center"/>
          </w:tcPr>
          <w:p w14:paraId="41E0247E">
            <w:pPr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控制状态消失（或被杀死）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之前加入</w:t>
            </w:r>
          </w:p>
        </w:tc>
        <w:tc>
          <w:tcPr>
            <w:tcW w:w="2071" w:type="dxa"/>
            <w:vAlign w:val="center"/>
          </w:tcPr>
          <w:p w14:paraId="4EE4DBAD">
            <w:pPr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绑架故意和勒赎目的（或扣为人质目的）</w:t>
            </w:r>
          </w:p>
        </w:tc>
        <w:tc>
          <w:tcPr>
            <w:tcW w:w="1675" w:type="dxa"/>
            <w:vAlign w:val="center"/>
          </w:tcPr>
          <w:p w14:paraId="3CCC56E3">
            <w:pPr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绑架行为（实行）</w:t>
            </w:r>
          </w:p>
          <w:p w14:paraId="062E108B">
            <w:pPr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勒赎行为（帮助）</w:t>
            </w:r>
          </w:p>
        </w:tc>
        <w:tc>
          <w:tcPr>
            <w:tcW w:w="2335" w:type="dxa"/>
            <w:vAlign w:val="center"/>
          </w:tcPr>
          <w:p w14:paraId="303D6250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绑架罪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的共同犯罪</w:t>
            </w:r>
          </w:p>
        </w:tc>
      </w:tr>
      <w:tr w14:paraId="0F6458A9">
        <w:trPr>
          <w:jc w:val="center"/>
        </w:trPr>
        <w:tc>
          <w:tcPr>
            <w:tcW w:w="2424" w:type="dxa"/>
            <w:vMerge w:val="continue"/>
            <w:vAlign w:val="center"/>
          </w:tcPr>
          <w:p w14:paraId="71AD8949">
            <w:pPr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</w:p>
        </w:tc>
        <w:tc>
          <w:tcPr>
            <w:tcW w:w="2071" w:type="dxa"/>
            <w:vAlign w:val="center"/>
          </w:tcPr>
          <w:p w14:paraId="2978B772">
            <w:pPr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杀人故意（无绑架故意）</w:t>
            </w:r>
          </w:p>
        </w:tc>
        <w:tc>
          <w:tcPr>
            <w:tcW w:w="1675" w:type="dxa"/>
            <w:vAlign w:val="center"/>
          </w:tcPr>
          <w:p w14:paraId="1722690F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杀人行为</w:t>
            </w:r>
          </w:p>
        </w:tc>
        <w:tc>
          <w:tcPr>
            <w:tcW w:w="2335" w:type="dxa"/>
            <w:vAlign w:val="center"/>
          </w:tcPr>
          <w:p w14:paraId="1E25135B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故意杀人罪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的共同犯罪</w:t>
            </w:r>
          </w:p>
        </w:tc>
      </w:tr>
      <w:tr w14:paraId="3717E4B6">
        <w:trPr>
          <w:jc w:val="center"/>
        </w:trPr>
        <w:tc>
          <w:tcPr>
            <w:tcW w:w="2424" w:type="dxa"/>
            <w:vAlign w:val="center"/>
          </w:tcPr>
          <w:p w14:paraId="17AA13A1">
            <w:pPr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控制状态消失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之后加入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（如前行为人已杀死被绑架人，或被绑架人已逃离）</w:t>
            </w:r>
          </w:p>
        </w:tc>
        <w:tc>
          <w:tcPr>
            <w:tcW w:w="2071" w:type="dxa"/>
            <w:vAlign w:val="center"/>
          </w:tcPr>
          <w:p w14:paraId="72BFBEDC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勒索目的</w:t>
            </w:r>
          </w:p>
        </w:tc>
        <w:tc>
          <w:tcPr>
            <w:tcW w:w="1675" w:type="dxa"/>
            <w:vAlign w:val="center"/>
          </w:tcPr>
          <w:p w14:paraId="4109E0AD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勒索行为</w:t>
            </w:r>
          </w:p>
        </w:tc>
        <w:tc>
          <w:tcPr>
            <w:tcW w:w="2335" w:type="dxa"/>
            <w:vAlign w:val="center"/>
          </w:tcPr>
          <w:p w14:paraId="32FD3646">
            <w:pPr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后行为人仅构成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敲诈勒索罪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  <w:t>（有时与诈骗罪想象竞合）；二人在敲诈勒索罪的范围内成立共同犯罪</w:t>
            </w:r>
          </w:p>
        </w:tc>
      </w:tr>
    </w:tbl>
    <w:p w14:paraId="48D8628E">
      <w:pPr>
        <w:snapToGrid w:val="0"/>
        <w:spacing w:after="0"/>
        <w:ind w:left="0" w:leftChars="0" w:firstLine="0" w:firstLineChars="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</w:p>
    <w:p w14:paraId="3049CF6F">
      <w:pPr>
        <w:pStyle w:val="4"/>
        <w:spacing w:after="0"/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  <w:t>六、罪数</w:t>
      </w:r>
    </w:p>
    <w:p w14:paraId="1AA793BE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1．与杀人的关系：（1）</w:t>
      </w:r>
      <w:r>
        <w:rPr>
          <w:rFonts w:hint="eastAsia" w:asciiTheme="minorEastAsia" w:hAnsiTheme="minorEastAsia" w:eastAsiaTheme="minorEastAsia" w:cstheme="minorEastAsia"/>
          <w:bCs/>
          <w:color w:val="auto"/>
          <w:kern w:val="0"/>
          <w:sz w:val="21"/>
          <w:szCs w:val="21"/>
        </w:rPr>
        <w:t>在绑架之时、之中（法条竞合），以及之后（结合犯）杀人的（故意伤害致人重伤、死亡），只认定为绑架罪一罪（加重犯）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。仍要求与绑架有关。（2）为其他目的杀人（伤害）后，再勒索财物的，定故意杀人罪（故意伤害罪）及敲诈勒索罪（与诈骗罪想象竞合）两罪。</w:t>
      </w:r>
    </w:p>
    <w:p w14:paraId="29DB9F44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2．数罪并罚：（1）绑架过程中实施了其他犯罪行为，如强奸，应数罪并罚。（2）绑架过程中实施拐卖妇女、儿童罪，应数罪并罚。</w:t>
      </w:r>
    </w:p>
    <w:p w14:paraId="1FF6E02E">
      <w:pPr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</w:p>
    <w:p w14:paraId="58EF2005">
      <w:pPr>
        <w:ind w:left="0" w:leftChars="0" w:firstLine="0" w:firstLineChars="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</w:p>
    <w:sectPr>
      <w:footerReference r:id="rId5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20"/>
      </w:pPr>
      <w:r>
        <w:separator/>
      </w:r>
    </w:p>
  </w:endnote>
  <w:endnote w:type="continuationSeparator" w:id="1">
    <w:p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7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6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Heiti SC Medium">
    <w:panose1 w:val="00000000000000000000"/>
    <w:charset w:val="86"/>
    <w:family w:val="auto"/>
    <w:pitch w:val="default"/>
    <w:sig w:usb0="8000002F" w:usb1="0800004A" w:usb2="00000000" w:usb3="00000000" w:csb0="203E0000" w:csb1="00000000"/>
  </w:font>
  <w:font w:name="汉仪书宋二简">
    <w:altName w:val="华文宋体"/>
    <w:panose1 w:val="02010609000101010101"/>
    <w:charset w:val="86"/>
    <w:family w:val="modern"/>
    <w:pitch w:val="default"/>
    <w:sig w:usb0="00000000" w:usb1="00000000" w:usb2="00000012" w:usb3="00000000" w:csb0="00040000" w:csb1="00000000"/>
  </w:font>
  <w:font w:name="华文宋体">
    <w:panose1 w:val="02010600040101010101"/>
    <w:charset w:val="86"/>
    <w:family w:val="auto"/>
    <w:pitch w:val="default"/>
    <w:sig w:usb0="80000287" w:usb1="280F3C52" w:usb2="00000016" w:usb3="00000000" w:csb0="0004001F" w:csb1="00000000"/>
  </w:font>
  <w:font w:name="汉仪大宋简">
    <w:altName w:val="汉仪书宋二KW"/>
    <w:panose1 w:val="02010609000101010101"/>
    <w:charset w:val="86"/>
    <w:family w:val="modern"/>
    <w:pitch w:val="default"/>
    <w:sig w:usb0="00000000" w:usb1="00000000" w:usb2="00000012" w:usb3="00000000" w:csb0="00040000" w:csb1="00000000"/>
  </w:font>
  <w:font w:name="Calibri Light">
    <w:altName w:val="Helvetica Neue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汉仪大黑简">
    <w:altName w:val="汉仪中黑KW"/>
    <w:panose1 w:val="02010609000101010101"/>
    <w:charset w:val="86"/>
    <w:family w:val="modern"/>
    <w:pitch w:val="default"/>
    <w:sig w:usb0="00000000" w:usb1="00000000" w:usb2="00000012" w:usb3="00000000" w:csb0="0004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E8DC632">
    <w:pPr>
      <w:pStyle w:val="6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34F9519">
                          <w:pPr>
                            <w:pStyle w:val="6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034F9519">
                    <w:pPr>
                      <w:pStyle w:val="6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  <w:ind w:firstLine="420"/>
      </w:pPr>
      <w:r>
        <w:separator/>
      </w:r>
    </w:p>
  </w:footnote>
  <w:footnote w:type="continuationSeparator" w:id="1">
    <w:p>
      <w:pPr>
        <w:spacing w:before="0" w:after="0" w:line="240" w:lineRule="auto"/>
        <w:ind w:firstLine="42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2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E9FF153A"/>
    <w:rsid w:val="17B74CE8"/>
    <w:rsid w:val="1AE58B34"/>
    <w:rsid w:val="26F1CEE9"/>
    <w:rsid w:val="2EEF971D"/>
    <w:rsid w:val="2FF738F0"/>
    <w:rsid w:val="32DBA766"/>
    <w:rsid w:val="36DED1D5"/>
    <w:rsid w:val="3798980F"/>
    <w:rsid w:val="37EE031C"/>
    <w:rsid w:val="3CC57BC2"/>
    <w:rsid w:val="3FEEA43F"/>
    <w:rsid w:val="3FFAA655"/>
    <w:rsid w:val="59BF4289"/>
    <w:rsid w:val="5FFFA3F8"/>
    <w:rsid w:val="67F99C7D"/>
    <w:rsid w:val="6DBC4B3C"/>
    <w:rsid w:val="6EECA57B"/>
    <w:rsid w:val="6EFFBAC7"/>
    <w:rsid w:val="77CF8FF2"/>
    <w:rsid w:val="79FDC846"/>
    <w:rsid w:val="7ADED833"/>
    <w:rsid w:val="7AF5CE0F"/>
    <w:rsid w:val="7B3BC3B3"/>
    <w:rsid w:val="7BDA18E7"/>
    <w:rsid w:val="7DC7E25D"/>
    <w:rsid w:val="7DFF16CF"/>
    <w:rsid w:val="7E4D953B"/>
    <w:rsid w:val="7EFBCD41"/>
    <w:rsid w:val="7EFBD55E"/>
    <w:rsid w:val="7EFDE47A"/>
    <w:rsid w:val="7FBD78FA"/>
    <w:rsid w:val="7FCBE2F8"/>
    <w:rsid w:val="7FDF6028"/>
    <w:rsid w:val="7FE5B964"/>
    <w:rsid w:val="7FFFA65D"/>
    <w:rsid w:val="9FFD3869"/>
    <w:rsid w:val="BBEF7D91"/>
    <w:rsid w:val="BC58F3FA"/>
    <w:rsid w:val="BD1F5DC3"/>
    <w:rsid w:val="BF7A1966"/>
    <w:rsid w:val="C7F7C8DB"/>
    <w:rsid w:val="CF5246BB"/>
    <w:rsid w:val="DAFC992A"/>
    <w:rsid w:val="DBBF7C1D"/>
    <w:rsid w:val="DC7D6870"/>
    <w:rsid w:val="DFDEDD3D"/>
    <w:rsid w:val="E2FC81B4"/>
    <w:rsid w:val="E6EBA0FE"/>
    <w:rsid w:val="E9FF153A"/>
    <w:rsid w:val="EBB738F2"/>
    <w:rsid w:val="EBFD83C3"/>
    <w:rsid w:val="EE7FA56E"/>
    <w:rsid w:val="EFFBAEA1"/>
    <w:rsid w:val="F6B776B6"/>
    <w:rsid w:val="F7730ACC"/>
    <w:rsid w:val="F7BFE626"/>
    <w:rsid w:val="F7EF19E8"/>
    <w:rsid w:val="F9FADB78"/>
    <w:rsid w:val="FBEF24C7"/>
    <w:rsid w:val="FDF0F3C0"/>
    <w:rsid w:val="FF299CF8"/>
    <w:rsid w:val="FFD7FD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tabs>
        <w:tab w:val="left" w:pos="420"/>
      </w:tabs>
      <w:spacing w:after="160" w:line="384" w:lineRule="exact"/>
      <w:ind w:firstLine="721" w:firstLineChars="200"/>
      <w:jc w:val="both"/>
    </w:pPr>
    <w:rPr>
      <w:rFonts w:ascii="宋体" w:hAnsi="宋体" w:eastAsia="汉仪书宋二简" w:cs="宋体"/>
      <w:color w:val="000000" w:themeColor="text1"/>
      <w:kern w:val="2"/>
      <w:sz w:val="21"/>
      <w:szCs w:val="21"/>
      <w:lang w:val="en-US" w:eastAsia="zh-CN" w:bidi="ar-SA"/>
      <w14:textFill>
        <w14:solidFill>
          <w14:schemeClr w14:val="tx1"/>
        </w14:solidFill>
      </w14:textFill>
    </w:rPr>
  </w:style>
  <w:style w:type="paragraph" w:styleId="2">
    <w:name w:val="heading 1"/>
    <w:basedOn w:val="1"/>
    <w:next w:val="1"/>
    <w:qFormat/>
    <w:uiPriority w:val="9"/>
    <w:pPr>
      <w:keepNext/>
      <w:keepLines/>
      <w:spacing w:before="10"/>
      <w:ind w:firstLine="0" w:firstLineChars="0"/>
      <w:jc w:val="center"/>
      <w:outlineLvl w:val="0"/>
    </w:pPr>
    <w:rPr>
      <w:rFonts w:ascii="汉仪大宋简" w:hAnsi="汉仪大宋简" w:eastAsia="汉仪大宋简"/>
      <w:bCs/>
      <w:kern w:val="44"/>
      <w:sz w:val="44"/>
      <w:szCs w:val="44"/>
    </w:rPr>
  </w:style>
  <w:style w:type="paragraph" w:styleId="3">
    <w:name w:val="heading 2"/>
    <w:basedOn w:val="1"/>
    <w:next w:val="1"/>
    <w:unhideWhenUsed/>
    <w:qFormat/>
    <w:uiPriority w:val="9"/>
    <w:pPr>
      <w:keepNext/>
      <w:keepLines/>
      <w:ind w:firstLine="0" w:firstLineChars="0"/>
      <w:jc w:val="left"/>
      <w:outlineLvl w:val="1"/>
    </w:pPr>
    <w:rPr>
      <w:rFonts w:eastAsia="汉仪大黑简" w:asciiTheme="majorHAnsi" w:hAnsiTheme="majorHAnsi" w:cstheme="majorBidi"/>
      <w:bCs/>
      <w:sz w:val="32"/>
      <w:szCs w:val="32"/>
    </w:rPr>
  </w:style>
  <w:style w:type="paragraph" w:styleId="4">
    <w:name w:val="heading 3"/>
    <w:basedOn w:val="1"/>
    <w:next w:val="1"/>
    <w:unhideWhenUsed/>
    <w:qFormat/>
    <w:uiPriority w:val="9"/>
    <w:pPr>
      <w:keepNext/>
      <w:keepLines/>
      <w:ind w:firstLine="0" w:firstLineChars="0"/>
      <w:jc w:val="left"/>
      <w:outlineLvl w:val="2"/>
    </w:pPr>
    <w:rPr>
      <w:rFonts w:eastAsia="汉仪大宋简"/>
      <w:sz w:val="26"/>
    </w:rPr>
  </w:style>
  <w:style w:type="paragraph" w:styleId="5">
    <w:name w:val="heading 4"/>
    <w:basedOn w:val="1"/>
    <w:next w:val="1"/>
    <w:unhideWhenUsed/>
    <w:qFormat/>
    <w:uiPriority w:val="9"/>
    <w:pPr>
      <w:keepNext/>
      <w:keepLines/>
      <w:ind w:firstLine="0" w:firstLineChars="0"/>
      <w:jc w:val="left"/>
      <w:outlineLvl w:val="3"/>
    </w:pPr>
    <w:rPr>
      <w:rFonts w:eastAsia="汉仪大宋简" w:asciiTheme="majorHAnsi" w:hAnsiTheme="majorHAnsi" w:cstheme="majorBidi"/>
      <w:bCs/>
      <w:sz w:val="24"/>
      <w:szCs w:val="28"/>
    </w:rPr>
  </w:style>
  <w:style w:type="character" w:default="1" w:styleId="11">
    <w:name w:val="Default Paragraph Font"/>
    <w:semiHidden/>
    <w:uiPriority w:val="0"/>
  </w:style>
  <w:style w:type="table" w:default="1" w:styleId="9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footer"/>
    <w:basedOn w:val="1"/>
    <w:uiPriority w:val="0"/>
    <w:pPr>
      <w:tabs>
        <w:tab w:val="center" w:pos="4153"/>
        <w:tab w:val="right" w:pos="8306"/>
        <w:tab w:val="clear" w:pos="420"/>
      </w:tabs>
      <w:snapToGrid w:val="0"/>
      <w:jc w:val="left"/>
    </w:pPr>
    <w:rPr>
      <w:sz w:val="18"/>
    </w:rPr>
  </w:style>
  <w:style w:type="paragraph" w:styleId="7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  <w:tab w:val="clear" w:pos="420"/>
      </w:tabs>
      <w:snapToGrid w:val="0"/>
      <w:spacing w:line="240" w:lineRule="auto"/>
      <w:jc w:val="both"/>
      <w:outlineLvl w:val="9"/>
    </w:pPr>
    <w:rPr>
      <w:sz w:val="18"/>
    </w:rPr>
  </w:style>
  <w:style w:type="paragraph" w:styleId="8">
    <w:name w:val="Normal (Web)"/>
    <w:basedOn w:val="1"/>
    <w:unhideWhenUsed/>
    <w:qFormat/>
    <w:uiPriority w:val="0"/>
    <w:pPr>
      <w:widowControl/>
      <w:spacing w:before="100" w:beforeAutospacing="1" w:after="100" w:afterAutospacing="1"/>
      <w:jc w:val="left"/>
    </w:pPr>
    <w:rPr>
      <w:color w:val="auto"/>
      <w:kern w:val="0"/>
      <w:sz w:val="24"/>
      <w:szCs w:val="24"/>
    </w:rPr>
  </w:style>
  <w:style w:type="table" w:styleId="10">
    <w:name w:val="Table Grid"/>
    <w:basedOn w:val="9"/>
    <w:qFormat/>
    <w:uiPriority w:val="59"/>
    <w:rPr>
      <w:rFonts w:asciiTheme="minorHAnsi" w:hAnsiTheme="minorHAnsi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12">
    <w:name w:val="一级标题"/>
    <w:basedOn w:val="1"/>
    <w:uiPriority w:val="0"/>
    <w:pPr>
      <w:jc w:val="center"/>
    </w:pPr>
    <w:rPr>
      <w:rFonts w:ascii="Times New Roman" w:hAnsi="Times New Roman" w:eastAsia="Heiti SC Medium"/>
      <w:sz w:val="36"/>
    </w:rPr>
  </w:style>
  <w:style w:type="table" w:customStyle="1" w:styleId="13">
    <w:name w:val="网格型210"/>
    <w:basedOn w:val="9"/>
    <w:qFormat/>
    <w:uiPriority w:val="59"/>
    <w:rPr>
      <w:rFonts w:asciiTheme="minorHAnsi" w:hAnsiTheme="minorHAnsi" w:eastAsiaTheme="minorEastAsia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table" w:customStyle="1" w:styleId="14">
    <w:name w:val="网格型110"/>
    <w:basedOn w:val="9"/>
    <w:qFormat/>
    <w:uiPriority w:val="59"/>
    <w:rPr>
      <w:rFonts w:asciiTheme="minorHAnsi" w:hAnsiTheme="minorHAnsi" w:eastAsiaTheme="minorEastAsia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table" w:customStyle="1" w:styleId="15">
    <w:name w:val="网格型4"/>
    <w:basedOn w:val="9"/>
    <w:qFormat/>
    <w:uiPriority w:val="59"/>
    <w:rPr>
      <w:rFonts w:asciiTheme="minorHAnsi" w:hAnsiTheme="minorHAnsi" w:eastAsiaTheme="minorEastAsia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table" w:customStyle="1" w:styleId="16">
    <w:name w:val="网格型37"/>
    <w:basedOn w:val="9"/>
    <w:qFormat/>
    <w:uiPriority w:val="59"/>
    <w:rPr>
      <w:rFonts w:asciiTheme="minorHAnsi" w:hAnsiTheme="minorHAnsi" w:eastAsiaTheme="minorEastAsia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17">
    <w:name w:val="网格型38"/>
    <w:basedOn w:val="9"/>
    <w:qFormat/>
    <w:uiPriority w:val="59"/>
    <w:rPr>
      <w:rFonts w:asciiTheme="minorHAnsi" w:hAnsiTheme="minorHAnsi" w:eastAsiaTheme="minorEastAsia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table" w:customStyle="1" w:styleId="18">
    <w:name w:val="网格型341"/>
    <w:basedOn w:val="9"/>
    <w:qFormat/>
    <w:uiPriority w:val="59"/>
    <w:rPr>
      <w:rFonts w:asciiTheme="minorHAnsi" w:hAnsiTheme="minorHAnsi" w:eastAsiaTheme="minorEastAsia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table" w:customStyle="1" w:styleId="19">
    <w:name w:val="网格型1"/>
    <w:basedOn w:val="9"/>
    <w:qFormat/>
    <w:uiPriority w:val="59"/>
    <w:rPr>
      <w:rFonts w:asciiTheme="minorHAnsi" w:hAnsiTheme="minorHAnsi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20">
    <w:name w:val="网格型62"/>
    <w:basedOn w:val="9"/>
    <w:qFormat/>
    <w:uiPriority w:val="59"/>
    <w:rPr>
      <w:rFonts w:asciiTheme="minorHAnsi" w:hAnsiTheme="minorHAnsi" w:eastAsiaTheme="minorEastAsia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15</Pages>
  <Words>0</Words>
  <Characters>0</Characters>
  <Lines>0</Lines>
  <Paragraphs>0</Paragraphs>
  <TotalTime>24</TotalTime>
  <ScaleCrop>false</ScaleCrop>
  <LinksUpToDate>false</LinksUpToDate>
  <CharactersWithSpaces>0</CharactersWithSpaces>
  <Application>WPS Office_12.1.24031.24031_F1E327BC-269C-435d-A152-05C5408002CA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2026-04-04T05:43:00Z</dcterms:created>
  <dc:creator>ANXIOUS  YZH</dc:creator>
  <cp:lastModifiedBy>ANXIOUS  YZH</cp:lastModifiedBy>
  <dcterms:modified xsi:type="dcterms:W3CDTF">2026-04-04T23:03:37Z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2052-12.1.24031.24031</vt:lpwstr>
  </property>
  <property fmtid="{D5CDD505-2E9C-101B-9397-08002B2CF9AE}" pid="3" name="ICV">
    <vt:lpwstr>813DF6258C310ADA19C4CF69C15601B8_41</vt:lpwstr>
  </property>
</Properties>
</file>