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86D1A">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Theme="minorEastAsia" w:hAnsiTheme="minorEastAsia" w:eastAsiaTheme="minorEastAsia" w:cstheme="minorEastAsia"/>
          <w:b/>
          <w:bCs/>
          <w:color w:val="auto"/>
          <w:spacing w:val="-2"/>
          <w:sz w:val="21"/>
          <w:szCs w:val="21"/>
          <w:lang w:val="en-US" w:eastAsia="zh-CN"/>
        </w:rPr>
      </w:pPr>
      <w:r>
        <w:rPr>
          <w:rFonts w:hint="eastAsia" w:asciiTheme="minorEastAsia" w:hAnsiTheme="minorEastAsia" w:eastAsiaTheme="minorEastAsia" w:cstheme="minorEastAsia"/>
          <w:b/>
          <w:bCs/>
          <w:color w:val="auto"/>
          <w:spacing w:val="-2"/>
          <w:sz w:val="21"/>
          <w:szCs w:val="21"/>
          <w:lang w:val="en-US" w:eastAsia="zh-CN"/>
        </w:rPr>
        <w:t>上节课重点内容回顾</w:t>
      </w:r>
    </w:p>
    <w:p w14:paraId="0EE8C75D">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eastAsia" w:asciiTheme="minorEastAsia" w:hAnsiTheme="minorEastAsia" w:eastAsiaTheme="minorEastAsia" w:cstheme="minorEastAsia"/>
          <w:color w:val="auto"/>
          <w:spacing w:val="-2"/>
          <w:sz w:val="21"/>
          <w:szCs w:val="21"/>
          <w:lang w:val="en-US" w:eastAsia="zh-CN"/>
        </w:rPr>
      </w:pPr>
      <w:r>
        <w:rPr>
          <w:rFonts w:hint="eastAsia" w:asciiTheme="minorEastAsia" w:hAnsiTheme="minorEastAsia" w:eastAsiaTheme="minorEastAsia" w:cstheme="minorEastAsia"/>
          <w:color w:val="auto"/>
          <w:spacing w:val="-2"/>
          <w:sz w:val="21"/>
          <w:szCs w:val="21"/>
          <w:lang w:val="en-US" w:eastAsia="zh-CN"/>
        </w:rPr>
        <w:t>1.认识错误三步法：1.主观认识的对象是什么；2.客观实际对象是什么；3.客观主观对象是否一致。</w:t>
      </w:r>
    </w:p>
    <w:p w14:paraId="5C02227F">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eastAsia" w:asciiTheme="minorEastAsia" w:hAnsiTheme="minorEastAsia" w:eastAsiaTheme="minorEastAsia" w:cstheme="minorEastAsia"/>
          <w:color w:val="auto"/>
          <w:spacing w:val="-2"/>
          <w:sz w:val="21"/>
          <w:szCs w:val="21"/>
          <w:lang w:eastAsia="zh-CN"/>
        </w:rPr>
      </w:pPr>
    </w:p>
    <w:p w14:paraId="0CC86B67">
      <w:pPr>
        <w:pStyle w:val="2"/>
        <w:spacing w:before="0" w:after="0" w:line="480" w:lineRule="exact"/>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考点9  违法阻却事由</w:t>
      </w:r>
      <w:r>
        <w:rPr>
          <w:rFonts w:hint="eastAsia" w:asciiTheme="minorEastAsia" w:hAnsiTheme="minorEastAsia" w:eastAsiaTheme="minorEastAsia" w:cstheme="minorEastAsia"/>
          <w:b/>
          <w:bCs/>
          <w:color w:val="auto"/>
          <w:sz w:val="21"/>
          <w:szCs w:val="21"/>
          <w:lang w:val="en-US" w:eastAsia="zh-CN"/>
        </w:rPr>
        <w:t>（19:35—20:58）</w:t>
      </w:r>
    </w:p>
    <w:p w14:paraId="05292ADC">
      <w:pPr>
        <w:spacing w:after="0"/>
        <w:ind w:left="0" w:leftChars="0" w:firstLine="0" w:firstLineChars="0"/>
        <w:jc w:val="left"/>
        <w:rPr>
          <w:rFonts w:hint="eastAsia" w:asciiTheme="minorEastAsia" w:hAnsiTheme="minorEastAsia" w:eastAsiaTheme="minorEastAsia" w:cstheme="minorEastAsia"/>
          <w:color w:val="auto"/>
          <w:kern w:val="0"/>
          <w:sz w:val="21"/>
          <w:szCs w:val="21"/>
        </w:rPr>
      </w:pPr>
    </w:p>
    <w:p w14:paraId="71C33834">
      <w:pPr>
        <w:pStyle w:val="4"/>
        <w:spacing w:after="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sz w:val="21"/>
          <w:szCs w:val="21"/>
        </w:rPr>
        <w:t>一、正当防卫</w:t>
      </w:r>
    </w:p>
    <w:p w14:paraId="7609EFED">
      <w:pPr>
        <w:pStyle w:val="5"/>
        <w:spacing w:after="0"/>
        <w:ind w:firstLine="252" w:firstLineChars="120"/>
        <w:rPr>
          <w:rFonts w:hint="default" w:asciiTheme="minorEastAsia" w:hAnsiTheme="minorEastAsia" w:eastAsiaTheme="minorEastAsia" w:cstheme="minorEastAsia"/>
          <w:color w:val="FF0000"/>
          <w:sz w:val="21"/>
          <w:szCs w:val="21"/>
          <w:lang w:val="en-US" w:eastAsia="zh-CN"/>
        </w:rPr>
      </w:pPr>
      <w:r>
        <w:rPr>
          <w:rFonts w:hint="eastAsia" w:asciiTheme="minorEastAsia" w:hAnsiTheme="minorEastAsia" w:eastAsiaTheme="minorEastAsia" w:cstheme="minorEastAsia"/>
          <w:color w:val="FF0000"/>
          <w:sz w:val="21"/>
          <w:szCs w:val="21"/>
          <w:lang w:val="en-US" w:eastAsia="zh-CN"/>
        </w:rPr>
        <w:t>注意看指导意见：《最高人民法院 最高人民检察院 公安部关于依法适用正当防卫制度的指导意见》</w:t>
      </w:r>
    </w:p>
    <w:p w14:paraId="16B33F07">
      <w:pPr>
        <w:pStyle w:val="5"/>
        <w:spacing w:after="0"/>
        <w:ind w:firstLine="252" w:firstLineChars="120"/>
        <w:rPr>
          <w:rFonts w:hint="default"/>
          <w:lang w:val="en-US" w:eastAsia="zh-CN"/>
        </w:rPr>
      </w:pPr>
      <w:r>
        <w:rPr>
          <w:rFonts w:hint="eastAsia" w:asciiTheme="minorEastAsia" w:hAnsiTheme="minorEastAsia" w:eastAsiaTheme="minorEastAsia" w:cstheme="minorEastAsia"/>
          <w:color w:val="FF0000"/>
          <w:sz w:val="21"/>
          <w:szCs w:val="21"/>
          <w:lang w:val="en-US" w:eastAsia="zh-CN"/>
        </w:rPr>
        <w:t>仍遵循：先客观后主观的原则</w:t>
      </w:r>
    </w:p>
    <w:p w14:paraId="69500425">
      <w:pPr>
        <w:pStyle w:val="5"/>
        <w:spacing w:after="0"/>
        <w:ind w:firstLine="252" w:firstLineChars="1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（一）正当防卫的客观条件（具备防卫客观条件，即阻却不法）</w:t>
      </w:r>
    </w:p>
    <w:p w14:paraId="3DBBF6F4">
      <w:pPr>
        <w:adjustRightInd w:val="0"/>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1．起因条件：（客观）不法侵害</w:t>
      </w:r>
    </w:p>
    <w:p w14:paraId="1BF32DA5">
      <w:pPr>
        <w:adjustRightInd w:val="0"/>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kern w:val="0"/>
          <w:sz w:val="21"/>
          <w:szCs w:val="21"/>
          <w:lang w:val="en-US" w:eastAsia="zh-CN"/>
        </w:rPr>
        <w:t>注意：防卫</w:t>
      </w:r>
      <w:r>
        <w:rPr>
          <w:rFonts w:hint="eastAsia" w:asciiTheme="minorEastAsia" w:hAnsiTheme="minorEastAsia" w:eastAsiaTheme="minorEastAsia" w:cstheme="minorEastAsia"/>
          <w:b/>
          <w:bCs/>
          <w:color w:val="auto"/>
          <w:kern w:val="0"/>
          <w:sz w:val="21"/>
          <w:szCs w:val="21"/>
        </w:rPr>
        <w:t>不需要考虑行为人的年龄和精神状况</w:t>
      </w:r>
    </w:p>
    <w:p w14:paraId="17601B1C">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（1）对未达到刑事责任年龄、不具有辨认控制能力的人的侵害行为：系不法行为，允许正当防卫（基于客观不法论的通说观点）。</w:t>
      </w:r>
    </w:p>
    <w:p w14:paraId="5CFCCA60">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（2）对</w:t>
      </w:r>
      <w:r>
        <w:rPr>
          <w:rFonts w:hint="eastAsia" w:asciiTheme="minorEastAsia" w:hAnsiTheme="minorEastAsia" w:eastAsiaTheme="minorEastAsia" w:cstheme="minorEastAsia"/>
          <w:b/>
          <w:bCs/>
          <w:color w:val="auto"/>
          <w:kern w:val="0"/>
          <w:sz w:val="21"/>
          <w:szCs w:val="21"/>
        </w:rPr>
        <w:t>动物侵害的“防卫”</w:t>
      </w:r>
      <w:r>
        <w:rPr>
          <w:rFonts w:hint="eastAsia" w:asciiTheme="minorEastAsia" w:hAnsiTheme="minorEastAsia" w:eastAsiaTheme="minorEastAsia" w:cstheme="minorEastAsia"/>
          <w:color w:val="auto"/>
          <w:kern w:val="0"/>
          <w:sz w:val="21"/>
          <w:szCs w:val="21"/>
        </w:rPr>
        <w:t>情形的性质，可以分为三类情形：①饲养人唆使其饲养的动物侵害他人时，属于人的不法侵害，防卫打死打伤动物，或者制止饲养人足以制止侵害，属正当防卫；②受到无饲养人的野生动物自发袭击时，不属人的不法侵害，打死打伤动物属于紧急避险；③对饲养的动物自发侵害（即使饲主过失未尽看护义务，也应将饲主的过失不法行为与动物的咬人行为区分开来）的反击同样属于紧急避险。</w:t>
      </w:r>
    </w:p>
    <w:p w14:paraId="68ECB078">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（3）对于过失行为，即使未造成结果，也属不法侵害，如具有防卫必要性，可以进行正当防卫。对于不作为行为（只能由不作为人履行义务）、预备行为，亦属不法侵害，如具有防卫必要性，也可防卫。</w:t>
      </w:r>
    </w:p>
    <w:p w14:paraId="5B3AE580">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（4）对于“黑吃黑”的行为，亦属不法侵害，对赃物占有效力高者可以进行正当防卫。</w:t>
      </w:r>
    </w:p>
    <w:p w14:paraId="7D834DA4">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对于紧急避险、法令行为等合法行为，不可实施正当防卫。但是，紧急避险造成的危险虽是合法的，但也属一种危险，被避险人对紧急避险造成的危险进行反击，虽不成立正当防卫，但如仍在限度以内，也可成立紧急避险。</w:t>
      </w:r>
    </w:p>
    <w:p w14:paraId="31468D3B">
      <w:pPr>
        <w:adjustRightInd w:val="0"/>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2．时间条件：不法侵害（</w:t>
      </w:r>
      <w:r>
        <w:rPr>
          <w:rFonts w:hint="eastAsia" w:asciiTheme="minorEastAsia" w:hAnsiTheme="minorEastAsia" w:eastAsiaTheme="minorEastAsia" w:cstheme="minorEastAsia"/>
          <w:color w:val="auto"/>
          <w:kern w:val="0"/>
          <w:sz w:val="21"/>
          <w:szCs w:val="21"/>
          <w:lang w:val="en-US" w:eastAsia="zh-CN"/>
        </w:rPr>
        <w:t>或者</w:t>
      </w:r>
      <w:r>
        <w:rPr>
          <w:rFonts w:hint="eastAsia" w:asciiTheme="minorEastAsia" w:hAnsiTheme="minorEastAsia" w:eastAsiaTheme="minorEastAsia" w:cstheme="minorEastAsia"/>
          <w:b/>
          <w:bCs/>
          <w:color w:val="auto"/>
          <w:kern w:val="0"/>
          <w:sz w:val="21"/>
          <w:szCs w:val="21"/>
        </w:rPr>
        <w:t>危险</w:t>
      </w:r>
      <w:r>
        <w:rPr>
          <w:rFonts w:hint="eastAsia" w:asciiTheme="minorEastAsia" w:hAnsiTheme="minorEastAsia" w:eastAsiaTheme="minorEastAsia" w:cstheme="minorEastAsia"/>
          <w:color w:val="auto"/>
          <w:kern w:val="0"/>
          <w:sz w:val="21"/>
          <w:szCs w:val="21"/>
        </w:rPr>
        <w:t>）正在进行</w:t>
      </w:r>
    </w:p>
    <w:p w14:paraId="230A191F">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（1）不法侵害的开始时间：已经形成现实、紧迫危险；实行、预备开始均可</w:t>
      </w:r>
    </w:p>
    <w:p w14:paraId="5572869D">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开始时间：不法侵害已经形成现实、紧迫危险。不法侵害人已经着手实行，或已实施预备行为，都可防卫。只不过，在防卫限度上，对预备行为的防卫限度，与对实行行为的防卫限度，可能有所不同。</w:t>
      </w:r>
    </w:p>
    <w:p w14:paraId="25A31266">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w:t>
      </w:r>
      <w:bookmarkStart w:id="0" w:name="_Hlk23061779"/>
      <w:r>
        <w:rPr>
          <w:rFonts w:hint="eastAsia" w:asciiTheme="minorEastAsia" w:hAnsiTheme="minorEastAsia" w:eastAsiaTheme="minorEastAsia" w:cstheme="minorEastAsia"/>
          <w:color w:val="auto"/>
          <w:kern w:val="0"/>
          <w:sz w:val="21"/>
          <w:szCs w:val="21"/>
        </w:rPr>
        <w:t>不法侵害的结束</w:t>
      </w:r>
      <w:bookmarkEnd w:id="0"/>
      <w:r>
        <w:rPr>
          <w:rFonts w:hint="eastAsia" w:asciiTheme="minorEastAsia" w:hAnsiTheme="minorEastAsia" w:eastAsiaTheme="minorEastAsia" w:cstheme="minorEastAsia"/>
          <w:color w:val="auto"/>
          <w:kern w:val="0"/>
          <w:sz w:val="21"/>
          <w:szCs w:val="21"/>
        </w:rPr>
        <w:t>时间：不再具有侵害危险</w:t>
      </w:r>
    </w:p>
    <w:p w14:paraId="7C0592F7">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结束时间：一般情况下，不再具有侵害危险，就认为不法侵害结束。例如，不法侵害人确已失去侵害能力或者确已放弃侵害，没有再侵害之虞的。当然，根据客观证据推断如果有继续实施不法侵害的危险、有侵害可能的，仍可进行防卫。</w:t>
      </w:r>
    </w:p>
    <w:p w14:paraId="7CE40B9B">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不能简单的认为：犯罪既遂或者犯罪行为终了之后，就不能再进行防卫。即使既遂，或者行为终了，再仍有侵害危险的，当然可以防卫。</w:t>
      </w:r>
    </w:p>
    <w:p w14:paraId="539E3F81">
      <w:pPr>
        <w:spacing w:after="0"/>
        <w:ind w:firstLine="420"/>
        <w:jc w:val="left"/>
        <w:rPr>
          <w:rFonts w:hint="eastAsia" w:asciiTheme="minorEastAsia" w:hAnsiTheme="minorEastAsia" w:eastAsiaTheme="minorEastAsia" w:cstheme="minorEastAsia"/>
          <w:b/>
          <w:bCs/>
          <w:color w:val="FF0000"/>
          <w:kern w:val="0"/>
          <w:sz w:val="21"/>
          <w:szCs w:val="21"/>
        </w:rPr>
      </w:pPr>
      <w:r>
        <w:rPr>
          <w:rFonts w:hint="eastAsia" w:asciiTheme="minorEastAsia" w:hAnsiTheme="minorEastAsia" w:eastAsiaTheme="minorEastAsia" w:cstheme="minorEastAsia"/>
          <w:b/>
          <w:bCs/>
          <w:color w:val="FF0000"/>
          <w:kern w:val="0"/>
          <w:sz w:val="21"/>
          <w:szCs w:val="21"/>
        </w:rPr>
        <w:t>对于不法侵害虽然暂时中断或者被暂时制止，但不法侵害人仍有继续实施侵害的现实可能性的，应当认定为不法侵害仍在进行；</w:t>
      </w:r>
    </w:p>
    <w:p w14:paraId="78F71DFD">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FF0000"/>
          <w:kern w:val="0"/>
          <w:sz w:val="21"/>
          <w:szCs w:val="21"/>
        </w:rPr>
        <w:t>在财产犯罪中，不法侵害人虽已取得财物，但通过追赶、阻击等措施能够追回财物的，可以视为不法侵害仍在进行。</w:t>
      </w:r>
    </w:p>
    <w:p w14:paraId="164B2D6C">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（3）预先设立防卫装置的问题</w:t>
      </w:r>
    </w:p>
    <w:p w14:paraId="5D1A551C">
      <w:pPr>
        <w:spacing w:after="0"/>
        <w:ind w:firstLine="420"/>
        <w:jc w:val="left"/>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color w:val="auto"/>
          <w:kern w:val="0"/>
          <w:sz w:val="21"/>
          <w:szCs w:val="21"/>
        </w:rPr>
        <w:t>尽管预先设立装置的行为发生在不法侵害之前，但</w:t>
      </w:r>
      <w:r>
        <w:rPr>
          <w:rFonts w:hint="eastAsia" w:asciiTheme="minorEastAsia" w:hAnsiTheme="minorEastAsia" w:eastAsiaTheme="minorEastAsia" w:cstheme="minorEastAsia"/>
          <w:b/>
          <w:bCs/>
          <w:color w:val="auto"/>
          <w:kern w:val="0"/>
          <w:sz w:val="21"/>
          <w:szCs w:val="21"/>
        </w:rPr>
        <w:t>防卫装置发挥作用时（即防卫行为实施时、损害结果造成时），不法侵害正在进行，因此，符合正当防卫的时间要求。</w:t>
      </w:r>
    </w:p>
    <w:p w14:paraId="0C359B46">
      <w:pPr>
        <w:adjustRightInd w:val="0"/>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3．对象条件：针对不法侵害人本人（人身、财产）进行防卫</w:t>
      </w:r>
    </w:p>
    <w:p w14:paraId="7F928A8B">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正当防卫的对象只能是不法侵害人本人，包括针对不法侵害人的人身或财产。对于多人共同实施不法侵害的，既可以针对直接实施不法侵害的人进行防卫，也可以针对在现场共同实施不法侵害的人进行防卫。针对间接正犯情形中的间接正犯、被支配的无责任实行者、针对原因自由行为中无责任的实行者，进行反击也成立正当防卫。</w:t>
      </w:r>
    </w:p>
    <w:p w14:paraId="496FFE81">
      <w:pPr>
        <w:adjustRightInd w:val="0"/>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4．限度条件：没有明显超过必要限度造成重大损害</w:t>
      </w:r>
    </w:p>
    <w:p w14:paraId="688377EC">
      <w:pPr>
        <w:adjustRightInd w:val="0"/>
        <w:snapToGrid w:val="0"/>
        <w:spacing w:after="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防卫行为必须没有明显超过必要限度造成重大损害，否则便是防卫过当。</w:t>
      </w:r>
    </w:p>
    <w:p w14:paraId="15B696E2">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FF0000"/>
          <w:kern w:val="0"/>
          <w:sz w:val="21"/>
          <w:szCs w:val="21"/>
        </w:rPr>
        <w:t>认定防卫过当应当同时具备“明显超过必要限度”和“造成重大损害”两个条件，缺一不可。</w:t>
      </w:r>
    </w:p>
    <w:p w14:paraId="169C8981">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（1）只有防卫行为“造成重大损害”（指造成不法侵害人重伤、死亡）。造成轻伤及以下损害的，不属于重大损害。防卫行为虽然明显超过必要限度但没有造成重大损害的，不应认定为防卫过当。</w:t>
      </w:r>
    </w:p>
    <w:p w14:paraId="5A2E9C27">
      <w:pPr>
        <w:spacing w:after="0"/>
        <w:ind w:firstLine="420"/>
        <w:jc w:val="left"/>
        <w:rPr>
          <w:rFonts w:hint="default" w:asciiTheme="minorEastAsia" w:hAnsiTheme="minorEastAsia" w:eastAsiaTheme="minorEastAsia" w:cstheme="minorEastAsia"/>
          <w:color w:val="FF0000"/>
          <w:kern w:val="0"/>
          <w:sz w:val="21"/>
          <w:szCs w:val="21"/>
          <w:lang w:val="en-US" w:eastAsia="zh-CN"/>
        </w:rPr>
      </w:pPr>
      <w:r>
        <w:rPr>
          <w:rFonts w:hint="eastAsia" w:asciiTheme="minorEastAsia" w:hAnsiTheme="minorEastAsia" w:eastAsiaTheme="minorEastAsia" w:cstheme="minorEastAsia"/>
          <w:b/>
          <w:bCs/>
          <w:color w:val="FF0000"/>
          <w:kern w:val="0"/>
          <w:sz w:val="21"/>
          <w:szCs w:val="21"/>
          <w:lang w:val="en-US" w:eastAsia="zh-CN"/>
        </w:rPr>
        <w:t>注意：只要没有重伤、死亡的，一律不过当。防卫手段与侵害手段相当，不过当。</w:t>
      </w:r>
    </w:p>
    <w:p w14:paraId="58486C9F">
      <w:pPr>
        <w:spacing w:after="0"/>
        <w:ind w:firstLine="420"/>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（2）防卫行为实际造成重大损害，还须明显超过必要限度，才认定为防卫过当。这里的“必要限度”，应以制止不法侵害、保护合法权益所必需为标准（</w:t>
      </w:r>
      <w:r>
        <w:rPr>
          <w:rFonts w:hint="eastAsia" w:asciiTheme="minorEastAsia" w:hAnsiTheme="minorEastAsia" w:eastAsiaTheme="minorEastAsia" w:cstheme="minorEastAsia"/>
          <w:b/>
          <w:bCs/>
          <w:color w:val="auto"/>
          <w:kern w:val="0"/>
          <w:sz w:val="21"/>
          <w:szCs w:val="21"/>
        </w:rPr>
        <w:t>必需说</w:t>
      </w:r>
      <w:r>
        <w:rPr>
          <w:rFonts w:hint="eastAsia" w:asciiTheme="minorEastAsia" w:hAnsiTheme="minorEastAsia" w:eastAsiaTheme="minorEastAsia" w:cstheme="minorEastAsia"/>
          <w:color w:val="auto"/>
          <w:kern w:val="0"/>
          <w:sz w:val="21"/>
          <w:szCs w:val="21"/>
        </w:rPr>
        <w:t>）。</w:t>
      </w:r>
    </w:p>
    <w:p w14:paraId="6F98763E">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（3）防卫过当。防卫造成重大损害（重伤、死亡），并且防卫行为与不法侵害相差悬殊、明显过激，系防卫过当。防卫过当不是独立罪名。</w:t>
      </w:r>
    </w:p>
    <w:p w14:paraId="475E57DD">
      <w:pPr>
        <w:adjustRightInd w:val="0"/>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5．特殊防卫</w:t>
      </w:r>
      <w:bookmarkStart w:id="1" w:name="_Hlk45064360"/>
      <w:r>
        <w:rPr>
          <w:rFonts w:hint="eastAsia" w:asciiTheme="minorEastAsia" w:hAnsiTheme="minorEastAsia" w:eastAsiaTheme="minorEastAsia" w:cstheme="minorEastAsia"/>
          <w:color w:val="auto"/>
          <w:kern w:val="0"/>
          <w:sz w:val="21"/>
          <w:szCs w:val="21"/>
        </w:rPr>
        <w:t>（对限度条件的提示规定）：严重人身暴力犯，</w:t>
      </w:r>
      <w:bookmarkEnd w:id="1"/>
      <w:r>
        <w:rPr>
          <w:rFonts w:hint="eastAsia" w:asciiTheme="minorEastAsia" w:hAnsiTheme="minorEastAsia" w:eastAsiaTheme="minorEastAsia" w:cstheme="minorEastAsia"/>
          <w:color w:val="auto"/>
          <w:kern w:val="0"/>
          <w:sz w:val="21"/>
          <w:szCs w:val="21"/>
        </w:rPr>
        <w:t>造成伤亡属“必需”</w:t>
      </w:r>
    </w:p>
    <w:p w14:paraId="1B8F560D">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刑法第20条第3款</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b/>
          <w:bCs/>
          <w:color w:val="auto"/>
          <w:kern w:val="0"/>
          <w:sz w:val="21"/>
          <w:szCs w:val="21"/>
          <w:lang w:val="en-US" w:eastAsia="zh-CN"/>
        </w:rPr>
        <w:t>为“提示性规定”</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规定的特殊正当防卫，与一般正当防卫的关系是特殊与一般的关系，完全符合一般正当防卫的全部条件。</w:t>
      </w:r>
    </w:p>
    <w:p w14:paraId="06DF07D0">
      <w:pPr>
        <w:adjustRightInd w:val="0"/>
        <w:snapToGrid w:val="0"/>
        <w:spacing w:after="0"/>
        <w:ind w:firstLine="420"/>
        <w:rPr>
          <w:rFonts w:hint="eastAsia" w:asciiTheme="minorEastAsia" w:hAnsiTheme="minorEastAsia" w:eastAsiaTheme="minorEastAsia" w:cstheme="minorEastAsia"/>
          <w:color w:val="auto"/>
          <w:kern w:val="0"/>
          <w:sz w:val="21"/>
          <w:szCs w:val="21"/>
          <w:lang w:eastAsia="zh-CN"/>
        </w:rPr>
      </w:pPr>
      <w:r>
        <w:rPr>
          <w:rFonts w:hint="eastAsia" w:asciiTheme="minorEastAsia" w:hAnsiTheme="minorEastAsia" w:eastAsiaTheme="minorEastAsia" w:cstheme="minorEastAsia"/>
          <w:color w:val="auto"/>
          <w:kern w:val="0"/>
          <w:sz w:val="21"/>
          <w:szCs w:val="21"/>
        </w:rPr>
        <w:t>特殊正当防卫的起因条件是</w:t>
      </w:r>
      <w:r>
        <w:rPr>
          <w:rFonts w:hint="eastAsia" w:asciiTheme="minorEastAsia" w:hAnsiTheme="minorEastAsia" w:eastAsiaTheme="minorEastAsia" w:cstheme="minorEastAsia"/>
          <w:color w:val="auto"/>
          <w:sz w:val="21"/>
          <w:szCs w:val="21"/>
        </w:rPr>
        <w:t>“严重危及人身安全的暴力犯罪”</w:t>
      </w:r>
      <w:r>
        <w:rPr>
          <w:rFonts w:hint="eastAsia" w:asciiTheme="minorEastAsia" w:hAnsiTheme="minorEastAsia" w:eastAsiaTheme="minorEastAsia" w:cstheme="minorEastAsia"/>
          <w:color w:val="auto"/>
          <w:kern w:val="0"/>
          <w:sz w:val="21"/>
          <w:szCs w:val="21"/>
          <w:lang w:eastAsia="zh-CN"/>
        </w:rPr>
        <w:t>。</w:t>
      </w:r>
    </w:p>
    <w:p w14:paraId="353B653E">
      <w:pPr>
        <w:adjustRightInd w:val="0"/>
        <w:snapToGrid w:val="0"/>
        <w:spacing w:after="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1</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指具有致人重伤或者死亡的紧迫危险和现实可能的暴力犯罪。</w:t>
      </w:r>
    </w:p>
    <w:p w14:paraId="42A7DB95">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2</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并不限于刑法条文所列举的犯罪，还包括其他严重危及人身安全的暴力犯罪，如抢劫枪支弹药、劫持航空器、爆炸、武装叛乱、暴乱等。</w:t>
      </w:r>
    </w:p>
    <w:p w14:paraId="3C9FB7B9">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3</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法条列举的</w:t>
      </w:r>
      <w:r>
        <w:rPr>
          <w:rFonts w:hint="eastAsia" w:asciiTheme="minorEastAsia" w:hAnsiTheme="minorEastAsia" w:eastAsiaTheme="minorEastAsia" w:cstheme="minorEastAsia"/>
          <w:color w:val="auto"/>
          <w:sz w:val="21"/>
          <w:szCs w:val="21"/>
        </w:rPr>
        <w:t>“杀人、抢劫、强奸、绑架”，是指具体犯罪行为而不是具体罪名。在实施不法侵害过程中存在杀人、抢劫、强奸、绑架等严重危及人身安全的暴力犯罪行为的，如以暴力手段抢劫枪支、弹药、爆炸物或者以绑架手段拐卖妇女、儿童的，可以实行特殊防卫。有关行为没有严重危及人身安全的，应当适用一般防卫的法律规定。</w:t>
      </w:r>
    </w:p>
    <w:p w14:paraId="565810D1">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4</w:t>
      </w: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“行凶”指侵害人的主观侵害具体意图不明，但侵害行为客观上明显可能导致重大人身伤亡。如</w:t>
      </w:r>
      <w:r>
        <w:rPr>
          <w:rFonts w:hint="eastAsia" w:asciiTheme="minorEastAsia" w:hAnsiTheme="minorEastAsia" w:eastAsiaTheme="minorEastAsia" w:cstheme="minorEastAsia"/>
          <w:color w:val="auto"/>
          <w:sz w:val="21"/>
          <w:szCs w:val="21"/>
        </w:rPr>
        <w:t>使用致命性凶器；未使用凶器或者未使用致命性凶器，但是根据不法侵害的人数、打击部位和力度等情况，确已严重危及他人人身安全的。</w:t>
      </w:r>
    </w:p>
    <w:p w14:paraId="4A77BE40">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lang w:val="en-US" w:eastAsia="zh-CN"/>
        </w:rPr>
        <w:t>5</w:t>
      </w:r>
      <w:bookmarkStart w:id="10" w:name="_GoBack"/>
      <w:bookmarkEnd w:id="10"/>
      <w:r>
        <w:rPr>
          <w:rFonts w:hint="eastAsia" w:asciiTheme="minorEastAsia" w:hAnsiTheme="minorEastAsia" w:eastAsiaTheme="minorEastAsia" w:cstheme="minorEastAsia"/>
          <w:color w:val="auto"/>
          <w:kern w:val="0"/>
          <w:sz w:val="21"/>
          <w:szCs w:val="21"/>
          <w:lang w:eastAsia="zh-CN"/>
        </w:rPr>
        <w:t>）</w:t>
      </w:r>
      <w:r>
        <w:rPr>
          <w:rFonts w:hint="eastAsia" w:asciiTheme="minorEastAsia" w:hAnsiTheme="minorEastAsia" w:eastAsiaTheme="minorEastAsia" w:cstheme="minorEastAsia"/>
          <w:color w:val="auto"/>
          <w:kern w:val="0"/>
          <w:sz w:val="21"/>
          <w:szCs w:val="21"/>
        </w:rPr>
        <w:t>特殊防卫是一般防卫的提示规定，因此不能理解为“只有严重暴力犯罪，打死才不过当”。对于非严重暴力犯罪，如果致死没有超过必要限度，也能认定为正当防卫。</w:t>
      </w:r>
    </w:p>
    <w:p w14:paraId="6ECA7956">
      <w:pPr>
        <w:pStyle w:val="5"/>
        <w:spacing w:after="0"/>
        <w:ind w:firstLine="252" w:firstLineChars="1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（二）正当防卫的主观条件（有防卫意图，则无犯罪故意）</w:t>
      </w:r>
    </w:p>
    <w:p w14:paraId="689DBB25">
      <w:pPr>
        <w:adjustRightInd w:val="0"/>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1．防卫意图的内容</w:t>
      </w:r>
    </w:p>
    <w:p w14:paraId="062171A8">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正当防卫的主观条件是防卫意图，包括防卫认识+防卫意志（通说）。①防卫认识，指行为人对防卫的客观条件（起因、时间、对象、限度）均有认识。②防卫意志，指行为人的目的是为了制止不法侵害。少数观点认为：防卫意图只需防卫认识，无需防卫意志。</w:t>
      </w:r>
    </w:p>
    <w:p w14:paraId="4C11ED22">
      <w:pPr>
        <w:adjustRightInd w:val="0"/>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2．防卫主观条件的地位</w:t>
      </w:r>
    </w:p>
    <w:p w14:paraId="66C3068B">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（1）当然这并不说：行为人必须主观上具有防卫意图，才能成立正当防卫。</w:t>
      </w:r>
    </w:p>
    <w:p w14:paraId="62DEF07D">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不具有防卫认识（没有认识到不法侵害）的典型情形是偶然防卫（其定性下文详述）。具有防卫认识（认识到不法侵害）但不具防卫意志（不是基于制止不法侵害的目的）的情形通常有防卫挑拨、相互斗殴。</w:t>
      </w:r>
    </w:p>
    <w:p w14:paraId="1DBCDE21">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本书在犯罪论体系上采用“客观不法-主观责任”的体系，因此把正当防卫的问题一分为二。认为客观不法层面上正当防卫的成立，只需具备正当防卫的客观条件即可；主观上如行为人具有防卫意图（只需防卫认识），就阻却犯罪故意，只具有犯罪过失，或者意外事件。</w:t>
      </w:r>
    </w:p>
    <w:p w14:paraId="71A24EFC">
      <w:pPr>
        <w:adjustRightInd w:val="0"/>
        <w:snapToGrid w:val="0"/>
        <w:spacing w:after="0"/>
        <w:ind w:firstLine="420"/>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kern w:val="0"/>
          <w:sz w:val="21"/>
          <w:szCs w:val="21"/>
        </w:rPr>
        <w:t>（3）琐事纠纷中的“先动手规则”：界分防卫行为与相互斗殴</w:t>
      </w:r>
    </w:p>
    <w:p w14:paraId="7ABCFFD2">
      <w:pPr>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因琐事发生争执，双方均不能保持克制而引发打斗，对于有过错的一方先动手且手段明显过激，或者一方先动手，在对方努力避免冲突的情况下仍继续侵害的，还击一方的行为一般应当认定为防卫行为。</w:t>
      </w:r>
    </w:p>
    <w:p w14:paraId="3B684667">
      <w:pPr>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双方因琐事发生冲突，冲突结束后，一方又实施不法侵害，对方还击，包括使用工具还击的，一般应当认定为防卫行为。不能仅因行为人事先进行防卫准备，就影响对其防卫意图的认定。</w:t>
      </w:r>
    </w:p>
    <w:p w14:paraId="2A619FF5">
      <w:pPr>
        <w:pStyle w:val="5"/>
        <w:spacing w:after="0"/>
        <w:ind w:firstLine="252" w:firstLineChars="120"/>
        <w:rPr>
          <w:rFonts w:hint="eastAsia" w:asciiTheme="minorEastAsia" w:hAnsiTheme="minorEastAsia" w:eastAsiaTheme="minorEastAsia" w:cstheme="minorEastAsia"/>
          <w:color w:val="auto"/>
          <w:sz w:val="21"/>
          <w:szCs w:val="21"/>
        </w:rPr>
      </w:pPr>
      <w:bookmarkStart w:id="2" w:name="_Hlk45064269"/>
      <w:r>
        <w:rPr>
          <w:rFonts w:hint="eastAsia" w:asciiTheme="minorEastAsia" w:hAnsiTheme="minorEastAsia" w:eastAsiaTheme="minorEastAsia" w:cstheme="minorEastAsia"/>
          <w:color w:val="auto"/>
          <w:sz w:val="21"/>
          <w:szCs w:val="21"/>
        </w:rPr>
        <w:t>（三）防卫中的认识错误问题：假想防卫、偶然防卫</w:t>
      </w:r>
      <w:bookmarkEnd w:id="2"/>
    </w:p>
    <w:p w14:paraId="7E4238DE">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如果防卫的客观要件与行为人主观认识并不一致，就会产生认识错误的问题，包括假想防卫、偶然防卫。按先客观、后主观，客观主观统一的方法分析，就能得出正确结论。</w:t>
      </w:r>
    </w:p>
    <w:p w14:paraId="4D8C85B3">
      <w:pPr>
        <w:adjustRightInd w:val="0"/>
        <w:snapToGrid w:val="0"/>
        <w:spacing w:after="0"/>
        <w:ind w:firstLine="440"/>
        <w:rPr>
          <w:rFonts w:hint="eastAsia" w:asciiTheme="minorEastAsia" w:hAnsiTheme="minorEastAsia" w:eastAsiaTheme="minorEastAsia" w:cstheme="minorEastAsia"/>
          <w:color w:val="auto"/>
          <w:kern w:val="0"/>
          <w:sz w:val="21"/>
          <w:szCs w:val="21"/>
        </w:rPr>
      </w:pPr>
      <w:bookmarkStart w:id="3" w:name="_Hlk45064284"/>
      <w:r>
        <w:rPr>
          <w:rFonts w:hint="eastAsia" w:asciiTheme="minorEastAsia" w:hAnsiTheme="minorEastAsia" w:eastAsiaTheme="minorEastAsia" w:cstheme="minorEastAsia"/>
          <w:color w:val="auto"/>
          <w:kern w:val="0"/>
          <w:sz w:val="21"/>
          <w:szCs w:val="21"/>
        </w:rPr>
        <w:t>1．假想防卫：不具备防卫客观条件（不法）+具备防卫意图条件（无故意）</w:t>
      </w:r>
      <w:bookmarkEnd w:id="3"/>
    </w:p>
    <w:p w14:paraId="22F1F0FB">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假想防卫不具备正当防卫的客观条件，客观上系不法行为；但行为人主观上具有防卫意图，涉及主观罪过形式的认定。</w:t>
      </w:r>
    </w:p>
    <w:p w14:paraId="36B69591">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本质上，假想防卫是行为人主观上对防卫起因条件误认而形成的事实认识错误，行为人虽然对不法的积极要素（构成要件要素）有认识，但对不法的消极要素（正当防卫的起因事实）的不存在没有认识，因而欠缺成立故意的必要认识，</w:t>
      </w:r>
      <w:r>
        <w:rPr>
          <w:rFonts w:hint="eastAsia" w:asciiTheme="minorEastAsia" w:hAnsiTheme="minorEastAsia" w:eastAsiaTheme="minorEastAsia" w:cstheme="minorEastAsia"/>
          <w:color w:val="auto"/>
          <w:sz w:val="21"/>
          <w:szCs w:val="21"/>
        </w:rPr>
        <w:t>不能构成故意犯罪</w:t>
      </w:r>
      <w:r>
        <w:rPr>
          <w:rFonts w:hint="eastAsia" w:asciiTheme="minorEastAsia" w:hAnsiTheme="minorEastAsia" w:eastAsiaTheme="minorEastAsia" w:cstheme="minorEastAsia"/>
          <w:color w:val="auto"/>
          <w:kern w:val="0"/>
          <w:sz w:val="21"/>
          <w:szCs w:val="21"/>
        </w:rPr>
        <w:t>（有防卫意图，即无犯罪故意）。行为人对危害结果的主观心理状态一般是过失，也可能是意外事件。亦即，当社会公众能够认识到没有不法侵害，而行为人误认为有不法侵害时，行为人是应当预见而未预见，即有过失，应按过失犯罪处理，造成重大人身伤亡的，可能构成过失致人重伤罪、过失致人死亡罪等。如果社会公众也认识当时存在不法侵害，则行为人主观上没有过错，则按意外事件处理。</w:t>
      </w:r>
    </w:p>
    <w:p w14:paraId="1594A0FD">
      <w:pPr>
        <w:adjustRightInd w:val="0"/>
        <w:snapToGrid w:val="0"/>
        <w:spacing w:after="0"/>
        <w:ind w:firstLine="440"/>
        <w:rPr>
          <w:rFonts w:hint="eastAsia" w:asciiTheme="minorEastAsia" w:hAnsiTheme="minorEastAsia" w:eastAsiaTheme="minorEastAsia" w:cstheme="minorEastAsia"/>
          <w:color w:val="auto"/>
          <w:kern w:val="0"/>
          <w:sz w:val="21"/>
          <w:szCs w:val="21"/>
        </w:rPr>
      </w:pPr>
      <w:bookmarkStart w:id="4" w:name="_Hlk45064296"/>
      <w:r>
        <w:rPr>
          <w:rFonts w:hint="eastAsia" w:asciiTheme="minorEastAsia" w:hAnsiTheme="minorEastAsia" w:eastAsiaTheme="minorEastAsia" w:cstheme="minorEastAsia"/>
          <w:color w:val="auto"/>
          <w:kern w:val="0"/>
          <w:sz w:val="21"/>
          <w:szCs w:val="21"/>
        </w:rPr>
        <w:t>2．偶然防卫：具备防卫客观条件+不具备防卫意图条件（有犯罪故意）</w:t>
      </w:r>
      <w:bookmarkEnd w:id="4"/>
    </w:p>
    <w:p w14:paraId="221F4403">
      <w:pPr>
        <w:adjustRightInd w:val="0"/>
        <w:snapToGrid w:val="0"/>
        <w:spacing w:after="0"/>
        <w:ind w:firstLine="440"/>
        <w:rPr>
          <w:rFonts w:hint="eastAsia" w:asciiTheme="minorEastAsia" w:hAnsiTheme="minorEastAsia" w:eastAsiaTheme="minorEastAsia" w:cstheme="minorEastAsia"/>
          <w:b/>
          <w:bCs/>
          <w:color w:val="FF0000"/>
          <w:kern w:val="0"/>
          <w:sz w:val="21"/>
          <w:szCs w:val="21"/>
          <w:lang w:val="en-US" w:eastAsia="zh-CN"/>
        </w:rPr>
      </w:pPr>
      <w:r>
        <w:rPr>
          <w:rFonts w:hint="eastAsia" w:asciiTheme="minorEastAsia" w:hAnsiTheme="minorEastAsia" w:eastAsiaTheme="minorEastAsia" w:cstheme="minorEastAsia"/>
          <w:b/>
          <w:bCs/>
          <w:color w:val="FF0000"/>
          <w:kern w:val="0"/>
          <w:sz w:val="21"/>
          <w:szCs w:val="21"/>
          <w:lang w:val="en-US" w:eastAsia="zh-CN"/>
        </w:rPr>
        <w:t>弄清楚【猪队友事件】</w:t>
      </w:r>
    </w:p>
    <w:p w14:paraId="593863C7">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偶然防卫，指行为人没有认识到不法侵害的存在、没有防卫意图，但偶然在客观上起到了制止不法侵害效果的情形。亦即，具备了正当防卫的客观条件，但不具备主观条件的情况。</w:t>
      </w:r>
    </w:p>
    <w:p w14:paraId="34020FA0">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（1）观点辨析：偶然防卫的性质</w:t>
      </w:r>
    </w:p>
    <w:p w14:paraId="22A9087A">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（2）法考的</w:t>
      </w:r>
      <w:r>
        <w:rPr>
          <w:rFonts w:hint="eastAsia" w:asciiTheme="minorEastAsia" w:hAnsiTheme="minorEastAsia" w:eastAsiaTheme="minorEastAsia" w:cstheme="minorEastAsia"/>
          <w:b/>
          <w:bCs/>
          <w:color w:val="auto"/>
          <w:kern w:val="0"/>
          <w:sz w:val="21"/>
          <w:szCs w:val="21"/>
        </w:rPr>
        <w:t>通说观点：偶然防卫在不法层面上属正当防卫</w:t>
      </w:r>
    </w:p>
    <w:p w14:paraId="49B702F7">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法律职业资格考试以结果无价值论立场为通说观点，故而认为正当防卫是客观不法的消极因素问题，因整个不法阶层的判断都是客观的；故而，正当防卫的判断本身只是客观不法层面上的问题，并不涉及到主观责任。从而，正当防卫的成立不需防卫认识、防卫意志等主观条件（防止意图条件不要说）；只需在客观上行为及损害起到了制止不法侵害的效果，即认为是客观不法层面上的正当防卫。由此，刑法第20条第1款规定的“为了……”关于防卫意图的规定，功用是为阻却责任层面上的故意（故意消极事由），并不是对客观不法层面正当防卫的限定。</w:t>
      </w:r>
    </w:p>
    <w:p w14:paraId="72E4D76C">
      <w:pPr>
        <w:pStyle w:val="4"/>
        <w:spacing w:after="0"/>
        <w:rPr>
          <w:rFonts w:hint="eastAsia" w:asciiTheme="minorEastAsia" w:hAnsiTheme="minorEastAsia" w:eastAsiaTheme="minorEastAsia" w:cstheme="minorEastAsia"/>
          <w:b/>
          <w:bCs/>
          <w:color w:val="auto"/>
          <w:sz w:val="21"/>
          <w:szCs w:val="21"/>
        </w:rPr>
      </w:pPr>
    </w:p>
    <w:p w14:paraId="2234A31C">
      <w:pPr>
        <w:pStyle w:val="4"/>
        <w:spacing w:after="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二、紧急避险</w:t>
      </w:r>
    </w:p>
    <w:p w14:paraId="59B4EACA">
      <w:pPr>
        <w:ind w:left="0" w:leftChars="0" w:firstLine="0" w:firstLineChars="0"/>
        <w:rPr>
          <w:rFonts w:hint="eastAsia"/>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550"/>
        <w:gridCol w:w="992"/>
        <w:gridCol w:w="2693"/>
        <w:gridCol w:w="3270"/>
      </w:tblGrid>
      <w:tr w14:paraId="072B284E">
        <w:trPr>
          <w:jc w:val="center"/>
        </w:trPr>
        <w:tc>
          <w:tcPr>
            <w:tcW w:w="2542" w:type="dxa"/>
            <w:gridSpan w:val="2"/>
            <w:vAlign w:val="center"/>
          </w:tcPr>
          <w:p w14:paraId="58623945">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p>
        </w:tc>
        <w:tc>
          <w:tcPr>
            <w:tcW w:w="2693" w:type="dxa"/>
            <w:vAlign w:val="center"/>
          </w:tcPr>
          <w:p w14:paraId="4B3BEC93">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一般正当防卫</w:t>
            </w:r>
          </w:p>
        </w:tc>
        <w:tc>
          <w:tcPr>
            <w:tcW w:w="3270" w:type="dxa"/>
            <w:vAlign w:val="center"/>
          </w:tcPr>
          <w:p w14:paraId="54EF9B71">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紧急避险</w:t>
            </w:r>
          </w:p>
        </w:tc>
      </w:tr>
      <w:tr w14:paraId="4B37C9A6">
        <w:trPr>
          <w:jc w:val="center"/>
        </w:trPr>
        <w:tc>
          <w:tcPr>
            <w:tcW w:w="2542" w:type="dxa"/>
            <w:gridSpan w:val="2"/>
            <w:vAlign w:val="center"/>
          </w:tcPr>
          <w:p w14:paraId="1DB5DB2E">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本质</w:t>
            </w:r>
          </w:p>
        </w:tc>
        <w:tc>
          <w:tcPr>
            <w:tcW w:w="2693" w:type="dxa"/>
            <w:vAlign w:val="center"/>
          </w:tcPr>
          <w:p w14:paraId="64A638F1">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以正对不正</w:t>
            </w:r>
          </w:p>
        </w:tc>
        <w:tc>
          <w:tcPr>
            <w:tcW w:w="3270" w:type="dxa"/>
            <w:vAlign w:val="center"/>
          </w:tcPr>
          <w:p w14:paraId="57E36F75">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以正对正</w:t>
            </w:r>
          </w:p>
        </w:tc>
      </w:tr>
      <w:tr w14:paraId="694AA7B2">
        <w:trPr>
          <w:jc w:val="center"/>
        </w:trPr>
        <w:tc>
          <w:tcPr>
            <w:tcW w:w="1550" w:type="dxa"/>
            <w:vMerge w:val="restart"/>
            <w:vAlign w:val="center"/>
          </w:tcPr>
          <w:p w14:paraId="363FBF98">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客观条件</w:t>
            </w:r>
          </w:p>
          <w:p w14:paraId="46A5FF56">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（阻却不法）</w:t>
            </w:r>
          </w:p>
        </w:tc>
        <w:tc>
          <w:tcPr>
            <w:tcW w:w="992" w:type="dxa"/>
            <w:vAlign w:val="center"/>
          </w:tcPr>
          <w:p w14:paraId="69416D44">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起因</w:t>
            </w:r>
          </w:p>
        </w:tc>
        <w:tc>
          <w:tcPr>
            <w:tcW w:w="2693" w:type="dxa"/>
            <w:vAlign w:val="center"/>
          </w:tcPr>
          <w:p w14:paraId="0E09C08B">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不法侵害（人的行为；不法）</w:t>
            </w:r>
          </w:p>
        </w:tc>
        <w:tc>
          <w:tcPr>
            <w:tcW w:w="3270" w:type="dxa"/>
            <w:vAlign w:val="center"/>
          </w:tcPr>
          <w:p w14:paraId="272C4B1F">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现实的危险（人的行为、自然原因、动物侵袭、疫病等）</w:t>
            </w:r>
          </w:p>
        </w:tc>
      </w:tr>
      <w:tr w14:paraId="57F1B9D4">
        <w:trPr>
          <w:jc w:val="center"/>
        </w:trPr>
        <w:tc>
          <w:tcPr>
            <w:tcW w:w="1550" w:type="dxa"/>
            <w:vMerge w:val="continue"/>
            <w:vAlign w:val="center"/>
          </w:tcPr>
          <w:p w14:paraId="701043C8">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992" w:type="dxa"/>
            <w:vAlign w:val="center"/>
          </w:tcPr>
          <w:p w14:paraId="3B0553FB">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时间</w:t>
            </w:r>
          </w:p>
        </w:tc>
        <w:tc>
          <w:tcPr>
            <w:tcW w:w="2693" w:type="dxa"/>
            <w:vAlign w:val="center"/>
          </w:tcPr>
          <w:p w14:paraId="567395A1">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正在进行（危险可能）</w:t>
            </w:r>
          </w:p>
        </w:tc>
        <w:tc>
          <w:tcPr>
            <w:tcW w:w="3270" w:type="dxa"/>
            <w:vAlign w:val="center"/>
          </w:tcPr>
          <w:p w14:paraId="2B402C56">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正在发生</w:t>
            </w:r>
          </w:p>
        </w:tc>
      </w:tr>
      <w:tr w14:paraId="2F9AC067">
        <w:trPr>
          <w:jc w:val="center"/>
        </w:trPr>
        <w:tc>
          <w:tcPr>
            <w:tcW w:w="1550" w:type="dxa"/>
            <w:vMerge w:val="continue"/>
            <w:vAlign w:val="center"/>
          </w:tcPr>
          <w:p w14:paraId="6F72EB01">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992" w:type="dxa"/>
            <w:vAlign w:val="center"/>
          </w:tcPr>
          <w:p w14:paraId="26AE8245">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对象</w:t>
            </w:r>
          </w:p>
        </w:tc>
        <w:tc>
          <w:tcPr>
            <w:tcW w:w="2693" w:type="dxa"/>
            <w:vAlign w:val="center"/>
          </w:tcPr>
          <w:p w14:paraId="0FC8631E">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不法侵害者</w:t>
            </w:r>
          </w:p>
        </w:tc>
        <w:tc>
          <w:tcPr>
            <w:tcW w:w="3270" w:type="dxa"/>
            <w:vAlign w:val="center"/>
          </w:tcPr>
          <w:p w14:paraId="158F2568">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合法权益（通常是第三人的）</w:t>
            </w:r>
          </w:p>
        </w:tc>
      </w:tr>
      <w:tr w14:paraId="1C004A70">
        <w:trPr>
          <w:jc w:val="center"/>
        </w:trPr>
        <w:tc>
          <w:tcPr>
            <w:tcW w:w="1550" w:type="dxa"/>
            <w:vMerge w:val="continue"/>
            <w:vAlign w:val="center"/>
          </w:tcPr>
          <w:p w14:paraId="5ED3FD0B">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992" w:type="dxa"/>
            <w:vAlign w:val="center"/>
          </w:tcPr>
          <w:p w14:paraId="059F6FBB">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不得已</w:t>
            </w:r>
          </w:p>
        </w:tc>
        <w:tc>
          <w:tcPr>
            <w:tcW w:w="2693" w:type="dxa"/>
            <w:vAlign w:val="center"/>
          </w:tcPr>
          <w:p w14:paraId="508E1F84">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无</w:t>
            </w:r>
          </w:p>
        </w:tc>
        <w:tc>
          <w:tcPr>
            <w:tcW w:w="3270" w:type="dxa"/>
            <w:vAlign w:val="center"/>
          </w:tcPr>
          <w:p w14:paraId="775BE8D6">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不得已（避险是唯一方法）</w:t>
            </w:r>
          </w:p>
        </w:tc>
      </w:tr>
      <w:tr w14:paraId="1588D86A">
        <w:trPr>
          <w:jc w:val="center"/>
        </w:trPr>
        <w:tc>
          <w:tcPr>
            <w:tcW w:w="1550" w:type="dxa"/>
            <w:vMerge w:val="continue"/>
            <w:vAlign w:val="center"/>
          </w:tcPr>
          <w:p w14:paraId="5234655B">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992" w:type="dxa"/>
            <w:vAlign w:val="center"/>
          </w:tcPr>
          <w:p w14:paraId="3F213684">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限度</w:t>
            </w:r>
          </w:p>
        </w:tc>
        <w:tc>
          <w:tcPr>
            <w:tcW w:w="2693" w:type="dxa"/>
            <w:vAlign w:val="center"/>
          </w:tcPr>
          <w:p w14:paraId="7835335A">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未超过必要限度造成重大损害（损害可以大于保护利益）</w:t>
            </w:r>
          </w:p>
        </w:tc>
        <w:tc>
          <w:tcPr>
            <w:tcW w:w="3270" w:type="dxa"/>
            <w:vAlign w:val="center"/>
          </w:tcPr>
          <w:p w14:paraId="2BFFF5E3">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未超过必要限度造成不应有损害（所保护利益&gt;所损害利益）</w:t>
            </w:r>
          </w:p>
        </w:tc>
      </w:tr>
      <w:tr w14:paraId="6153ECD2">
        <w:trPr>
          <w:jc w:val="center"/>
        </w:trPr>
        <w:tc>
          <w:tcPr>
            <w:tcW w:w="1550" w:type="dxa"/>
            <w:vMerge w:val="continue"/>
            <w:vAlign w:val="center"/>
          </w:tcPr>
          <w:p w14:paraId="3DE310E8">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992" w:type="dxa"/>
            <w:vAlign w:val="center"/>
          </w:tcPr>
          <w:p w14:paraId="4B0C692D">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主体</w:t>
            </w:r>
          </w:p>
        </w:tc>
        <w:tc>
          <w:tcPr>
            <w:tcW w:w="2693" w:type="dxa"/>
            <w:vAlign w:val="center"/>
          </w:tcPr>
          <w:p w14:paraId="362BB578">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无限制</w:t>
            </w:r>
          </w:p>
        </w:tc>
        <w:tc>
          <w:tcPr>
            <w:tcW w:w="3270" w:type="dxa"/>
            <w:vAlign w:val="center"/>
          </w:tcPr>
          <w:p w14:paraId="45DD996E">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避免本人危险不适用于职务上、业务上负有特定责任的人</w:t>
            </w:r>
          </w:p>
        </w:tc>
      </w:tr>
      <w:tr w14:paraId="2F7CCA70">
        <w:trPr>
          <w:jc w:val="center"/>
        </w:trPr>
        <w:tc>
          <w:tcPr>
            <w:tcW w:w="1550" w:type="dxa"/>
            <w:vAlign w:val="center"/>
          </w:tcPr>
          <w:p w14:paraId="6BB128A6">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主观条件</w:t>
            </w:r>
          </w:p>
          <w:p w14:paraId="06716BE2">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（阻却故意）</w:t>
            </w:r>
          </w:p>
        </w:tc>
        <w:tc>
          <w:tcPr>
            <w:tcW w:w="992" w:type="dxa"/>
            <w:vAlign w:val="center"/>
          </w:tcPr>
          <w:p w14:paraId="48446F14">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主观</w:t>
            </w:r>
          </w:p>
        </w:tc>
        <w:tc>
          <w:tcPr>
            <w:tcW w:w="2693" w:type="dxa"/>
            <w:vAlign w:val="center"/>
          </w:tcPr>
          <w:p w14:paraId="04663207">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防卫认识、防卫意志</w:t>
            </w:r>
          </w:p>
        </w:tc>
        <w:tc>
          <w:tcPr>
            <w:tcW w:w="3270" w:type="dxa"/>
            <w:vAlign w:val="center"/>
          </w:tcPr>
          <w:p w14:paraId="5F99EF43">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避险认识、避险意志</w:t>
            </w:r>
          </w:p>
        </w:tc>
      </w:tr>
    </w:tbl>
    <w:p w14:paraId="253F439D">
      <w:pPr>
        <w:adjustRightInd w:val="0"/>
        <w:snapToGrid w:val="0"/>
        <w:spacing w:after="0"/>
        <w:ind w:left="0" w:leftChars="0" w:firstLine="0" w:firstLineChars="0"/>
        <w:rPr>
          <w:rFonts w:hint="eastAsia" w:asciiTheme="minorEastAsia" w:hAnsiTheme="minorEastAsia" w:eastAsiaTheme="minorEastAsia" w:cstheme="minorEastAsia"/>
          <w:color w:val="auto"/>
          <w:sz w:val="21"/>
          <w:szCs w:val="21"/>
        </w:rPr>
      </w:pPr>
    </w:p>
    <w:p w14:paraId="74D79D52">
      <w:pPr>
        <w:pStyle w:val="4"/>
        <w:spacing w:after="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sz w:val="21"/>
          <w:szCs w:val="21"/>
        </w:rPr>
        <w:t>三、被害人承诺</w:t>
      </w:r>
    </w:p>
    <w:p w14:paraId="0EBB4F9F">
      <w:pPr>
        <w:pStyle w:val="5"/>
        <w:spacing w:after="0"/>
        <w:ind w:firstLine="252" w:firstLineChars="1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（一）有效的被害人承诺（阻却违法性）的构成条件</w:t>
      </w:r>
    </w:p>
    <w:p w14:paraId="42EA51EA">
      <w:pPr>
        <w:adjustRightInd w:val="0"/>
        <w:snapToGrid w:val="0"/>
        <w:spacing w:after="0"/>
        <w:ind w:firstLine="420"/>
        <w:rPr>
          <w:rFonts w:hint="eastAsia" w:asciiTheme="minorEastAsia" w:hAnsiTheme="minorEastAsia" w:eastAsiaTheme="minorEastAsia" w:cstheme="minorEastAsia"/>
          <w:color w:val="auto"/>
          <w:kern w:val="0"/>
          <w:sz w:val="21"/>
          <w:szCs w:val="21"/>
        </w:rPr>
      </w:pP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405"/>
        <w:gridCol w:w="6100"/>
      </w:tblGrid>
      <w:tr w14:paraId="10290539">
        <w:trPr>
          <w:jc w:val="center"/>
        </w:trPr>
        <w:tc>
          <w:tcPr>
            <w:tcW w:w="8505" w:type="dxa"/>
            <w:gridSpan w:val="2"/>
            <w:vAlign w:val="center"/>
          </w:tcPr>
          <w:p w14:paraId="32555EF7">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意思自治+国家认可（类比于民法权利处分合同）</w:t>
            </w:r>
          </w:p>
        </w:tc>
      </w:tr>
      <w:tr w14:paraId="4F527903">
        <w:trPr>
          <w:jc w:val="center"/>
        </w:trPr>
        <w:tc>
          <w:tcPr>
            <w:tcW w:w="2405" w:type="dxa"/>
            <w:vAlign w:val="center"/>
          </w:tcPr>
          <w:p w14:paraId="10BA06D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承诺者对被侵害的法益具有处分权限</w:t>
            </w:r>
          </w:p>
        </w:tc>
        <w:tc>
          <w:tcPr>
            <w:tcW w:w="6100" w:type="dxa"/>
            <w:vAlign w:val="center"/>
          </w:tcPr>
          <w:p w14:paraId="4BA63E1A">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被害人只能承诺自己的法益；承诺国家、公共利益与他人利益，无效。</w:t>
            </w:r>
          </w:p>
          <w:p w14:paraId="43A941EA">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承诺自己法益时，也有一定限度：承诺他人杀害、重伤自己，无效</w:t>
            </w:r>
          </w:p>
        </w:tc>
      </w:tr>
      <w:tr w14:paraId="73C062B0">
        <w:trPr>
          <w:jc w:val="center"/>
        </w:trPr>
        <w:tc>
          <w:tcPr>
            <w:tcW w:w="2405" w:type="dxa"/>
            <w:vAlign w:val="center"/>
          </w:tcPr>
          <w:p w14:paraId="29F93B1D">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对承诺事项具有理解能力，承诺能力</w:t>
            </w:r>
          </w:p>
        </w:tc>
        <w:tc>
          <w:tcPr>
            <w:tcW w:w="6100" w:type="dxa"/>
            <w:vAlign w:val="center"/>
          </w:tcPr>
          <w:p w14:paraId="595D84E6">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未满14周岁的幼女性承诺无效；未满18周岁承诺摘取器官无效</w:t>
            </w:r>
          </w:p>
        </w:tc>
      </w:tr>
      <w:tr w14:paraId="46F5DDBA">
        <w:trPr>
          <w:jc w:val="center"/>
        </w:trPr>
        <w:tc>
          <w:tcPr>
            <w:tcW w:w="2405" w:type="dxa"/>
            <w:vAlign w:val="center"/>
          </w:tcPr>
          <w:p w14:paraId="3696F2C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承诺者不仅承诺行为，而且承诺结果</w:t>
            </w:r>
          </w:p>
        </w:tc>
        <w:tc>
          <w:tcPr>
            <w:tcW w:w="6100" w:type="dxa"/>
            <w:vAlign w:val="center"/>
          </w:tcPr>
          <w:p w14:paraId="57ED557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承诺他人醉酒开车载运自己，但没有承诺他人醉酒开车重伤自己</w:t>
            </w:r>
          </w:p>
        </w:tc>
      </w:tr>
      <w:tr w14:paraId="3EC732DF">
        <w:trPr>
          <w:jc w:val="center"/>
        </w:trPr>
        <w:tc>
          <w:tcPr>
            <w:tcW w:w="2405" w:type="dxa"/>
            <w:vAlign w:val="center"/>
          </w:tcPr>
          <w:p w14:paraId="6147F452">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真实意思表示</w:t>
            </w:r>
          </w:p>
        </w:tc>
        <w:tc>
          <w:tcPr>
            <w:tcW w:w="6100" w:type="dxa"/>
            <w:vAlign w:val="center"/>
          </w:tcPr>
          <w:p w14:paraId="2074E02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戏言性的承诺、基于强制、欺骗做出的承诺无效</w:t>
            </w:r>
          </w:p>
        </w:tc>
      </w:tr>
      <w:tr w14:paraId="701029E0">
        <w:trPr>
          <w:jc w:val="center"/>
        </w:trPr>
        <w:tc>
          <w:tcPr>
            <w:tcW w:w="2405" w:type="dxa"/>
            <w:vAlign w:val="center"/>
          </w:tcPr>
          <w:p w14:paraId="7AF76987">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现实的承诺</w:t>
            </w:r>
          </w:p>
        </w:tc>
        <w:tc>
          <w:tcPr>
            <w:tcW w:w="6100" w:type="dxa"/>
            <w:vAlign w:val="center"/>
          </w:tcPr>
          <w:p w14:paraId="00985C0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意思方向说：只要被害人具有现实的承诺，即使没有表示于外部，也是有效的承诺；也不必要求行为人认识到被害人的承诺</w:t>
            </w:r>
          </w:p>
        </w:tc>
      </w:tr>
      <w:tr w14:paraId="0CAC1AC2">
        <w:trPr>
          <w:jc w:val="center"/>
        </w:trPr>
        <w:tc>
          <w:tcPr>
            <w:tcW w:w="2405" w:type="dxa"/>
            <w:vAlign w:val="center"/>
          </w:tcPr>
          <w:p w14:paraId="37235756">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承诺至迟存在于结果发生前</w:t>
            </w:r>
          </w:p>
        </w:tc>
        <w:tc>
          <w:tcPr>
            <w:tcW w:w="6100" w:type="dxa"/>
            <w:vAlign w:val="center"/>
          </w:tcPr>
          <w:p w14:paraId="61DA3EE7">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承诺不能事后追认</w:t>
            </w:r>
          </w:p>
        </w:tc>
      </w:tr>
      <w:tr w14:paraId="2F0BFEDC">
        <w:trPr>
          <w:jc w:val="center"/>
        </w:trPr>
        <w:tc>
          <w:tcPr>
            <w:tcW w:w="2405" w:type="dxa"/>
            <w:vAlign w:val="center"/>
          </w:tcPr>
          <w:p w14:paraId="418B3B1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实施的行为不能超越承诺范围</w:t>
            </w:r>
          </w:p>
        </w:tc>
        <w:tc>
          <w:tcPr>
            <w:tcW w:w="6100" w:type="dxa"/>
            <w:vAlign w:val="center"/>
          </w:tcPr>
          <w:p w14:paraId="156717E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超越（具体承诺范围、国家许可范围）承诺范围的部分追究责任</w:t>
            </w:r>
          </w:p>
        </w:tc>
      </w:tr>
    </w:tbl>
    <w:p w14:paraId="7A3D1BE1">
      <w:pPr>
        <w:adjustRightInd w:val="0"/>
        <w:snapToGrid w:val="0"/>
        <w:spacing w:after="0"/>
        <w:ind w:firstLine="420"/>
        <w:rPr>
          <w:rFonts w:hint="eastAsia" w:asciiTheme="minorEastAsia" w:hAnsiTheme="minorEastAsia" w:eastAsiaTheme="minorEastAsia" w:cstheme="minorEastAsia"/>
          <w:color w:val="auto"/>
          <w:kern w:val="0"/>
          <w:sz w:val="21"/>
          <w:szCs w:val="21"/>
        </w:rPr>
      </w:pPr>
    </w:p>
    <w:p w14:paraId="15637E67">
      <w:pPr>
        <w:pStyle w:val="5"/>
        <w:spacing w:after="0"/>
        <w:ind w:firstLine="252" w:firstLineChars="1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（二）承诺者基于认识错误而作出承诺的效力</w:t>
      </w:r>
    </w:p>
    <w:p w14:paraId="24F4EC0B">
      <w:pPr>
        <w:adjustRightInd w:val="0"/>
        <w:snapToGrid w:val="0"/>
        <w:spacing w:after="0"/>
        <w:ind w:firstLine="420"/>
        <w:rPr>
          <w:rFonts w:hint="eastAsia" w:asciiTheme="minorEastAsia" w:hAnsiTheme="minorEastAsia" w:eastAsiaTheme="minorEastAsia" w:cstheme="minorEastAsia"/>
          <w:color w:val="auto"/>
          <w:kern w:val="0"/>
          <w:sz w:val="21"/>
          <w:szCs w:val="21"/>
        </w:rPr>
      </w:pP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971"/>
        <w:gridCol w:w="5534"/>
      </w:tblGrid>
      <w:tr w14:paraId="202CD897">
        <w:trPr>
          <w:jc w:val="center"/>
        </w:trPr>
        <w:tc>
          <w:tcPr>
            <w:tcW w:w="2971" w:type="dxa"/>
            <w:vAlign w:val="center"/>
          </w:tcPr>
          <w:p w14:paraId="6310256E">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重大错误的承诺：承诺无效</w:t>
            </w:r>
          </w:p>
        </w:tc>
        <w:tc>
          <w:tcPr>
            <w:tcW w:w="5534" w:type="dxa"/>
            <w:vAlign w:val="center"/>
          </w:tcPr>
          <w:p w14:paraId="7D78D914">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法益关系错误：因受骗而对所放弃的法益的种类、范围或危险性发生错误认识</w:t>
            </w:r>
          </w:p>
        </w:tc>
      </w:tr>
      <w:tr w14:paraId="4DE53107">
        <w:trPr>
          <w:jc w:val="center"/>
        </w:trPr>
        <w:tc>
          <w:tcPr>
            <w:tcW w:w="2971" w:type="dxa"/>
            <w:vAlign w:val="center"/>
          </w:tcPr>
          <w:p w14:paraId="737DEA4D">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非重大错误的承诺：承诺有效</w:t>
            </w:r>
          </w:p>
        </w:tc>
        <w:tc>
          <w:tcPr>
            <w:tcW w:w="5534" w:type="dxa"/>
            <w:vAlign w:val="center"/>
          </w:tcPr>
          <w:p w14:paraId="409276D2">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不是法益关系错误，例如一些不重大的动机错误等的承诺（但重大的动机错误仍然使承诺无效）</w:t>
            </w:r>
          </w:p>
        </w:tc>
      </w:tr>
      <w:tr w14:paraId="6C3BAA78">
        <w:trPr>
          <w:jc w:val="center"/>
        </w:trPr>
        <w:tc>
          <w:tcPr>
            <w:tcW w:w="8505" w:type="dxa"/>
            <w:gridSpan w:val="2"/>
            <w:vAlign w:val="center"/>
          </w:tcPr>
          <w:p w14:paraId="6C96B21B">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错误重大与否（可类比合同法中重大误解的判断）：考虑法益的有无、性质、范围，承诺者的目的是否实现，欺骗行为对承诺的影响程度（错误条款是否属于影响决策的重大条款）</w:t>
            </w:r>
          </w:p>
        </w:tc>
      </w:tr>
      <w:tr w14:paraId="6AFAD903">
        <w:trPr>
          <w:jc w:val="center"/>
        </w:trPr>
        <w:tc>
          <w:tcPr>
            <w:tcW w:w="8505" w:type="dxa"/>
            <w:gridSpan w:val="2"/>
            <w:vAlign w:val="center"/>
          </w:tcPr>
          <w:p w14:paraId="4807B6C1">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判断基于错误而作出承诺的效力（错误是否重大）的经验法则是：将假相告诉一般社会公众，如果一般社会公众基于假相也会作出承诺，则承诺者属重大错误的承诺，承诺无效。</w:t>
            </w:r>
          </w:p>
        </w:tc>
      </w:tr>
    </w:tbl>
    <w:p w14:paraId="2055A5F1">
      <w:pPr>
        <w:adjustRightInd w:val="0"/>
        <w:snapToGrid w:val="0"/>
        <w:spacing w:after="0"/>
        <w:ind w:firstLine="420"/>
        <w:rPr>
          <w:rFonts w:hint="eastAsia" w:asciiTheme="minorEastAsia" w:hAnsiTheme="minorEastAsia" w:eastAsiaTheme="minorEastAsia" w:cstheme="minorEastAsia"/>
          <w:color w:val="FF0000"/>
          <w:spacing w:val="-2"/>
          <w:sz w:val="21"/>
          <w:szCs w:val="21"/>
        </w:rPr>
      </w:pPr>
      <w:r>
        <w:rPr>
          <w:rFonts w:hint="eastAsia" w:asciiTheme="minorEastAsia" w:hAnsiTheme="minorEastAsia" w:eastAsiaTheme="minorEastAsia" w:cstheme="minorEastAsia"/>
          <w:color w:val="auto"/>
          <w:kern w:val="0"/>
          <w:sz w:val="21"/>
          <w:szCs w:val="21"/>
        </w:rPr>
        <w:t>判断基于错误而作出承诺的效力（错误是否重大）的经验法则是：</w:t>
      </w:r>
      <w:r>
        <w:rPr>
          <w:rFonts w:hint="eastAsia" w:asciiTheme="minorEastAsia" w:hAnsiTheme="minorEastAsia" w:eastAsiaTheme="minorEastAsia" w:cstheme="minorEastAsia"/>
          <w:color w:val="auto"/>
          <w:sz w:val="21"/>
          <w:szCs w:val="21"/>
        </w:rPr>
        <w:t>将假相告诉一般社会公众，如果一般社会公众基于假相也会作出承诺，则承诺者属重大错误的承诺，承诺无效。</w:t>
      </w:r>
    </w:p>
    <w:p w14:paraId="28B5AA08">
      <w:pPr>
        <w:pStyle w:val="2"/>
        <w:spacing w:before="0" w:after="0" w:line="480" w:lineRule="exact"/>
        <w:jc w:val="both"/>
        <w:rPr>
          <w:rFonts w:hint="eastAsia" w:asciiTheme="minorEastAsia" w:hAnsiTheme="minorEastAsia" w:eastAsiaTheme="minorEastAsia" w:cstheme="minorEastAsia"/>
          <w:b/>
          <w:bCs w:val="0"/>
          <w:color w:val="auto"/>
          <w:spacing w:val="-2"/>
          <w:sz w:val="21"/>
          <w:szCs w:val="21"/>
        </w:rPr>
      </w:pPr>
    </w:p>
    <w:p w14:paraId="11CADF8A">
      <w:pPr>
        <w:ind w:left="0" w:leftChars="0" w:firstLine="0" w:firstLineChars="0"/>
        <w:rPr>
          <w:rFonts w:hint="eastAsia"/>
        </w:rPr>
      </w:pPr>
    </w:p>
    <w:p w14:paraId="7FFE8DF1">
      <w:pPr>
        <w:pStyle w:val="2"/>
        <w:spacing w:before="0" w:after="0" w:line="480" w:lineRule="exact"/>
        <w:rPr>
          <w:rFonts w:hint="eastAsia" w:asciiTheme="minorEastAsia" w:hAnsiTheme="minorEastAsia" w:eastAsiaTheme="minorEastAsia" w:cstheme="minorEastAsia"/>
          <w:b/>
          <w:bCs w:val="0"/>
          <w:color w:val="auto"/>
          <w:spacing w:val="-2"/>
          <w:sz w:val="21"/>
          <w:szCs w:val="21"/>
        </w:rPr>
      </w:pPr>
      <w:r>
        <w:rPr>
          <w:rFonts w:hint="eastAsia" w:asciiTheme="minorEastAsia" w:hAnsiTheme="minorEastAsia" w:eastAsiaTheme="minorEastAsia" w:cstheme="minorEastAsia"/>
          <w:b/>
          <w:bCs w:val="0"/>
          <w:color w:val="auto"/>
          <w:spacing w:val="-2"/>
          <w:sz w:val="21"/>
          <w:szCs w:val="21"/>
        </w:rPr>
        <w:t>考点10  犯罪形态</w:t>
      </w:r>
      <w:r>
        <w:rPr>
          <w:rFonts w:hint="eastAsia" w:asciiTheme="minorEastAsia" w:hAnsiTheme="minorEastAsia" w:eastAsiaTheme="minorEastAsia" w:cstheme="minorEastAsia"/>
          <w:b/>
          <w:bCs/>
          <w:color w:val="auto"/>
          <w:sz w:val="21"/>
          <w:szCs w:val="21"/>
          <w:lang w:val="en-US" w:eastAsia="zh-CN"/>
        </w:rPr>
        <w:t>（20:58—22:24）</w:t>
      </w:r>
    </w:p>
    <w:p w14:paraId="0BE9B173">
      <w:pPr>
        <w:spacing w:after="0"/>
        <w:jc w:val="left"/>
        <w:rPr>
          <w:rFonts w:hint="eastAsia" w:asciiTheme="minorEastAsia" w:hAnsiTheme="minorEastAsia" w:eastAsiaTheme="minorEastAsia" w:cstheme="minorEastAsia"/>
          <w:kern w:val="0"/>
          <w:sz w:val="21"/>
          <w:szCs w:val="21"/>
        </w:rPr>
      </w:pPr>
    </w:p>
    <w:p w14:paraId="0D82E7AA">
      <w:pPr>
        <w:adjustRightInd w:val="0"/>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先看停顿原因，如果犯罪停顿是因行为人自动放弃，则系犯罪中止。如非行为人自动放弃，而是出于意志以外的原因停顿，则再看停顿阶段，实行之前停顿是犯罪预备，实行之后停顿是犯罪未遂。</w:t>
      </w:r>
    </w:p>
    <w:p w14:paraId="282BEFCA">
      <w:pPr>
        <w:adjustRightInd w:val="0"/>
        <w:snapToGrid w:val="0"/>
        <w:spacing w:after="0"/>
        <w:ind w:firstLine="482"/>
        <w:rPr>
          <w:rFonts w:hint="eastAsia" w:asciiTheme="minorEastAsia" w:hAnsiTheme="minorEastAsia" w:eastAsiaTheme="minorEastAsia" w:cstheme="minorEastAsia"/>
          <w:b/>
          <w:bCs/>
          <w:color w:val="FF0000"/>
          <w:sz w:val="21"/>
          <w:szCs w:val="21"/>
          <w:lang w:val="en-US" w:eastAsia="zh-CN"/>
        </w:rPr>
      </w:pPr>
      <w:r>
        <w:rPr>
          <w:rFonts w:hint="eastAsia" w:asciiTheme="minorEastAsia" w:hAnsiTheme="minorEastAsia" w:eastAsiaTheme="minorEastAsia" w:cstheme="minorEastAsia"/>
          <w:b/>
          <w:bCs/>
          <w:color w:val="FF0000"/>
          <w:sz w:val="21"/>
          <w:szCs w:val="21"/>
          <w:lang w:val="en-US" w:eastAsia="zh-CN"/>
        </w:rPr>
        <w:t>判断顺序：既遂、中止、预备和未遂</w:t>
      </w:r>
    </w:p>
    <w:p w14:paraId="58713D4B">
      <w:pPr>
        <w:adjustRightInd w:val="0"/>
        <w:snapToGrid w:val="0"/>
        <w:spacing w:after="0"/>
        <w:ind w:firstLine="482"/>
        <w:rPr>
          <w:rFonts w:hint="eastAsia" w:asciiTheme="minorEastAsia" w:hAnsiTheme="minorEastAsia" w:eastAsiaTheme="minorEastAsia" w:cstheme="minorEastAsia"/>
          <w:b/>
          <w:bCs/>
          <w:color w:val="FF0000"/>
          <w:sz w:val="21"/>
          <w:szCs w:val="21"/>
          <w:lang w:val="en-US" w:eastAsia="zh-CN"/>
        </w:rPr>
      </w:pPr>
    </w:p>
    <w:p w14:paraId="389ADEBE">
      <w:pPr>
        <w:pStyle w:val="4"/>
        <w:spacing w:after="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一、犯罪既遂（既遂结果+实行行为+因果关系）</w:t>
      </w:r>
    </w:p>
    <w:p w14:paraId="285FE801">
      <w:pPr>
        <w:adjustRightInd w:val="0"/>
        <w:snapToGrid w:val="0"/>
        <w:spacing w:after="0"/>
        <w:ind w:firstLine="420"/>
        <w:rPr>
          <w:rFonts w:hint="eastAsia" w:asciiTheme="minorEastAsia" w:hAnsiTheme="minorEastAsia" w:eastAsiaTheme="minorEastAsia" w:cstheme="minorEastAsia"/>
          <w:kern w:val="0"/>
          <w:sz w:val="21"/>
          <w:szCs w:val="21"/>
        </w:rPr>
      </w:pPr>
      <w:bookmarkStart w:id="5" w:name="_Hlk62462542"/>
      <w:r>
        <w:rPr>
          <w:rFonts w:hint="eastAsia" w:asciiTheme="minorEastAsia" w:hAnsiTheme="minorEastAsia" w:eastAsiaTheme="minorEastAsia" w:cstheme="minorEastAsia"/>
          <w:kern w:val="0"/>
          <w:sz w:val="21"/>
          <w:szCs w:val="21"/>
        </w:rPr>
        <w:t>犯罪既遂=</w:t>
      </w:r>
      <w:bookmarkStart w:id="6" w:name="_Hlk62461920"/>
      <w:r>
        <w:rPr>
          <w:rFonts w:hint="eastAsia" w:asciiTheme="minorEastAsia" w:hAnsiTheme="minorEastAsia" w:eastAsiaTheme="minorEastAsia" w:cstheme="minorEastAsia"/>
          <w:kern w:val="0"/>
          <w:sz w:val="21"/>
          <w:szCs w:val="21"/>
        </w:rPr>
        <w:t>既遂结果+实行行为+因果关系</w:t>
      </w:r>
      <w:bookmarkEnd w:id="6"/>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color w:val="FF0000"/>
          <w:sz w:val="21"/>
          <w:szCs w:val="21"/>
        </w:rPr>
        <w:t>犯罪既遂的刑法定义是：实行行为导致危害结果</w:t>
      </w:r>
      <w:r>
        <w:rPr>
          <w:rFonts w:hint="eastAsia" w:asciiTheme="minorEastAsia" w:hAnsiTheme="minorEastAsia" w:eastAsiaTheme="minorEastAsia" w:cstheme="minorEastAsia"/>
          <w:kern w:val="0"/>
          <w:sz w:val="21"/>
          <w:szCs w:val="21"/>
        </w:rPr>
        <w:t>（结果犯中的实害结果、危险犯中的危险结果、抽象危险犯中的抽象危险）。</w:t>
      </w:r>
    </w:p>
    <w:bookmarkEnd w:id="5"/>
    <w:p w14:paraId="69335984">
      <w:pPr>
        <w:pStyle w:val="5"/>
        <w:spacing w:after="0"/>
        <w:ind w:firstLine="252" w:firstLineChars="120"/>
        <w:rPr>
          <w:rFonts w:hint="eastAsia" w:asciiTheme="minorEastAsia" w:hAnsiTheme="minorEastAsia" w:eastAsiaTheme="minorEastAsia" w:cstheme="minorEastAsia"/>
          <w:sz w:val="21"/>
          <w:szCs w:val="21"/>
        </w:rPr>
      </w:pPr>
      <w:bookmarkStart w:id="7" w:name="_Hlk62462599"/>
      <w:r>
        <w:rPr>
          <w:rFonts w:hint="eastAsia" w:asciiTheme="minorEastAsia" w:hAnsiTheme="minorEastAsia" w:eastAsiaTheme="minorEastAsia" w:cstheme="minorEastAsia"/>
          <w:sz w:val="21"/>
          <w:szCs w:val="21"/>
        </w:rPr>
        <w:t>（一）既遂结果：结果犯、危险犯、行为犯的既遂结果（分则具体罪名规定）</w:t>
      </w:r>
      <w:bookmarkEnd w:id="7"/>
    </w:p>
    <w:p w14:paraId="71FE094C">
      <w:pPr>
        <w:adjustRightInd w:val="0"/>
        <w:snapToGrid w:val="0"/>
        <w:spacing w:after="0"/>
        <w:ind w:firstLine="422"/>
        <w:rPr>
          <w:rFonts w:hint="eastAsia" w:asciiTheme="minorEastAsia" w:hAnsiTheme="minorEastAsia" w:eastAsiaTheme="minorEastAsia" w:cstheme="minorEastAsia"/>
          <w:b/>
          <w:sz w:val="21"/>
          <w:szCs w:val="21"/>
        </w:rPr>
      </w:pPr>
    </w:p>
    <w:tbl>
      <w:tblPr>
        <w:tblStyle w:val="8"/>
        <w:tblW w:w="8272"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274"/>
        <w:gridCol w:w="5558"/>
        <w:gridCol w:w="1440"/>
      </w:tblGrid>
      <w:tr w14:paraId="794CAD75">
        <w:trPr>
          <w:jc w:val="center"/>
        </w:trPr>
        <w:tc>
          <w:tcPr>
            <w:tcW w:w="1274" w:type="dxa"/>
            <w:vAlign w:val="center"/>
          </w:tcPr>
          <w:p w14:paraId="39B79B7A">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类别</w:t>
            </w:r>
          </w:p>
        </w:tc>
        <w:tc>
          <w:tcPr>
            <w:tcW w:w="5558" w:type="dxa"/>
            <w:vAlign w:val="center"/>
          </w:tcPr>
          <w:p w14:paraId="53D45C54">
            <w:pPr>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事例：分则罪名的具体标准</w:t>
            </w:r>
          </w:p>
        </w:tc>
        <w:tc>
          <w:tcPr>
            <w:tcW w:w="1440" w:type="dxa"/>
            <w:vAlign w:val="center"/>
          </w:tcPr>
          <w:p w14:paraId="14E6E786">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既遂标准</w:t>
            </w:r>
          </w:p>
        </w:tc>
      </w:tr>
      <w:tr w14:paraId="21D48E18">
        <w:trPr>
          <w:jc w:val="center"/>
        </w:trPr>
        <w:tc>
          <w:tcPr>
            <w:tcW w:w="1274" w:type="dxa"/>
            <w:vAlign w:val="center"/>
          </w:tcPr>
          <w:p w14:paraId="0DA76109">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结果犯</w:t>
            </w:r>
          </w:p>
        </w:tc>
        <w:tc>
          <w:tcPr>
            <w:tcW w:w="5558" w:type="dxa"/>
            <w:vAlign w:val="center"/>
          </w:tcPr>
          <w:p w14:paraId="69424FBD">
            <w:pPr>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故意杀人罪：死亡；抢劫罪：取财或轻伤；盗窃罪：控制说；绑架罪：人质被控制或杀害</w:t>
            </w:r>
          </w:p>
        </w:tc>
        <w:tc>
          <w:tcPr>
            <w:tcW w:w="1440" w:type="dxa"/>
            <w:vAlign w:val="center"/>
          </w:tcPr>
          <w:p w14:paraId="2FF9EBB7">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实害结果</w:t>
            </w:r>
          </w:p>
        </w:tc>
      </w:tr>
      <w:tr w14:paraId="4ACE9ED0">
        <w:trPr>
          <w:jc w:val="center"/>
        </w:trPr>
        <w:tc>
          <w:tcPr>
            <w:tcW w:w="1274" w:type="dxa"/>
            <w:vAlign w:val="center"/>
          </w:tcPr>
          <w:p w14:paraId="725BF48D">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危险犯</w:t>
            </w:r>
          </w:p>
        </w:tc>
        <w:tc>
          <w:tcPr>
            <w:tcW w:w="5558" w:type="dxa"/>
            <w:vAlign w:val="center"/>
          </w:tcPr>
          <w:p w14:paraId="4CC1AA27">
            <w:pPr>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破坏交通工具罪：足以使交通工具发生倾覆、毁坏危险；</w:t>
            </w:r>
          </w:p>
          <w:p w14:paraId="3CA9676B">
            <w:pPr>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生产、销售不符合安全标准的食品罪：足以造成严重食物中毒事故或者其他严重食源性疾患</w:t>
            </w:r>
          </w:p>
        </w:tc>
        <w:tc>
          <w:tcPr>
            <w:tcW w:w="1440" w:type="dxa"/>
            <w:vAlign w:val="center"/>
          </w:tcPr>
          <w:p w14:paraId="49F15820">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具体危险</w:t>
            </w:r>
          </w:p>
        </w:tc>
      </w:tr>
      <w:tr w14:paraId="1DA03E62">
        <w:trPr>
          <w:jc w:val="center"/>
        </w:trPr>
        <w:tc>
          <w:tcPr>
            <w:tcW w:w="1274" w:type="dxa"/>
            <w:vAlign w:val="center"/>
          </w:tcPr>
          <w:p w14:paraId="73AF6D92">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行为犯</w:t>
            </w:r>
          </w:p>
        </w:tc>
        <w:tc>
          <w:tcPr>
            <w:tcW w:w="5558" w:type="dxa"/>
            <w:vAlign w:val="center"/>
          </w:tcPr>
          <w:p w14:paraId="2C0B7C57">
            <w:pPr>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诬告陷害罪：告发行为完成</w:t>
            </w:r>
          </w:p>
        </w:tc>
        <w:tc>
          <w:tcPr>
            <w:tcW w:w="1440" w:type="dxa"/>
            <w:vMerge w:val="restart"/>
            <w:vAlign w:val="center"/>
          </w:tcPr>
          <w:p w14:paraId="4FADEAA6">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行为完成</w:t>
            </w:r>
          </w:p>
          <w:p w14:paraId="5E0FC25C">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（抽象危险）</w:t>
            </w:r>
          </w:p>
        </w:tc>
      </w:tr>
      <w:tr w14:paraId="3F66007E">
        <w:trPr>
          <w:jc w:val="center"/>
        </w:trPr>
        <w:tc>
          <w:tcPr>
            <w:tcW w:w="1274" w:type="dxa"/>
            <w:vAlign w:val="center"/>
          </w:tcPr>
          <w:p w14:paraId="2785EBDA">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举动犯</w:t>
            </w:r>
          </w:p>
        </w:tc>
        <w:tc>
          <w:tcPr>
            <w:tcW w:w="5558" w:type="dxa"/>
            <w:vAlign w:val="center"/>
          </w:tcPr>
          <w:p w14:paraId="57B5D127">
            <w:pPr>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参加恐怖活动组织罪、煽动分裂国家罪、伪证罪</w:t>
            </w:r>
          </w:p>
        </w:tc>
        <w:tc>
          <w:tcPr>
            <w:tcW w:w="1440" w:type="dxa"/>
            <w:vMerge w:val="continue"/>
            <w:vAlign w:val="center"/>
          </w:tcPr>
          <w:p w14:paraId="75259F87">
            <w:pPr>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p>
        </w:tc>
      </w:tr>
    </w:tbl>
    <w:p w14:paraId="472DC4C1">
      <w:pPr>
        <w:adjustRightInd w:val="0"/>
        <w:snapToGrid w:val="0"/>
        <w:spacing w:after="0"/>
        <w:ind w:firstLine="422"/>
        <w:rPr>
          <w:rFonts w:hint="eastAsia" w:asciiTheme="minorEastAsia" w:hAnsiTheme="minorEastAsia" w:eastAsiaTheme="minorEastAsia" w:cstheme="minorEastAsia"/>
          <w:b/>
          <w:sz w:val="21"/>
          <w:szCs w:val="21"/>
        </w:rPr>
      </w:pPr>
    </w:p>
    <w:p w14:paraId="41E1F7EE">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（二）实行行为</w:t>
      </w:r>
    </w:p>
    <w:p w14:paraId="45ED47E4">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预备行为危害导致结果，也不认为是既遂。</w:t>
      </w:r>
    </w:p>
    <w:p w14:paraId="3AEBD3F0">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（三）因果关系</w:t>
      </w:r>
    </w:p>
    <w:p w14:paraId="042E7D6D">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实行行为与既遂结果之间存在因果关系，才能认定为既遂。由此，并非一有既遂结果出现就一定构成既遂。还需要考查既遂结果是否是实行行为导致，是否存在因果关系。</w:t>
      </w:r>
    </w:p>
    <w:p w14:paraId="068E6CE8">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实行行为与既遂结果之间不存在因果关系，不认为既遂。</w:t>
      </w:r>
    </w:p>
    <w:p w14:paraId="150B08C0">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（四）犯罪既遂后不再成立犯罪未遂、犯罪中止</w:t>
      </w:r>
    </w:p>
    <w:p w14:paraId="02C92036">
      <w:pPr>
        <w:adjustRightInd w:val="0"/>
        <w:snapToGrid w:val="0"/>
        <w:spacing w:after="0"/>
        <w:ind w:left="0" w:leftChars="0" w:firstLine="0" w:firstLineChars="0"/>
        <w:rPr>
          <w:rFonts w:hint="eastAsia" w:asciiTheme="minorEastAsia" w:hAnsiTheme="minorEastAsia" w:eastAsiaTheme="minorEastAsia" w:cstheme="minorEastAsia"/>
          <w:kern w:val="0"/>
          <w:sz w:val="21"/>
          <w:szCs w:val="21"/>
        </w:rPr>
      </w:pPr>
      <w:bookmarkStart w:id="8" w:name="_Hlk62463406"/>
    </w:p>
    <w:p w14:paraId="78E55E34">
      <w:pPr>
        <w:pStyle w:val="4"/>
        <w:spacing w:after="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二、犯罪中止（自动放弃+防止犯罪结果发生）</w:t>
      </w:r>
    </w:p>
    <w:p w14:paraId="36A738EB">
      <w:pPr>
        <w:snapToGrid w:val="0"/>
        <w:spacing w:after="0"/>
        <w:ind w:firstLine="422"/>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kern w:val="0"/>
          <w:sz w:val="21"/>
          <w:szCs w:val="21"/>
        </w:rPr>
        <w:t>犯罪中止，是指在犯罪过程中，自动放弃犯罪或者自动有效地防止犯罪结果发生的。犯罪中止可概括为“能达目的而不欲”，</w:t>
      </w:r>
      <w:r>
        <w:rPr>
          <w:rFonts w:hint="eastAsia" w:asciiTheme="minorEastAsia" w:hAnsiTheme="minorEastAsia" w:eastAsiaTheme="minorEastAsia" w:cstheme="minorEastAsia"/>
          <w:color w:val="FF0000"/>
          <w:sz w:val="21"/>
          <w:szCs w:val="21"/>
        </w:rPr>
        <w:t>起于预备后，止于既遂前，放弃系自动</w:t>
      </w:r>
      <w:r>
        <w:rPr>
          <w:rFonts w:hint="eastAsia" w:asciiTheme="minorEastAsia" w:hAnsiTheme="minorEastAsia" w:eastAsiaTheme="minorEastAsia" w:cstheme="minorEastAsia"/>
          <w:kern w:val="0"/>
          <w:sz w:val="21"/>
          <w:szCs w:val="21"/>
        </w:rPr>
        <w:t>。</w:t>
      </w:r>
    </w:p>
    <w:p w14:paraId="483F5FB2">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（一）中止的时间性：</w:t>
      </w:r>
      <w:r>
        <w:rPr>
          <w:rFonts w:hint="eastAsia" w:asciiTheme="minorEastAsia" w:hAnsiTheme="minorEastAsia" w:eastAsiaTheme="minorEastAsia" w:cstheme="minorEastAsia"/>
          <w:color w:val="FF0000"/>
          <w:sz w:val="21"/>
          <w:szCs w:val="21"/>
        </w:rPr>
        <w:t>犯罪过程中</w:t>
      </w:r>
    </w:p>
    <w:p w14:paraId="4246FEB7">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中止必须发生在“犯罪过程中”，即在犯罪行为（预备行为）开始实施之后、犯罪呈现结局（既遂、未遂等停顿）之前均可中止。</w:t>
      </w:r>
    </w:p>
    <w:p w14:paraId="38A67E29">
      <w:pPr>
        <w:adjustRightInd w:val="0"/>
        <w:snapToGrid w:val="0"/>
        <w:spacing w:after="0"/>
        <w:ind w:firstLine="44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1．犯罪既遂、犯罪未遂之后无中止</w:t>
      </w:r>
    </w:p>
    <w:p w14:paraId="6642AFE7">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犯罪既遂之后，自动恢复原状的，属悔罪而不成立犯罪中止。</w:t>
      </w:r>
    </w:p>
    <w:p w14:paraId="1F4CD2E2">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此外，出现犯罪未遂结局性的停顿之后，在与之前的行为有明显的时空间隔之后，再实施救助防卫结果发生的，也应认定为犯罪未遂之后的悔罪，不成立中止。</w:t>
      </w:r>
    </w:p>
    <w:p w14:paraId="5CD4AF9A">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“犯罪过程中”的要素说明</w:t>
      </w:r>
      <w:r>
        <w:rPr>
          <w:rFonts w:hint="eastAsia" w:asciiTheme="minorEastAsia" w:hAnsiTheme="minorEastAsia" w:eastAsiaTheme="minorEastAsia" w:cstheme="minorEastAsia"/>
          <w:color w:val="FF0000"/>
          <w:kern w:val="0"/>
          <w:sz w:val="21"/>
          <w:szCs w:val="21"/>
        </w:rPr>
        <w:t>中止行为（停止、救助）应当接续在之前的犯罪行为之后实施，而不能与之有明显的时空间隔。</w:t>
      </w:r>
    </w:p>
    <w:p w14:paraId="66617F0F">
      <w:pPr>
        <w:adjustRightInd w:val="0"/>
        <w:snapToGrid w:val="0"/>
        <w:spacing w:after="0"/>
        <w:ind w:firstLine="44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2．自动放弃重复侵害行为（多举犯），应认定为中止</w:t>
      </w:r>
    </w:p>
    <w:p w14:paraId="50A1C83D">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行为人预设着通过数个具有重复性质的系列动作组成的一个行为（多举犯）而实施侵害，在实施部分动作之后，并未造成结果，自认为能够继续实施而自动放弃，即为自动放弃重复侵害行为。</w:t>
      </w:r>
    </w:p>
    <w:p w14:paraId="698BA852">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（二）中止的自动性：主观上认为无既遂障碍而放弃</w:t>
      </w:r>
    </w:p>
    <w:p w14:paraId="2DC53BAA">
      <w:pPr>
        <w:adjustRightInd w:val="0"/>
        <w:snapToGrid w:val="0"/>
        <w:spacing w:after="0"/>
        <w:ind w:firstLine="420"/>
        <w:rPr>
          <w:rFonts w:hint="eastAsia" w:asciiTheme="minorEastAsia" w:hAnsiTheme="minorEastAsia" w:eastAsiaTheme="minorEastAsia" w:cstheme="minorEastAsia"/>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271"/>
        <w:gridCol w:w="2126"/>
        <w:gridCol w:w="3402"/>
        <w:gridCol w:w="1706"/>
      </w:tblGrid>
      <w:tr w14:paraId="1A4BFB55">
        <w:trPr>
          <w:jc w:val="center"/>
        </w:trPr>
        <w:tc>
          <w:tcPr>
            <w:tcW w:w="1271" w:type="dxa"/>
            <w:vAlign w:val="center"/>
          </w:tcPr>
          <w:p w14:paraId="028EB57D">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犯罪形态</w:t>
            </w:r>
          </w:p>
        </w:tc>
        <w:tc>
          <w:tcPr>
            <w:tcW w:w="2126" w:type="dxa"/>
            <w:vAlign w:val="center"/>
          </w:tcPr>
          <w:p w14:paraId="37D52FE3">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行为人主观（意志）</w:t>
            </w:r>
          </w:p>
        </w:tc>
        <w:tc>
          <w:tcPr>
            <w:tcW w:w="3402" w:type="dxa"/>
            <w:vAlign w:val="center"/>
          </w:tcPr>
          <w:p w14:paraId="089AE925">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不能既遂或放弃原因</w:t>
            </w:r>
          </w:p>
        </w:tc>
        <w:tc>
          <w:tcPr>
            <w:tcW w:w="1706" w:type="dxa"/>
            <w:vAlign w:val="center"/>
          </w:tcPr>
          <w:p w14:paraId="39EED41C">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俗称</w:t>
            </w:r>
          </w:p>
        </w:tc>
      </w:tr>
      <w:tr w14:paraId="1699437F">
        <w:trPr>
          <w:jc w:val="center"/>
        </w:trPr>
        <w:tc>
          <w:tcPr>
            <w:tcW w:w="1271" w:type="dxa"/>
            <w:vAlign w:val="center"/>
          </w:tcPr>
          <w:p w14:paraId="6FF5B874">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中止</w:t>
            </w:r>
          </w:p>
        </w:tc>
        <w:tc>
          <w:tcPr>
            <w:tcW w:w="2126" w:type="dxa"/>
            <w:vAlign w:val="center"/>
          </w:tcPr>
          <w:p w14:paraId="40B22C68">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“自动放弃”</w:t>
            </w:r>
          </w:p>
        </w:tc>
        <w:tc>
          <w:tcPr>
            <w:tcW w:w="3402" w:type="dxa"/>
            <w:vAlign w:val="center"/>
          </w:tcPr>
          <w:p w14:paraId="0E5E6BC6">
            <w:pPr>
              <w:adjustRightInd w:val="0"/>
              <w:snapToGrid w:val="0"/>
              <w:spacing w:before="31" w:beforeLines="10" w:after="62" w:afterLines="20" w:line="280" w:lineRule="exact"/>
              <w:ind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主观上认为无既遂障碍而放弃（主观说）</w:t>
            </w:r>
          </w:p>
        </w:tc>
        <w:tc>
          <w:tcPr>
            <w:tcW w:w="1706" w:type="dxa"/>
            <w:vAlign w:val="center"/>
          </w:tcPr>
          <w:p w14:paraId="5759442C">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能达目的而不欲</w:t>
            </w:r>
          </w:p>
        </w:tc>
      </w:tr>
      <w:tr w14:paraId="07846C4C">
        <w:trPr>
          <w:jc w:val="center"/>
        </w:trPr>
        <w:tc>
          <w:tcPr>
            <w:tcW w:w="1271" w:type="dxa"/>
            <w:vMerge w:val="restart"/>
            <w:vAlign w:val="center"/>
          </w:tcPr>
          <w:p w14:paraId="10BF2E1D">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预备、未遂</w:t>
            </w:r>
          </w:p>
        </w:tc>
        <w:tc>
          <w:tcPr>
            <w:tcW w:w="2126" w:type="dxa"/>
            <w:vMerge w:val="restart"/>
            <w:vAlign w:val="center"/>
          </w:tcPr>
          <w:p w14:paraId="1158D33F">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被迫停顿：“意志以外的原因”</w:t>
            </w:r>
          </w:p>
        </w:tc>
        <w:tc>
          <w:tcPr>
            <w:tcW w:w="3402" w:type="dxa"/>
            <w:vAlign w:val="center"/>
          </w:tcPr>
          <w:p w14:paraId="17ACE105">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有客观障碍。使其不能继续犯罪，或不能既遂，或不能通过犯罪而既遂</w:t>
            </w:r>
          </w:p>
        </w:tc>
        <w:tc>
          <w:tcPr>
            <w:tcW w:w="1706" w:type="dxa"/>
            <w:vMerge w:val="restart"/>
            <w:vAlign w:val="center"/>
          </w:tcPr>
          <w:p w14:paraId="5E413B15">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欲达目的而不能</w:t>
            </w:r>
          </w:p>
        </w:tc>
      </w:tr>
      <w:tr w14:paraId="6E10C5CF">
        <w:trPr>
          <w:jc w:val="center"/>
        </w:trPr>
        <w:tc>
          <w:tcPr>
            <w:tcW w:w="1271" w:type="dxa"/>
            <w:vMerge w:val="continue"/>
            <w:vAlign w:val="center"/>
          </w:tcPr>
          <w:p w14:paraId="7E3B6703">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p>
        </w:tc>
        <w:tc>
          <w:tcPr>
            <w:tcW w:w="2126" w:type="dxa"/>
            <w:vMerge w:val="continue"/>
            <w:vAlign w:val="center"/>
          </w:tcPr>
          <w:p w14:paraId="47EBE243">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p>
        </w:tc>
        <w:tc>
          <w:tcPr>
            <w:tcW w:w="3402" w:type="dxa"/>
            <w:vAlign w:val="center"/>
          </w:tcPr>
          <w:p w14:paraId="3F540E10">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主观上认为有障碍</w:t>
            </w:r>
          </w:p>
        </w:tc>
        <w:tc>
          <w:tcPr>
            <w:tcW w:w="1706" w:type="dxa"/>
            <w:vMerge w:val="continue"/>
            <w:vAlign w:val="center"/>
          </w:tcPr>
          <w:p w14:paraId="16AC60F8">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p>
        </w:tc>
      </w:tr>
    </w:tbl>
    <w:p w14:paraId="14818D7D">
      <w:pPr>
        <w:adjustRightInd w:val="0"/>
        <w:snapToGrid w:val="0"/>
        <w:spacing w:after="0"/>
        <w:ind w:firstLine="420"/>
        <w:rPr>
          <w:rFonts w:hint="eastAsia" w:asciiTheme="minorEastAsia" w:hAnsiTheme="minorEastAsia" w:eastAsiaTheme="minorEastAsia" w:cstheme="minorEastAsia"/>
          <w:kern w:val="0"/>
          <w:sz w:val="21"/>
          <w:szCs w:val="21"/>
        </w:rPr>
      </w:pPr>
    </w:p>
    <w:p w14:paraId="491DAE7B">
      <w:pPr>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1．判断自动性，应当以</w:t>
      </w:r>
      <w:r>
        <w:rPr>
          <w:rFonts w:hint="eastAsia" w:asciiTheme="minorEastAsia" w:hAnsiTheme="minorEastAsia" w:eastAsiaTheme="minorEastAsia" w:cstheme="minorEastAsia"/>
          <w:b/>
          <w:bCs/>
          <w:color w:val="FF0000"/>
          <w:sz w:val="21"/>
          <w:szCs w:val="21"/>
        </w:rPr>
        <w:t>“主观说”</w:t>
      </w:r>
      <w:r>
        <w:rPr>
          <w:rFonts w:hint="eastAsia" w:asciiTheme="minorEastAsia" w:hAnsiTheme="minorEastAsia" w:eastAsiaTheme="minorEastAsia" w:cstheme="minorEastAsia"/>
          <w:kern w:val="0"/>
          <w:sz w:val="21"/>
          <w:szCs w:val="21"/>
        </w:rPr>
        <w:t>为核心标准：自认为无障碍而放弃。</w:t>
      </w:r>
    </w:p>
    <w:p w14:paraId="12BB75C2">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auto"/>
          <w:sz w:val="21"/>
          <w:szCs w:val="21"/>
        </w:rPr>
        <w:t>在行为人主观上认为当时不存在客观障碍（或者认为客观障碍不足以阻止既遂），要继续实施犯罪可以既遂，而自愿放弃，即为中止。</w:t>
      </w:r>
      <w:r>
        <w:rPr>
          <w:rFonts w:hint="eastAsia" w:asciiTheme="minorEastAsia" w:hAnsiTheme="minorEastAsia" w:eastAsiaTheme="minorEastAsia" w:cstheme="minorEastAsia"/>
          <w:color w:val="auto"/>
          <w:kern w:val="0"/>
          <w:sz w:val="21"/>
          <w:szCs w:val="21"/>
        </w:rPr>
        <w:t>（</w:t>
      </w:r>
      <w:r>
        <w:rPr>
          <w:rFonts w:hint="eastAsia" w:asciiTheme="minorEastAsia" w:hAnsiTheme="minorEastAsia" w:eastAsiaTheme="minorEastAsia" w:cstheme="minorEastAsia"/>
          <w:kern w:val="0"/>
          <w:sz w:val="21"/>
          <w:szCs w:val="21"/>
        </w:rPr>
        <w:t>自认为无障碍而放弃）</w:t>
      </w:r>
    </w:p>
    <w:p w14:paraId="3CA15B7C">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（1）行为人主观上认为不存在客观障碍而放弃，客观上也确实不存在障碍，是典型的中止。</w:t>
      </w:r>
    </w:p>
    <w:p w14:paraId="153F6CE1">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（2）行为人主观上误认为不存在客观障碍而放弃，但客观上实际存在阻止犯罪既遂的障碍，也是中止。</w:t>
      </w:r>
    </w:p>
    <w:p w14:paraId="1362EFD8">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（3）行为人主观上</w:t>
      </w:r>
      <w:r>
        <w:rPr>
          <w:rFonts w:hint="eastAsia" w:asciiTheme="minorEastAsia" w:hAnsiTheme="minorEastAsia" w:eastAsiaTheme="minorEastAsia" w:cstheme="minorEastAsia"/>
          <w:color w:val="FF0000"/>
          <w:sz w:val="21"/>
          <w:szCs w:val="21"/>
        </w:rPr>
        <w:t>认为当场继续实施既遂没有障碍</w:t>
      </w:r>
      <w:r>
        <w:rPr>
          <w:rFonts w:hint="eastAsia" w:asciiTheme="minorEastAsia" w:hAnsiTheme="minorEastAsia" w:eastAsiaTheme="minorEastAsia" w:cstheme="minorEastAsia"/>
          <w:kern w:val="0"/>
          <w:sz w:val="21"/>
          <w:szCs w:val="21"/>
        </w:rPr>
        <w:t>，只是担心日后会发生不利于自己的后果的，认为是中止。</w:t>
      </w:r>
    </w:p>
    <w:p w14:paraId="5431EB01">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（4）行为人主观上认为客观上存在着一些障碍，但认为该障碍并不足以阻止继续实施既遂，基于此认识而放弃，也是中止。</w:t>
      </w:r>
    </w:p>
    <w:p w14:paraId="56F512DB">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FF0000"/>
          <w:sz w:val="21"/>
          <w:szCs w:val="21"/>
        </w:rPr>
        <w:t>相反，如果行为人主观上认为存在客观障碍而放弃，或者确有客观障碍阻止其犯罪既遂，则为未遂、预备。</w:t>
      </w:r>
      <w:r>
        <w:rPr>
          <w:rFonts w:hint="eastAsia" w:asciiTheme="minorEastAsia" w:hAnsiTheme="minorEastAsia" w:eastAsiaTheme="minorEastAsia" w:cstheme="minorEastAsia"/>
          <w:kern w:val="0"/>
          <w:sz w:val="21"/>
          <w:szCs w:val="21"/>
        </w:rPr>
        <w:t>（自认为有障碍而放弃、有客观障碍阻止既遂）</w:t>
      </w:r>
    </w:p>
    <w:p w14:paraId="6B1DCA3D">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2．我国刑法中止对于行为人中止犯罪的动机没有限定，</w:t>
      </w:r>
      <w:r>
        <w:rPr>
          <w:rFonts w:hint="eastAsia" w:asciiTheme="minorEastAsia" w:hAnsiTheme="minorEastAsia" w:eastAsiaTheme="minorEastAsia" w:cstheme="minorEastAsia"/>
          <w:color w:val="FF0000"/>
          <w:sz w:val="21"/>
          <w:szCs w:val="21"/>
        </w:rPr>
        <w:t>动机可能是多样</w:t>
      </w:r>
      <w:r>
        <w:rPr>
          <w:rFonts w:hint="eastAsia" w:asciiTheme="minorEastAsia" w:hAnsiTheme="minorEastAsia" w:eastAsiaTheme="minorEastAsia" w:cstheme="minorEastAsia"/>
          <w:kern w:val="0"/>
          <w:sz w:val="21"/>
          <w:szCs w:val="21"/>
        </w:rPr>
        <w:t>的，只要符合前述“自认为无障碍而放弃”的标准，均可构成中止。</w:t>
      </w:r>
    </w:p>
    <w:p w14:paraId="70E488AF">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（1）基于善的动机停止，例如出于真诚悔悟、怜悯同情、惧怕事后刑罚处罚，当然是中止；</w:t>
      </w:r>
    </w:p>
    <w:p w14:paraId="0A5C8B9A">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（2）基于恶的动机停止，例如转换意图，如符合上述自动性特征（自认为无障碍而放弃），也是中止；</w:t>
      </w:r>
    </w:p>
    <w:p w14:paraId="1B644753">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（3）基于“情感障碍”，如因惊愕、恐惧，嫌弃、厌恶，而放弃犯罪行为，如符合上述自动性特征（自认为无障碍而放弃），是中止；</w:t>
      </w:r>
    </w:p>
    <w:p w14:paraId="7110ED5A">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（4）路遇熟人而放弃犯罪行为，一般是中止；但出现对象不能时，可能是未遂。</w:t>
      </w:r>
    </w:p>
    <w:p w14:paraId="316E8A5C">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color w:val="FF0000"/>
          <w:sz w:val="21"/>
          <w:szCs w:val="21"/>
        </w:rPr>
        <w:t>基于目的物障碍而放弃，是因客观障碍而不能，一般是未遂或预备</w:t>
      </w:r>
      <w:r>
        <w:rPr>
          <w:rFonts w:hint="eastAsia" w:asciiTheme="minorEastAsia" w:hAnsiTheme="minorEastAsia" w:eastAsiaTheme="minorEastAsia" w:cstheme="minorEastAsia"/>
          <w:kern w:val="0"/>
          <w:sz w:val="21"/>
          <w:szCs w:val="21"/>
        </w:rPr>
        <w:t>。目的物障碍指客观上出现的目标（B目标）并不是行为人主观上意欲侵害的特定目标（A目标），因而使得犯罪意图（欲图侵害A目标）无法实现，行为人因此而放弃，不能认定为自动放弃。</w:t>
      </w:r>
    </w:p>
    <w:p w14:paraId="796203C1">
      <w:pPr>
        <w:pStyle w:val="5"/>
        <w:spacing w:after="0"/>
        <w:ind w:firstLine="252" w:firstLineChars="120"/>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sz w:val="21"/>
          <w:szCs w:val="21"/>
        </w:rPr>
        <w:t>（三）中止的客观性：</w:t>
      </w:r>
      <w:r>
        <w:rPr>
          <w:rFonts w:hint="eastAsia" w:asciiTheme="minorEastAsia" w:hAnsiTheme="minorEastAsia" w:eastAsiaTheme="minorEastAsia" w:cstheme="minorEastAsia"/>
          <w:color w:val="FF0000"/>
          <w:sz w:val="21"/>
          <w:szCs w:val="21"/>
        </w:rPr>
        <w:t>停止犯罪</w:t>
      </w:r>
    </w:p>
    <w:p w14:paraId="4036FAD9">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1．一般情况下停止犯罪即可。指行为人放弃犯罪结果就不会发生的情况。</w:t>
      </w:r>
    </w:p>
    <w:p w14:paraId="3FD8F691">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2．在实行行为终了、不采取有效措施就会发生犯罪结果的情况下，需采取积极有效措施防止犯罪结果发生。</w:t>
      </w:r>
    </w:p>
    <w:p w14:paraId="0178010E">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（四）中止的有效性：</w:t>
      </w:r>
      <w:r>
        <w:rPr>
          <w:rFonts w:hint="eastAsia" w:asciiTheme="minorEastAsia" w:hAnsiTheme="minorEastAsia" w:eastAsiaTheme="minorEastAsia" w:cstheme="minorEastAsia"/>
          <w:color w:val="FF0000"/>
          <w:sz w:val="21"/>
          <w:szCs w:val="21"/>
        </w:rPr>
        <w:t>有效地防止犯罪结果</w:t>
      </w:r>
      <w:r>
        <w:rPr>
          <w:rFonts w:hint="eastAsia" w:asciiTheme="minorEastAsia" w:hAnsiTheme="minorEastAsia" w:eastAsiaTheme="minorEastAsia" w:cstheme="minorEastAsia"/>
          <w:sz w:val="21"/>
          <w:szCs w:val="21"/>
        </w:rPr>
        <w:t>发生</w:t>
      </w:r>
    </w:p>
    <w:p w14:paraId="73CD2A88">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中止的有效性指中止行为（停止行为或救助行为）导致了犯罪不能既遂，要求有效防止犯罪结果的发生。</w:t>
      </w:r>
    </w:p>
    <w:p w14:paraId="20E5A94E">
      <w:pPr>
        <w:adjustRightInd w:val="0"/>
        <w:snapToGrid w:val="0"/>
        <w:spacing w:after="0"/>
        <w:ind w:firstLine="420"/>
        <w:rPr>
          <w:rFonts w:hint="eastAsia" w:asciiTheme="minorEastAsia" w:hAnsiTheme="minorEastAsia" w:eastAsiaTheme="minorEastAsia" w:cstheme="minorEastAsia"/>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771"/>
        <w:gridCol w:w="4734"/>
      </w:tblGrid>
      <w:tr w14:paraId="4B593A1C">
        <w:trPr>
          <w:jc w:val="center"/>
        </w:trPr>
        <w:tc>
          <w:tcPr>
            <w:tcW w:w="3771" w:type="dxa"/>
            <w:vAlign w:val="center"/>
          </w:tcPr>
          <w:p w14:paraId="259CEB21">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有效防止“</w:t>
            </w:r>
            <w:r>
              <w:rPr>
                <w:rFonts w:hint="eastAsia" w:asciiTheme="minorEastAsia" w:hAnsiTheme="minorEastAsia" w:eastAsiaTheme="minorEastAsia" w:cstheme="minorEastAsia"/>
                <w:color w:val="FF0000"/>
                <w:sz w:val="21"/>
                <w:szCs w:val="21"/>
              </w:rPr>
              <w:t>犯罪结果</w:t>
            </w:r>
            <w:r>
              <w:rPr>
                <w:rFonts w:hint="eastAsia" w:asciiTheme="minorEastAsia" w:hAnsiTheme="minorEastAsia" w:eastAsiaTheme="minorEastAsia" w:cstheme="minorEastAsia"/>
                <w:sz w:val="21"/>
                <w:szCs w:val="21"/>
              </w:rPr>
              <w:t>”：本罪既遂结果</w:t>
            </w:r>
          </w:p>
        </w:tc>
        <w:tc>
          <w:tcPr>
            <w:tcW w:w="4734" w:type="dxa"/>
            <w:vAlign w:val="center"/>
          </w:tcPr>
          <w:p w14:paraId="0FF52A02">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sz w:val="21"/>
                <w:szCs w:val="21"/>
              </w:rPr>
              <w:t>“损害”</w:t>
            </w:r>
            <w:r>
              <w:rPr>
                <w:rFonts w:hint="eastAsia" w:asciiTheme="minorEastAsia" w:hAnsiTheme="minorEastAsia" w:eastAsiaTheme="minorEastAsia" w:cstheme="minorEastAsia"/>
                <w:sz w:val="21"/>
                <w:szCs w:val="21"/>
              </w:rPr>
              <w:t>：它罪的既遂结果</w:t>
            </w:r>
          </w:p>
        </w:tc>
      </w:tr>
      <w:tr w14:paraId="274E50B8">
        <w:trPr>
          <w:jc w:val="center"/>
        </w:trPr>
        <w:tc>
          <w:tcPr>
            <w:tcW w:w="3771" w:type="dxa"/>
            <w:vMerge w:val="restart"/>
            <w:vAlign w:val="center"/>
          </w:tcPr>
          <w:p w14:paraId="39172488">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本罪中止</w:t>
            </w:r>
          </w:p>
        </w:tc>
        <w:tc>
          <w:tcPr>
            <w:tcW w:w="4734" w:type="dxa"/>
            <w:vAlign w:val="center"/>
          </w:tcPr>
          <w:p w14:paraId="47E13F83">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造成它罪既遂结果：有损害中止（应当减轻）</w:t>
            </w:r>
          </w:p>
        </w:tc>
      </w:tr>
      <w:tr w14:paraId="7597AEA4">
        <w:trPr>
          <w:jc w:val="center"/>
        </w:trPr>
        <w:tc>
          <w:tcPr>
            <w:tcW w:w="3771" w:type="dxa"/>
            <w:vMerge w:val="continue"/>
            <w:vAlign w:val="center"/>
          </w:tcPr>
          <w:p w14:paraId="027B6B4E">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p>
        </w:tc>
        <w:tc>
          <w:tcPr>
            <w:tcW w:w="4734" w:type="dxa"/>
            <w:vAlign w:val="center"/>
          </w:tcPr>
          <w:p w14:paraId="53D03540">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未造成它罪既遂结果：无损害中止（应当免除）</w:t>
            </w:r>
          </w:p>
        </w:tc>
      </w:tr>
    </w:tbl>
    <w:p w14:paraId="5713CAFA">
      <w:pPr>
        <w:adjustRightInd w:val="0"/>
        <w:snapToGrid w:val="0"/>
        <w:spacing w:after="0"/>
        <w:ind w:firstLine="420"/>
        <w:rPr>
          <w:rFonts w:hint="eastAsia" w:asciiTheme="minorEastAsia" w:hAnsiTheme="minorEastAsia" w:eastAsiaTheme="minorEastAsia" w:cstheme="minorEastAsia"/>
          <w:kern w:val="0"/>
          <w:sz w:val="21"/>
          <w:szCs w:val="21"/>
        </w:rPr>
      </w:pPr>
    </w:p>
    <w:p w14:paraId="2D5ECD56">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1．“犯罪结果”应理解为作为</w:t>
      </w:r>
      <w:r>
        <w:rPr>
          <w:rFonts w:hint="eastAsia" w:asciiTheme="minorEastAsia" w:hAnsiTheme="minorEastAsia" w:eastAsiaTheme="minorEastAsia" w:cstheme="minorEastAsia"/>
          <w:color w:val="FF0000"/>
          <w:sz w:val="21"/>
          <w:szCs w:val="21"/>
        </w:rPr>
        <w:t>本罪罪名既遂标准的结果（实害、具体危险、抽象危险）</w:t>
      </w:r>
      <w:r>
        <w:rPr>
          <w:rFonts w:hint="eastAsia" w:asciiTheme="minorEastAsia" w:hAnsiTheme="minorEastAsia" w:eastAsiaTheme="minorEastAsia" w:cstheme="minorEastAsia"/>
          <w:kern w:val="0"/>
          <w:sz w:val="21"/>
          <w:szCs w:val="21"/>
        </w:rPr>
        <w:t>；而不是说没有造成任何实害损失结果。</w:t>
      </w:r>
    </w:p>
    <w:p w14:paraId="5217D9A4">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2．犯罪中止与因果关系。</w:t>
      </w:r>
    </w:p>
    <w:p w14:paraId="78054915">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color w:val="FF0000"/>
          <w:sz w:val="21"/>
          <w:szCs w:val="21"/>
        </w:rPr>
        <w:t>一般情况下，犯罪结果（本罪的既遂结果）未发生，是因行为人停止犯罪导致，或者是因行为人救助导致，这是典型的中止。</w:t>
      </w:r>
    </w:p>
    <w:p w14:paraId="6F4E823A">
      <w:pPr>
        <w:adjustRightInd w:val="0"/>
        <w:snapToGrid w:val="0"/>
        <w:spacing w:after="0"/>
        <w:ind w:firstLine="42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b/>
          <w:bCs/>
          <w:color w:val="auto"/>
          <w:kern w:val="0"/>
          <w:sz w:val="21"/>
          <w:szCs w:val="21"/>
        </w:rPr>
        <w:t>修正规则之一：在</w:t>
      </w:r>
      <w:r>
        <w:rPr>
          <w:rFonts w:hint="eastAsia" w:asciiTheme="minorEastAsia" w:hAnsiTheme="minorEastAsia" w:eastAsiaTheme="minorEastAsia" w:cstheme="minorEastAsia"/>
          <w:b/>
          <w:bCs/>
          <w:color w:val="auto"/>
          <w:sz w:val="21"/>
          <w:szCs w:val="21"/>
        </w:rPr>
        <w:t>行为人尽了真诚的、最大的救助努力的情况下：结果没有发生，尽管非因救助行为导致，也认为是中止</w:t>
      </w:r>
      <w:r>
        <w:rPr>
          <w:rFonts w:hint="eastAsia" w:asciiTheme="minorEastAsia" w:hAnsiTheme="minorEastAsia" w:eastAsiaTheme="minorEastAsia" w:cstheme="minorEastAsia"/>
          <w:b/>
          <w:bCs/>
          <w:color w:val="auto"/>
          <w:kern w:val="0"/>
          <w:sz w:val="21"/>
          <w:szCs w:val="21"/>
        </w:rPr>
        <w:t>。</w:t>
      </w:r>
    </w:p>
    <w:p w14:paraId="016CBEBC">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b/>
          <w:bCs/>
          <w:color w:val="auto"/>
          <w:kern w:val="0"/>
          <w:sz w:val="21"/>
          <w:szCs w:val="21"/>
        </w:rPr>
        <w:t>修正规则之二：在</w:t>
      </w:r>
      <w:r>
        <w:rPr>
          <w:rFonts w:hint="eastAsia" w:asciiTheme="minorEastAsia" w:hAnsiTheme="minorEastAsia" w:eastAsiaTheme="minorEastAsia" w:cstheme="minorEastAsia"/>
          <w:b/>
          <w:bCs/>
          <w:color w:val="auto"/>
          <w:sz w:val="21"/>
          <w:szCs w:val="21"/>
        </w:rPr>
        <w:t>行为人尽了真诚的、最大的救助努力的情况下：结果发生了，但系其他原因导致（其他因素中断因果关系），而非实行行为导致，也认为是中止</w:t>
      </w:r>
      <w:r>
        <w:rPr>
          <w:rFonts w:hint="eastAsia" w:asciiTheme="minorEastAsia" w:hAnsiTheme="minorEastAsia" w:eastAsiaTheme="minorEastAsia" w:cstheme="minorEastAsia"/>
          <w:b/>
          <w:bCs/>
          <w:color w:val="auto"/>
          <w:kern w:val="0"/>
          <w:sz w:val="21"/>
          <w:szCs w:val="21"/>
        </w:rPr>
        <w:t>。</w:t>
      </w:r>
    </w:p>
    <w:p w14:paraId="324ED3E8">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3．中止不成（既遂）。</w:t>
      </w:r>
      <w:r>
        <w:rPr>
          <w:rFonts w:hint="eastAsia" w:asciiTheme="minorEastAsia" w:hAnsiTheme="minorEastAsia" w:eastAsiaTheme="minorEastAsia" w:cstheme="minorEastAsia"/>
          <w:color w:val="FF0000"/>
          <w:sz w:val="21"/>
          <w:szCs w:val="21"/>
        </w:rPr>
        <w:t>实行行为与结果有因果关系</w:t>
      </w:r>
      <w:r>
        <w:rPr>
          <w:rFonts w:hint="eastAsia" w:asciiTheme="minorEastAsia" w:hAnsiTheme="minorEastAsia" w:eastAsiaTheme="minorEastAsia" w:cstheme="minorEastAsia"/>
          <w:kern w:val="0"/>
          <w:sz w:val="21"/>
          <w:szCs w:val="21"/>
        </w:rPr>
        <w:t>，即使行为人自动放弃、积极救助，也是既遂（中止不成），而不是中止。</w:t>
      </w:r>
    </w:p>
    <w:p w14:paraId="54025A7D">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（五）造成损害的中止犯与没有造成损害的中止犯</w:t>
      </w:r>
    </w:p>
    <w:p w14:paraId="79564D2A">
      <w:pPr>
        <w:adjustRightInd w:val="0"/>
        <w:snapToGrid w:val="0"/>
        <w:spacing w:after="0"/>
        <w:ind w:firstLine="42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刑法第24条第二款规定，对于中止犯，没有造成损害的，应当免除处罚；造成损害的，应当减轻处罚。由此，犯罪中止可以区分为造成损害的中止（减轻处罚）与没有造成损害的中止（免除处罚）。</w:t>
      </w:r>
    </w:p>
    <w:p w14:paraId="03BDECC4">
      <w:pPr>
        <w:adjustRightInd w:val="0"/>
        <w:snapToGrid w:val="0"/>
        <w:spacing w:after="0"/>
        <w:rPr>
          <w:rFonts w:hint="eastAsia" w:asciiTheme="minorEastAsia" w:hAnsiTheme="minorEastAsia" w:eastAsiaTheme="minorEastAsia" w:cstheme="minorEastAsia"/>
          <w:kern w:val="0"/>
          <w:sz w:val="21"/>
          <w:szCs w:val="21"/>
          <w:lang w:eastAsia="zh-CN"/>
        </w:rPr>
      </w:pPr>
    </w:p>
    <w:p w14:paraId="7AE169EF">
      <w:pPr>
        <w:pStyle w:val="4"/>
        <w:spacing w:after="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三、犯罪未遂（着手实行后+被迫停顿）</w:t>
      </w:r>
    </w:p>
    <w:p w14:paraId="406A6484">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犯罪未遂，指已经着手实行犯罪，由于犯罪分子意志以外的原因而未得逞。即：欲达目的而不能，在着手实行之后、既遂之前被迫停顿。</w:t>
      </w:r>
      <w:r>
        <w:rPr>
          <w:rFonts w:hint="eastAsia" w:asciiTheme="minorEastAsia" w:hAnsiTheme="minorEastAsia" w:eastAsiaTheme="minorEastAsia" w:cstheme="minorEastAsia"/>
          <w:color w:val="FF0000"/>
          <w:sz w:val="21"/>
          <w:szCs w:val="21"/>
        </w:rPr>
        <w:t>起于实行后，止于既遂前，停顿因不能。</w:t>
      </w:r>
    </w:p>
    <w:p w14:paraId="065CE00C">
      <w:pPr>
        <w:adjustRightInd w:val="0"/>
        <w:snapToGrid w:val="0"/>
        <w:spacing w:after="0"/>
        <w:ind w:firstLine="440"/>
        <w:rPr>
          <w:rFonts w:hint="default"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kern w:val="0"/>
          <w:sz w:val="21"/>
          <w:szCs w:val="21"/>
        </w:rPr>
        <w:t>1．起点：</w:t>
      </w:r>
      <w:r>
        <w:rPr>
          <w:rFonts w:hint="eastAsia" w:asciiTheme="minorEastAsia" w:hAnsiTheme="minorEastAsia" w:eastAsiaTheme="minorEastAsia" w:cstheme="minorEastAsia"/>
          <w:color w:val="FF0000"/>
          <w:sz w:val="21"/>
          <w:szCs w:val="21"/>
        </w:rPr>
        <w:t>已经着手实行</w:t>
      </w:r>
      <w:r>
        <w:rPr>
          <w:rFonts w:hint="eastAsia" w:asciiTheme="minorEastAsia" w:hAnsiTheme="minorEastAsia" w:eastAsiaTheme="minorEastAsia" w:cstheme="minorEastAsia"/>
          <w:kern w:val="0"/>
          <w:sz w:val="21"/>
          <w:szCs w:val="21"/>
        </w:rPr>
        <w:t>犯罪</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b/>
          <w:bCs/>
          <w:kern w:val="0"/>
          <w:sz w:val="21"/>
          <w:szCs w:val="21"/>
          <w:lang w:val="en-US" w:eastAsia="zh-CN"/>
        </w:rPr>
        <w:t>实行行为的判断</w:t>
      </w:r>
    </w:p>
    <w:p w14:paraId="6DDDC1D9">
      <w:pPr>
        <w:adjustRightInd w:val="0"/>
        <w:snapToGrid w:val="0"/>
        <w:spacing w:after="0"/>
        <w:ind w:firstLine="420"/>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判断：先形式，后实质</w:t>
      </w:r>
    </w:p>
    <w:p w14:paraId="4BD1228A">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（1）形式上：</w:t>
      </w:r>
      <w:r>
        <w:rPr>
          <w:rFonts w:hint="eastAsia" w:asciiTheme="minorEastAsia" w:hAnsiTheme="minorEastAsia" w:eastAsiaTheme="minorEastAsia" w:cstheme="minorEastAsia"/>
          <w:sz w:val="21"/>
          <w:szCs w:val="21"/>
        </w:rPr>
        <w:t>着手实行即是实行</w:t>
      </w:r>
      <w:r>
        <w:rPr>
          <w:rFonts w:hint="eastAsia" w:asciiTheme="minorEastAsia" w:hAnsiTheme="minorEastAsia" w:eastAsiaTheme="minorEastAsia" w:cstheme="minorEastAsia"/>
          <w:color w:val="FF0000"/>
          <w:sz w:val="21"/>
          <w:szCs w:val="21"/>
        </w:rPr>
        <w:t>刑法分则所规定的</w:t>
      </w:r>
      <w:r>
        <w:rPr>
          <w:rFonts w:hint="eastAsia" w:asciiTheme="minorEastAsia" w:hAnsiTheme="minorEastAsia" w:eastAsiaTheme="minorEastAsia" w:cstheme="minorEastAsia"/>
          <w:sz w:val="21"/>
          <w:szCs w:val="21"/>
        </w:rPr>
        <w:t>具体罪名的实行行为。</w:t>
      </w:r>
    </w:p>
    <w:p w14:paraId="0E84EA7E">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（2）实质上：</w:t>
      </w:r>
      <w:r>
        <w:rPr>
          <w:rFonts w:hint="eastAsia" w:asciiTheme="minorEastAsia" w:hAnsiTheme="minorEastAsia" w:eastAsiaTheme="minorEastAsia" w:cstheme="minorEastAsia"/>
          <w:color w:val="FF0000"/>
          <w:sz w:val="21"/>
          <w:szCs w:val="21"/>
        </w:rPr>
        <w:t>直接侵害法益（既遂结果）</w:t>
      </w:r>
      <w:r>
        <w:rPr>
          <w:rFonts w:hint="eastAsia" w:asciiTheme="minorEastAsia" w:hAnsiTheme="minorEastAsia" w:eastAsiaTheme="minorEastAsia" w:cstheme="minorEastAsia"/>
          <w:sz w:val="21"/>
          <w:szCs w:val="21"/>
        </w:rPr>
        <w:t>的危险达到紧迫程度。</w:t>
      </w:r>
    </w:p>
    <w:p w14:paraId="4471D0E9">
      <w:pPr>
        <w:adjustRightInd w:val="0"/>
        <w:snapToGrid w:val="0"/>
        <w:spacing w:after="0"/>
        <w:ind w:firstLine="44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2．停顿点：犯罪</w:t>
      </w:r>
      <w:r>
        <w:rPr>
          <w:rFonts w:hint="eastAsia" w:asciiTheme="minorEastAsia" w:hAnsiTheme="minorEastAsia" w:eastAsiaTheme="minorEastAsia" w:cstheme="minorEastAsia"/>
          <w:color w:val="FF0000"/>
          <w:sz w:val="21"/>
          <w:szCs w:val="21"/>
        </w:rPr>
        <w:t>未得逞</w:t>
      </w:r>
      <w:r>
        <w:rPr>
          <w:rFonts w:hint="eastAsia" w:asciiTheme="minorEastAsia" w:hAnsiTheme="minorEastAsia" w:eastAsiaTheme="minorEastAsia" w:cstheme="minorEastAsia"/>
          <w:kern w:val="0"/>
          <w:sz w:val="21"/>
          <w:szCs w:val="21"/>
        </w:rPr>
        <w:t>（未既遂）</w:t>
      </w:r>
    </w:p>
    <w:p w14:paraId="5D685C0D">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结果犯中实害结果未发生，危险犯中具体危险程度未达到，行为犯（抽象危险犯）中行为未完成，系犯罪未得逞。</w:t>
      </w:r>
    </w:p>
    <w:p w14:paraId="07A03DA9">
      <w:pPr>
        <w:adjustRightInd w:val="0"/>
        <w:snapToGrid w:val="0"/>
        <w:spacing w:after="0"/>
        <w:ind w:firstLine="44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3．停顿原因：犯罪未得逞是由于犯罪分子</w:t>
      </w:r>
      <w:r>
        <w:rPr>
          <w:rFonts w:hint="eastAsia" w:asciiTheme="minorEastAsia" w:hAnsiTheme="minorEastAsia" w:eastAsiaTheme="minorEastAsia" w:cstheme="minorEastAsia"/>
          <w:color w:val="FF0000"/>
          <w:sz w:val="21"/>
          <w:szCs w:val="21"/>
        </w:rPr>
        <w:t>意志以外的原因</w:t>
      </w:r>
      <w:r>
        <w:rPr>
          <w:rFonts w:hint="eastAsia" w:asciiTheme="minorEastAsia" w:hAnsiTheme="minorEastAsia" w:eastAsiaTheme="minorEastAsia" w:cstheme="minorEastAsia"/>
          <w:sz w:val="21"/>
          <w:szCs w:val="21"/>
        </w:rPr>
        <w:t>（欲达目的而不能）</w:t>
      </w:r>
    </w:p>
    <w:p w14:paraId="6CC098F5">
      <w:pPr>
        <w:adjustRightInd w:val="0"/>
        <w:snapToGrid w:val="0"/>
        <w:spacing w:after="0"/>
        <w:ind w:firstLine="420"/>
        <w:rPr>
          <w:rFonts w:hint="eastAsia" w:asciiTheme="minorEastAsia" w:hAnsiTheme="minorEastAsia" w:eastAsiaTheme="minorEastAsia" w:cstheme="minorEastAsia"/>
          <w:bCs/>
          <w:sz w:val="21"/>
          <w:szCs w:val="21"/>
        </w:rPr>
      </w:pPr>
    </w:p>
    <w:p w14:paraId="33B8EFBB">
      <w:pPr>
        <w:pStyle w:val="4"/>
        <w:spacing w:after="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四、犯罪预备（着手实行前+被迫停顿）</w:t>
      </w:r>
    </w:p>
    <w:p w14:paraId="6BFD54D5">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犯罪预备，是指为了犯罪实行，实施了犯罪的预备行为（“准备工具，制造条件”），但由于行为人意志以外的原因而未能着手实行犯罪的情形。即：欲达目的而不能，在预备之后、着手实行之前被迫停顿。</w:t>
      </w:r>
      <w:r>
        <w:rPr>
          <w:rFonts w:hint="eastAsia" w:asciiTheme="minorEastAsia" w:hAnsiTheme="minorEastAsia" w:eastAsiaTheme="minorEastAsia" w:cstheme="minorEastAsia"/>
          <w:color w:val="FF0000"/>
          <w:sz w:val="21"/>
          <w:szCs w:val="21"/>
        </w:rPr>
        <w:t>起于预备后，止于实行前，停顿因不能。</w:t>
      </w:r>
    </w:p>
    <w:p w14:paraId="224FE68B">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犯罪预备具有以下三个特征：</w:t>
      </w:r>
    </w:p>
    <w:p w14:paraId="6E4C228F">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1．起点：客观上实施了</w:t>
      </w:r>
      <w:r>
        <w:rPr>
          <w:rFonts w:hint="eastAsia" w:asciiTheme="minorEastAsia" w:hAnsiTheme="minorEastAsia" w:eastAsiaTheme="minorEastAsia" w:cstheme="minorEastAsia"/>
          <w:color w:val="FF0000"/>
          <w:sz w:val="21"/>
          <w:szCs w:val="21"/>
        </w:rPr>
        <w:t>犯罪预备行为</w:t>
      </w:r>
      <w:r>
        <w:rPr>
          <w:rFonts w:hint="eastAsia" w:asciiTheme="minorEastAsia" w:hAnsiTheme="minorEastAsia" w:eastAsiaTheme="minorEastAsia" w:cstheme="minorEastAsia"/>
          <w:kern w:val="0"/>
          <w:sz w:val="21"/>
          <w:szCs w:val="21"/>
        </w:rPr>
        <w:t>。</w:t>
      </w:r>
    </w:p>
    <w:p w14:paraId="79D6AD66">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即实施了</w:t>
      </w:r>
      <w:r>
        <w:rPr>
          <w:rFonts w:hint="eastAsia" w:asciiTheme="minorEastAsia" w:hAnsiTheme="minorEastAsia" w:eastAsiaTheme="minorEastAsia" w:cstheme="minorEastAsia"/>
          <w:color w:val="FF0000"/>
          <w:kern w:val="0"/>
          <w:sz w:val="21"/>
          <w:szCs w:val="21"/>
        </w:rPr>
        <w:t>为了犯罪实行而准备工具、制造条件的行为</w:t>
      </w:r>
      <w:r>
        <w:rPr>
          <w:rFonts w:hint="eastAsia" w:asciiTheme="minorEastAsia" w:hAnsiTheme="minorEastAsia" w:eastAsiaTheme="minorEastAsia" w:cstheme="minorEastAsia"/>
          <w:sz w:val="21"/>
          <w:szCs w:val="21"/>
        </w:rPr>
        <w:t>。例如，购买某种物品作为犯罪工具；制造犯罪工具；改装物品使之适应犯罪需要；租借他人物品作为犯罪工具；盗窃他人物品作为犯罪工具等。选择、调查侵害目标，排除犯罪障碍，勾结共犯，商定犯罪计划、方案，出发前往犯罪地点或者守候被害人的到来，诱骗被害人前往犯罪场所，接近犯罪目标，跟踪、尾随、守候、接近被害人等。</w:t>
      </w:r>
    </w:p>
    <w:p w14:paraId="3BC72029">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2．停顿点：在</w:t>
      </w:r>
      <w:r>
        <w:rPr>
          <w:rFonts w:hint="eastAsia" w:asciiTheme="minorEastAsia" w:hAnsiTheme="minorEastAsia" w:eastAsiaTheme="minorEastAsia" w:cstheme="minorEastAsia"/>
          <w:color w:val="FF0000"/>
          <w:sz w:val="21"/>
          <w:szCs w:val="21"/>
        </w:rPr>
        <w:t>着手实行犯罪之前</w:t>
      </w:r>
      <w:r>
        <w:rPr>
          <w:rFonts w:hint="eastAsia" w:asciiTheme="minorEastAsia" w:hAnsiTheme="minorEastAsia" w:eastAsiaTheme="minorEastAsia" w:cstheme="minorEastAsia"/>
          <w:kern w:val="0"/>
          <w:sz w:val="21"/>
          <w:szCs w:val="21"/>
        </w:rPr>
        <w:t>停顿。</w:t>
      </w:r>
    </w:p>
    <w:p w14:paraId="61299358">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3．停顿原因：未能着手实行犯罪是由于行为人</w:t>
      </w:r>
      <w:r>
        <w:rPr>
          <w:rFonts w:hint="eastAsia" w:asciiTheme="minorEastAsia" w:hAnsiTheme="minorEastAsia" w:eastAsiaTheme="minorEastAsia" w:cstheme="minorEastAsia"/>
          <w:color w:val="FF0000"/>
          <w:sz w:val="21"/>
          <w:szCs w:val="21"/>
        </w:rPr>
        <w:t>意志以外的原因</w:t>
      </w:r>
      <w:r>
        <w:rPr>
          <w:rFonts w:hint="eastAsia" w:asciiTheme="minorEastAsia" w:hAnsiTheme="minorEastAsia" w:eastAsiaTheme="minorEastAsia" w:cstheme="minorEastAsia"/>
          <w:sz w:val="21"/>
          <w:szCs w:val="21"/>
        </w:rPr>
        <w:t>（欲达目的而不能）。</w:t>
      </w:r>
    </w:p>
    <w:p w14:paraId="130677A1">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对于预备犯，可以比照既遂犯从轻、减轻或者免除处罚。</w:t>
      </w:r>
      <w:bookmarkEnd w:id="8"/>
    </w:p>
    <w:p w14:paraId="7A281B19">
      <w:pPr>
        <w:spacing w:after="0"/>
        <w:ind w:firstLine="420"/>
        <w:jc w:val="left"/>
        <w:rPr>
          <w:rFonts w:hint="eastAsia" w:asciiTheme="minorEastAsia" w:hAnsiTheme="minorEastAsia" w:eastAsiaTheme="minorEastAsia" w:cstheme="minorEastAsia"/>
          <w:kern w:val="0"/>
          <w:sz w:val="21"/>
          <w:szCs w:val="21"/>
        </w:rPr>
      </w:pPr>
    </w:p>
    <w:p w14:paraId="6FA49673">
      <w:pPr>
        <w:pStyle w:val="4"/>
        <w:spacing w:after="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五、犯罪未遂与不可罚的不能犯</w:t>
      </w:r>
    </w:p>
    <w:p w14:paraId="182CAA19">
      <w:pPr>
        <w:adjustRightInd w:val="0"/>
        <w:snapToGrid w:val="0"/>
        <w:spacing w:after="0"/>
        <w:ind w:firstLine="408"/>
        <w:rPr>
          <w:rFonts w:hint="eastAsia" w:asciiTheme="minorEastAsia" w:hAnsiTheme="minorEastAsia" w:eastAsiaTheme="minorEastAsia" w:cstheme="minorEastAsia"/>
          <w:color w:val="auto"/>
          <w:spacing w:val="-3"/>
          <w:kern w:val="0"/>
          <w:sz w:val="21"/>
          <w:szCs w:val="21"/>
        </w:rPr>
      </w:pPr>
      <w:r>
        <w:rPr>
          <w:rFonts w:hint="eastAsia" w:asciiTheme="minorEastAsia" w:hAnsiTheme="minorEastAsia" w:eastAsiaTheme="minorEastAsia" w:cstheme="minorEastAsia"/>
          <w:color w:val="auto"/>
          <w:spacing w:val="-3"/>
          <w:sz w:val="21"/>
          <w:szCs w:val="21"/>
        </w:rPr>
        <w:t>犯罪未遂与不能犯</w:t>
      </w:r>
      <w:r>
        <w:rPr>
          <w:rFonts w:hint="eastAsia" w:asciiTheme="minorEastAsia" w:hAnsiTheme="minorEastAsia" w:eastAsiaTheme="minorEastAsia" w:cstheme="minorEastAsia"/>
          <w:color w:val="auto"/>
          <w:spacing w:val="-3"/>
          <w:kern w:val="0"/>
          <w:sz w:val="21"/>
          <w:szCs w:val="21"/>
        </w:rPr>
        <w:t>（客观上行为无危险的不能犯）</w:t>
      </w:r>
      <w:r>
        <w:rPr>
          <w:rFonts w:hint="eastAsia" w:asciiTheme="minorEastAsia" w:hAnsiTheme="minorEastAsia" w:eastAsiaTheme="minorEastAsia" w:cstheme="minorEastAsia"/>
          <w:color w:val="auto"/>
          <w:spacing w:val="-3"/>
          <w:sz w:val="21"/>
          <w:szCs w:val="21"/>
        </w:rPr>
        <w:t>的区别在于：行为本身是否具有客观危险性</w:t>
      </w:r>
      <w:r>
        <w:rPr>
          <w:rFonts w:hint="eastAsia" w:asciiTheme="minorEastAsia" w:hAnsiTheme="minorEastAsia" w:eastAsiaTheme="minorEastAsia" w:cstheme="minorEastAsia"/>
          <w:color w:val="auto"/>
          <w:spacing w:val="-3"/>
          <w:kern w:val="0"/>
          <w:sz w:val="21"/>
          <w:szCs w:val="21"/>
        </w:rPr>
        <w:t>。</w:t>
      </w:r>
    </w:p>
    <w:p w14:paraId="7E9984C0">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判断行为客观危险的标准，在法律职业资格考试中一般采</w:t>
      </w:r>
      <w:r>
        <w:rPr>
          <w:rFonts w:hint="eastAsia" w:asciiTheme="minorEastAsia" w:hAnsiTheme="minorEastAsia" w:eastAsiaTheme="minorEastAsia" w:cstheme="minorEastAsia"/>
          <w:b/>
          <w:bCs/>
          <w:color w:val="auto"/>
          <w:kern w:val="0"/>
          <w:sz w:val="21"/>
          <w:szCs w:val="21"/>
        </w:rPr>
        <w:t>“</w:t>
      </w:r>
      <w:r>
        <w:rPr>
          <w:rFonts w:hint="eastAsia" w:asciiTheme="minorEastAsia" w:hAnsiTheme="minorEastAsia" w:eastAsiaTheme="minorEastAsia" w:cstheme="minorEastAsia"/>
          <w:b/>
          <w:bCs/>
          <w:color w:val="auto"/>
          <w:sz w:val="21"/>
          <w:szCs w:val="21"/>
        </w:rPr>
        <w:t>客观危险说（修正说）</w:t>
      </w:r>
      <w:r>
        <w:rPr>
          <w:rFonts w:hint="eastAsia" w:asciiTheme="minorEastAsia" w:hAnsiTheme="minorEastAsia" w:eastAsiaTheme="minorEastAsia" w:cstheme="minorEastAsia"/>
          <w:b/>
          <w:bCs/>
          <w:color w:val="auto"/>
          <w:kern w:val="0"/>
          <w:sz w:val="21"/>
          <w:szCs w:val="21"/>
        </w:rPr>
        <w:t>”</w:t>
      </w:r>
      <w:r>
        <w:rPr>
          <w:rFonts w:hint="eastAsia" w:asciiTheme="minorEastAsia" w:hAnsiTheme="minorEastAsia" w:eastAsiaTheme="minorEastAsia" w:cstheme="minorEastAsia"/>
          <w:color w:val="auto"/>
          <w:kern w:val="0"/>
          <w:sz w:val="21"/>
          <w:szCs w:val="21"/>
        </w:rPr>
        <w:t>。亦即，以</w:t>
      </w:r>
      <w:r>
        <w:rPr>
          <w:rFonts w:hint="eastAsia" w:asciiTheme="minorEastAsia" w:hAnsiTheme="minorEastAsia" w:eastAsiaTheme="minorEastAsia" w:cstheme="minorEastAsia"/>
          <w:color w:val="auto"/>
          <w:sz w:val="21"/>
          <w:szCs w:val="21"/>
        </w:rPr>
        <w:t>行为当时存在的客观事实</w:t>
      </w:r>
      <w:r>
        <w:rPr>
          <w:rFonts w:hint="eastAsia" w:asciiTheme="minorEastAsia" w:hAnsiTheme="minorEastAsia" w:eastAsiaTheme="minorEastAsia" w:cstheme="minorEastAsia"/>
          <w:color w:val="auto"/>
          <w:kern w:val="0"/>
          <w:sz w:val="21"/>
          <w:szCs w:val="21"/>
        </w:rPr>
        <w:t>（包括行为当时已知以及事后才查明的客观事实）作为判断依据，从</w:t>
      </w:r>
      <w:r>
        <w:rPr>
          <w:rFonts w:hint="eastAsia" w:asciiTheme="minorEastAsia" w:hAnsiTheme="minorEastAsia" w:eastAsiaTheme="minorEastAsia" w:cstheme="minorEastAsia"/>
          <w:color w:val="auto"/>
          <w:sz w:val="21"/>
          <w:szCs w:val="21"/>
        </w:rPr>
        <w:t>具有科学常识一般人</w:t>
      </w:r>
      <w:r>
        <w:rPr>
          <w:rFonts w:hint="eastAsia" w:asciiTheme="minorEastAsia" w:hAnsiTheme="minorEastAsia" w:eastAsiaTheme="minorEastAsia" w:cstheme="minorEastAsia"/>
          <w:color w:val="auto"/>
          <w:kern w:val="0"/>
          <w:sz w:val="21"/>
          <w:szCs w:val="21"/>
        </w:rPr>
        <w:t>的立场上进行判断（即原则上站在事后立场上判断行为当时造成结果的可能性）：如果</w:t>
      </w:r>
      <w:r>
        <w:rPr>
          <w:rFonts w:hint="eastAsia" w:asciiTheme="minorEastAsia" w:hAnsiTheme="minorEastAsia" w:eastAsiaTheme="minorEastAsia" w:cstheme="minorEastAsia"/>
          <w:color w:val="auto"/>
          <w:sz w:val="21"/>
          <w:szCs w:val="21"/>
        </w:rPr>
        <w:t>具有发生结果的现实可能性为未遂犯</w:t>
      </w:r>
      <w:r>
        <w:rPr>
          <w:rFonts w:hint="eastAsia" w:asciiTheme="minorEastAsia" w:hAnsiTheme="minorEastAsia" w:eastAsiaTheme="minorEastAsia" w:cstheme="minorEastAsia"/>
          <w:color w:val="auto"/>
          <w:kern w:val="0"/>
          <w:sz w:val="21"/>
          <w:szCs w:val="21"/>
        </w:rPr>
        <w:t>，如果</w:t>
      </w:r>
      <w:r>
        <w:rPr>
          <w:rFonts w:hint="eastAsia" w:asciiTheme="minorEastAsia" w:hAnsiTheme="minorEastAsia" w:eastAsiaTheme="minorEastAsia" w:cstheme="minorEastAsia"/>
          <w:color w:val="auto"/>
          <w:sz w:val="21"/>
          <w:szCs w:val="21"/>
        </w:rPr>
        <w:t>没有发生结果的现实可能性一般为不能犯</w:t>
      </w:r>
      <w:r>
        <w:rPr>
          <w:rFonts w:hint="eastAsia" w:asciiTheme="minorEastAsia" w:hAnsiTheme="minorEastAsia" w:eastAsiaTheme="minorEastAsia" w:cstheme="minorEastAsia"/>
          <w:color w:val="auto"/>
          <w:kern w:val="0"/>
          <w:sz w:val="21"/>
          <w:szCs w:val="21"/>
        </w:rPr>
        <w:t>；因为</w:t>
      </w:r>
      <w:r>
        <w:rPr>
          <w:rFonts w:hint="eastAsia" w:asciiTheme="minorEastAsia" w:hAnsiTheme="minorEastAsia" w:eastAsiaTheme="minorEastAsia" w:cstheme="minorEastAsia"/>
          <w:color w:val="auto"/>
          <w:sz w:val="21"/>
          <w:szCs w:val="21"/>
        </w:rPr>
        <w:t>偶然原因而导致不能</w:t>
      </w:r>
      <w:r>
        <w:rPr>
          <w:rFonts w:hint="eastAsia" w:asciiTheme="minorEastAsia" w:hAnsiTheme="minorEastAsia" w:eastAsiaTheme="minorEastAsia" w:cstheme="minorEastAsia"/>
          <w:color w:val="auto"/>
          <w:kern w:val="0"/>
          <w:sz w:val="21"/>
          <w:szCs w:val="21"/>
        </w:rPr>
        <w:t>实现结果，应当认为是具有危险性，仍成立</w:t>
      </w:r>
      <w:r>
        <w:rPr>
          <w:rFonts w:hint="eastAsia" w:asciiTheme="minorEastAsia" w:hAnsiTheme="minorEastAsia" w:eastAsiaTheme="minorEastAsia" w:cstheme="minorEastAsia"/>
          <w:color w:val="auto"/>
          <w:sz w:val="21"/>
          <w:szCs w:val="21"/>
        </w:rPr>
        <w:t>未遂。</w:t>
      </w:r>
    </w:p>
    <w:p w14:paraId="6286AE1D">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1．第一步，</w:t>
      </w:r>
      <w:r>
        <w:rPr>
          <w:rFonts w:hint="eastAsia" w:asciiTheme="minorEastAsia" w:hAnsiTheme="minorEastAsia" w:eastAsiaTheme="minorEastAsia" w:cstheme="minorEastAsia"/>
          <w:b/>
          <w:bCs/>
          <w:color w:val="auto"/>
          <w:sz w:val="21"/>
          <w:szCs w:val="21"/>
        </w:rPr>
        <w:t>纯粹客观危险性</w:t>
      </w:r>
      <w:r>
        <w:rPr>
          <w:rFonts w:hint="eastAsia" w:asciiTheme="minorEastAsia" w:hAnsiTheme="minorEastAsia" w:eastAsiaTheme="minorEastAsia" w:cstheme="minorEastAsia"/>
          <w:color w:val="auto"/>
          <w:sz w:val="21"/>
          <w:szCs w:val="21"/>
        </w:rPr>
        <w:t>的判断，具有危险是未遂</w:t>
      </w:r>
    </w:p>
    <w:p w14:paraId="63D26BD2">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（1）判断依据（素材）：行为当时已存在的客观事实（包括行为当时已经认识到的客观事实，以及事后才查明的客观事实）</w:t>
      </w:r>
    </w:p>
    <w:p w14:paraId="1A7F369A">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（2）判断立场：具有科学常识的一般公众立场</w:t>
      </w:r>
    </w:p>
    <w:p w14:paraId="1D5E6739">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（3）危险性：行为当时具有发生结果的可能性（行为实施达到一定程度）</w:t>
      </w:r>
    </w:p>
    <w:p w14:paraId="49AAAECD">
      <w:pPr>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（4）危险性的判断，既要看具体对象，也要看周遭环境。</w:t>
      </w:r>
    </w:p>
    <w:p w14:paraId="3400D80C">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2．第二步，</w:t>
      </w:r>
      <w:r>
        <w:rPr>
          <w:rFonts w:hint="eastAsia" w:asciiTheme="minorEastAsia" w:hAnsiTheme="minorEastAsia" w:eastAsiaTheme="minorEastAsia" w:cstheme="minorEastAsia"/>
          <w:b/>
          <w:bCs/>
          <w:color w:val="auto"/>
          <w:sz w:val="21"/>
          <w:szCs w:val="21"/>
        </w:rPr>
        <w:t>偶然因素导致不能，也认为具有危险，是未遂，不是不能犯</w:t>
      </w:r>
    </w:p>
    <w:p w14:paraId="1F6D1B94">
      <w:pPr>
        <w:adjustRightInd w:val="0"/>
        <w:snapToGrid w:val="0"/>
        <w:spacing w:after="0"/>
        <w:ind w:firstLine="408"/>
        <w:rPr>
          <w:rFonts w:hint="eastAsia" w:asciiTheme="minorEastAsia" w:hAnsiTheme="minorEastAsia" w:eastAsiaTheme="minorEastAsia" w:cstheme="minorEastAsia"/>
          <w:color w:val="auto"/>
          <w:spacing w:val="-3"/>
          <w:sz w:val="21"/>
          <w:szCs w:val="21"/>
        </w:rPr>
      </w:pPr>
      <w:r>
        <w:rPr>
          <w:rFonts w:hint="eastAsia" w:asciiTheme="minorEastAsia" w:hAnsiTheme="minorEastAsia" w:eastAsiaTheme="minorEastAsia" w:cstheme="minorEastAsia"/>
          <w:color w:val="auto"/>
          <w:spacing w:val="-3"/>
          <w:sz w:val="21"/>
          <w:szCs w:val="21"/>
        </w:rPr>
        <w:t>正常实施、继续实施具有导致结果的可能性，但出于偶然因素而导致结果碰巧不能实现时，也认为具有危险，不是不能犯，而是未遂。这里的“偶然因素”可以这样理解：社会公众结合当时的情境认为有造成结果的极大可能，导致结果不发生原因出乎意料（碰巧）。</w:t>
      </w:r>
    </w:p>
    <w:p w14:paraId="02DFA00F">
      <w:pPr>
        <w:adjustRightInd w:val="0"/>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总结：</w:t>
      </w:r>
      <w:r>
        <w:rPr>
          <w:rFonts w:hint="eastAsia" w:asciiTheme="minorEastAsia" w:hAnsiTheme="minorEastAsia" w:eastAsiaTheme="minorEastAsia" w:cstheme="minorEastAsia"/>
          <w:b/>
          <w:bCs/>
          <w:color w:val="auto"/>
          <w:sz w:val="21"/>
          <w:szCs w:val="21"/>
        </w:rPr>
        <w:t>按客观事实，具有导致结果可能的是未遂；但偶然原因导致结果不能发生的仍是未遂。</w:t>
      </w:r>
      <w:bookmarkStart w:id="9" w:name="_Toc219219883"/>
    </w:p>
    <w:p w14:paraId="145093E7">
      <w:pPr>
        <w:adjustRightInd w:val="0"/>
        <w:snapToGrid w:val="0"/>
        <w:spacing w:after="0"/>
        <w:ind w:firstLine="420"/>
        <w:rPr>
          <w:rFonts w:hint="eastAsia" w:asciiTheme="minorEastAsia" w:hAnsiTheme="minorEastAsia" w:eastAsiaTheme="minorEastAsia" w:cstheme="minorEastAsia"/>
          <w:color w:val="auto"/>
          <w:sz w:val="21"/>
          <w:szCs w:val="21"/>
        </w:rPr>
      </w:pPr>
    </w:p>
    <w:p w14:paraId="3F1C0E68">
      <w:pPr>
        <w:adjustRightInd w:val="0"/>
        <w:snapToGrid w:val="0"/>
        <w:spacing w:after="0"/>
        <w:ind w:firstLine="420"/>
        <w:rPr>
          <w:rFonts w:hint="eastAsia" w:asciiTheme="minorEastAsia" w:hAnsiTheme="minorEastAsia" w:eastAsiaTheme="minorEastAsia" w:cstheme="minorEastAsia"/>
          <w:sz w:val="21"/>
          <w:szCs w:val="21"/>
        </w:rPr>
      </w:pPr>
    </w:p>
    <w:p w14:paraId="14DC40BB">
      <w:pPr>
        <w:pStyle w:val="2"/>
        <w:spacing w:before="0" w:after="0" w:line="480" w:lineRule="exact"/>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考点11  共同犯罪</w:t>
      </w:r>
      <w:bookmarkEnd w:id="9"/>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22:24—22:51</w:t>
      </w:r>
      <w:r>
        <w:rPr>
          <w:rFonts w:hint="eastAsia" w:asciiTheme="minorEastAsia" w:hAnsiTheme="minorEastAsia" w:eastAsiaTheme="minorEastAsia" w:cstheme="minorEastAsia"/>
          <w:b/>
          <w:bCs w:val="0"/>
          <w:color w:val="auto"/>
          <w:sz w:val="21"/>
          <w:szCs w:val="21"/>
          <w:lang w:eastAsia="zh-CN"/>
        </w:rPr>
        <w:t>）</w:t>
      </w:r>
    </w:p>
    <w:p w14:paraId="442F0776">
      <w:pPr>
        <w:spacing w:after="0"/>
        <w:ind w:left="0" w:leftChars="0" w:firstLine="0" w:firstLineChars="0"/>
        <w:jc w:val="left"/>
        <w:rPr>
          <w:rFonts w:hint="eastAsia" w:asciiTheme="minorEastAsia" w:hAnsiTheme="minorEastAsia" w:eastAsiaTheme="minorEastAsia" w:cstheme="minorEastAsia"/>
          <w:kern w:val="0"/>
          <w:sz w:val="21"/>
          <w:szCs w:val="21"/>
        </w:rPr>
      </w:pPr>
    </w:p>
    <w:p w14:paraId="5B3E25B0">
      <w:pPr>
        <w:pStyle w:val="4"/>
        <w:spacing w:after="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第一节  共同犯罪的核心内容和基本含义</w:t>
      </w:r>
    </w:p>
    <w:p w14:paraId="7A38B962">
      <w:pPr>
        <w:spacing w:after="0"/>
        <w:ind w:firstLine="420"/>
        <w:jc w:val="left"/>
        <w:rPr>
          <w:rFonts w:hint="eastAsia" w:asciiTheme="minorEastAsia" w:hAnsiTheme="minorEastAsia" w:eastAsiaTheme="minorEastAsia" w:cstheme="minorEastAsia"/>
          <w:kern w:val="0"/>
          <w:sz w:val="21"/>
          <w:szCs w:val="21"/>
        </w:rPr>
      </w:pPr>
    </w:p>
    <w:p w14:paraId="147B22F5">
      <w:pPr>
        <w:pStyle w:val="4"/>
        <w:spacing w:after="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一、共同犯罪的本质：对共同行为导致的结果客观上承担连带责任</w:t>
      </w:r>
    </w:p>
    <w:p w14:paraId="52F8C3F4">
      <w:pPr>
        <w:spacing w:after="0"/>
        <w:ind w:firstLine="420"/>
        <w:jc w:val="left"/>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共同犯罪是指二人以上</w:t>
      </w:r>
      <w:r>
        <w:rPr>
          <w:rFonts w:hint="eastAsia" w:asciiTheme="minorEastAsia" w:hAnsiTheme="minorEastAsia" w:eastAsiaTheme="minorEastAsia" w:cstheme="minorEastAsia"/>
          <w:b/>
          <w:bCs/>
          <w:kern w:val="0"/>
          <w:sz w:val="21"/>
          <w:szCs w:val="21"/>
        </w:rPr>
        <w:t>共同故意犯罪</w:t>
      </w: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lang w:val="en-US" w:eastAsia="zh-CN"/>
        </w:rPr>
        <w:t>不包括过失</w:t>
      </w:r>
      <w:r>
        <w:rPr>
          <w:rFonts w:hint="eastAsia" w:asciiTheme="minorEastAsia" w:hAnsiTheme="minorEastAsia" w:eastAsiaTheme="minorEastAsia" w:cstheme="minorEastAsia"/>
          <w:kern w:val="0"/>
          <w:sz w:val="21"/>
          <w:szCs w:val="21"/>
          <w:lang w:eastAsia="zh-CN"/>
        </w:rPr>
        <w:t>）</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107"/>
        <w:gridCol w:w="3708"/>
        <w:gridCol w:w="3690"/>
      </w:tblGrid>
      <w:tr w14:paraId="3BCF3D2E">
        <w:trPr>
          <w:jc w:val="center"/>
        </w:trPr>
        <w:tc>
          <w:tcPr>
            <w:tcW w:w="1107" w:type="dxa"/>
            <w:vAlign w:val="center"/>
          </w:tcPr>
          <w:p w14:paraId="54A75DCD">
            <w:pPr>
              <w:spacing w:before="31" w:beforeLines="10" w:after="62" w:afterLines="20" w:line="280" w:lineRule="exact"/>
              <w:ind w:firstLine="0" w:firstLineChars="0"/>
              <w:jc w:val="center"/>
              <w:rPr>
                <w:rFonts w:hint="eastAsia" w:asciiTheme="minorEastAsia" w:hAnsiTheme="minorEastAsia" w:eastAsiaTheme="minorEastAsia" w:cstheme="minorEastAsia"/>
                <w:bCs/>
                <w:kern w:val="0"/>
                <w:sz w:val="21"/>
                <w:szCs w:val="21"/>
              </w:rPr>
            </w:pPr>
          </w:p>
        </w:tc>
        <w:tc>
          <w:tcPr>
            <w:tcW w:w="3708" w:type="dxa"/>
            <w:vAlign w:val="center"/>
          </w:tcPr>
          <w:p w14:paraId="33C66B6C">
            <w:pPr>
              <w:spacing w:before="31" w:beforeLines="10" w:after="62" w:afterLines="20" w:line="280" w:lineRule="exact"/>
              <w:ind w:firstLine="0" w:firstLineChars="0"/>
              <w:jc w:val="center"/>
              <w:rPr>
                <w:rFonts w:hint="eastAsia" w:asciiTheme="minorEastAsia" w:hAnsiTheme="minorEastAsia" w:eastAsiaTheme="minorEastAsia" w:cstheme="minorEastAsia"/>
                <w:b/>
                <w:bCs w:val="0"/>
                <w:kern w:val="0"/>
                <w:sz w:val="21"/>
                <w:szCs w:val="21"/>
              </w:rPr>
            </w:pPr>
            <w:r>
              <w:rPr>
                <w:rFonts w:hint="eastAsia" w:asciiTheme="minorEastAsia" w:hAnsiTheme="minorEastAsia" w:eastAsiaTheme="minorEastAsia" w:cstheme="minorEastAsia"/>
                <w:b/>
                <w:bCs w:val="0"/>
                <w:kern w:val="0"/>
                <w:sz w:val="21"/>
                <w:szCs w:val="21"/>
              </w:rPr>
              <w:t>共同犯罪</w:t>
            </w:r>
          </w:p>
        </w:tc>
        <w:tc>
          <w:tcPr>
            <w:tcW w:w="3690" w:type="dxa"/>
            <w:vAlign w:val="center"/>
          </w:tcPr>
          <w:p w14:paraId="5E13E1EE">
            <w:pPr>
              <w:spacing w:before="31" w:beforeLines="10" w:after="62" w:afterLines="20" w:line="280" w:lineRule="exact"/>
              <w:ind w:firstLine="0" w:firstLineChars="0"/>
              <w:jc w:val="center"/>
              <w:rPr>
                <w:rFonts w:hint="eastAsia" w:asciiTheme="minorEastAsia" w:hAnsiTheme="minorEastAsia" w:eastAsiaTheme="minorEastAsia" w:cstheme="minorEastAsia"/>
                <w:b/>
                <w:bCs w:val="0"/>
                <w:kern w:val="0"/>
                <w:sz w:val="21"/>
                <w:szCs w:val="21"/>
              </w:rPr>
            </w:pPr>
            <w:r>
              <w:rPr>
                <w:rFonts w:hint="eastAsia" w:asciiTheme="minorEastAsia" w:hAnsiTheme="minorEastAsia" w:eastAsiaTheme="minorEastAsia" w:cstheme="minorEastAsia"/>
                <w:b/>
                <w:bCs w:val="0"/>
                <w:kern w:val="0"/>
                <w:sz w:val="21"/>
                <w:szCs w:val="21"/>
              </w:rPr>
              <w:t>同时犯</w:t>
            </w:r>
          </w:p>
        </w:tc>
      </w:tr>
      <w:tr w14:paraId="73605443">
        <w:trPr>
          <w:jc w:val="center"/>
        </w:trPr>
        <w:tc>
          <w:tcPr>
            <w:tcW w:w="1107" w:type="dxa"/>
            <w:vAlign w:val="center"/>
          </w:tcPr>
          <w:p w14:paraId="186ADFC3">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事实</w:t>
            </w:r>
          </w:p>
        </w:tc>
        <w:tc>
          <w:tcPr>
            <w:tcW w:w="3708" w:type="dxa"/>
            <w:vAlign w:val="center"/>
          </w:tcPr>
          <w:p w14:paraId="5716EB58">
            <w:pPr>
              <w:spacing w:before="31" w:beforeLines="10" w:after="62" w:afterLines="20" w:line="280" w:lineRule="exact"/>
              <w:ind w:firstLine="0" w:firstLineChars="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甲、乙共谋杀丙，各开一枪，乙打中丙致丙死亡，甲没有打中</w:t>
            </w:r>
          </w:p>
        </w:tc>
        <w:tc>
          <w:tcPr>
            <w:tcW w:w="3690" w:type="dxa"/>
            <w:vAlign w:val="center"/>
          </w:tcPr>
          <w:p w14:paraId="254F6EF4">
            <w:pPr>
              <w:spacing w:before="31" w:beforeLines="10" w:after="62" w:afterLines="20" w:line="280" w:lineRule="exact"/>
              <w:ind w:firstLine="0" w:firstLineChars="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甲、乙没有意思联络、同时杀丙，各开一枪，乙打中丙致丙死亡，甲没有打中</w:t>
            </w:r>
          </w:p>
        </w:tc>
      </w:tr>
      <w:tr w14:paraId="2391D8DD">
        <w:trPr>
          <w:jc w:val="center"/>
        </w:trPr>
        <w:tc>
          <w:tcPr>
            <w:tcW w:w="1107" w:type="dxa"/>
            <w:vAlign w:val="center"/>
          </w:tcPr>
          <w:p w14:paraId="518D956F">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行为</w:t>
            </w:r>
          </w:p>
        </w:tc>
        <w:tc>
          <w:tcPr>
            <w:tcW w:w="3708" w:type="dxa"/>
            <w:vAlign w:val="center"/>
          </w:tcPr>
          <w:p w14:paraId="3FAAB058">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开枪杀人</w:t>
            </w:r>
          </w:p>
        </w:tc>
        <w:tc>
          <w:tcPr>
            <w:tcW w:w="3690" w:type="dxa"/>
            <w:vAlign w:val="center"/>
          </w:tcPr>
          <w:p w14:paraId="123C04D3">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开枪杀人</w:t>
            </w:r>
          </w:p>
        </w:tc>
      </w:tr>
      <w:tr w14:paraId="36C0A8E4">
        <w:trPr>
          <w:jc w:val="center"/>
        </w:trPr>
        <w:tc>
          <w:tcPr>
            <w:tcW w:w="1107" w:type="dxa"/>
            <w:vAlign w:val="center"/>
          </w:tcPr>
          <w:p w14:paraId="2D395155">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对象</w:t>
            </w:r>
          </w:p>
        </w:tc>
        <w:tc>
          <w:tcPr>
            <w:tcW w:w="3708" w:type="dxa"/>
            <w:vAlign w:val="center"/>
          </w:tcPr>
          <w:p w14:paraId="0AF1E274">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丙</w:t>
            </w:r>
          </w:p>
        </w:tc>
        <w:tc>
          <w:tcPr>
            <w:tcW w:w="3690" w:type="dxa"/>
            <w:vAlign w:val="center"/>
          </w:tcPr>
          <w:p w14:paraId="7C8934EF">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丙</w:t>
            </w:r>
          </w:p>
        </w:tc>
      </w:tr>
      <w:tr w14:paraId="7A61F0D6">
        <w:trPr>
          <w:jc w:val="center"/>
        </w:trPr>
        <w:tc>
          <w:tcPr>
            <w:tcW w:w="1107" w:type="dxa"/>
            <w:vAlign w:val="center"/>
          </w:tcPr>
          <w:p w14:paraId="181BF43E">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结果</w:t>
            </w:r>
          </w:p>
        </w:tc>
        <w:tc>
          <w:tcPr>
            <w:tcW w:w="3708" w:type="dxa"/>
            <w:vAlign w:val="center"/>
          </w:tcPr>
          <w:p w14:paraId="0375B7F5">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丙死亡</w:t>
            </w:r>
          </w:p>
        </w:tc>
        <w:tc>
          <w:tcPr>
            <w:tcW w:w="3690" w:type="dxa"/>
            <w:vAlign w:val="center"/>
          </w:tcPr>
          <w:p w14:paraId="561EE5C7">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丙死亡</w:t>
            </w:r>
          </w:p>
        </w:tc>
      </w:tr>
      <w:tr w14:paraId="0CF63165">
        <w:trPr>
          <w:jc w:val="center"/>
        </w:trPr>
        <w:tc>
          <w:tcPr>
            <w:tcW w:w="1107" w:type="dxa"/>
            <w:vAlign w:val="center"/>
          </w:tcPr>
          <w:p w14:paraId="1A613103">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因果关系</w:t>
            </w:r>
          </w:p>
        </w:tc>
        <w:tc>
          <w:tcPr>
            <w:tcW w:w="3708" w:type="dxa"/>
            <w:vAlign w:val="center"/>
          </w:tcPr>
          <w:p w14:paraId="1DA20FE4">
            <w:pPr>
              <w:spacing w:before="31" w:beforeLines="10" w:after="62" w:afterLines="20" w:line="280" w:lineRule="exact"/>
              <w:ind w:firstLine="0" w:firstLineChars="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因甲、乙对杀人行为是</w:t>
            </w:r>
            <w:r>
              <w:rPr>
                <w:rFonts w:hint="eastAsia" w:asciiTheme="minorEastAsia" w:hAnsiTheme="minorEastAsia" w:eastAsiaTheme="minorEastAsia" w:cstheme="minorEastAsia"/>
                <w:color w:val="FF0000"/>
                <w:kern w:val="0"/>
                <w:sz w:val="21"/>
                <w:szCs w:val="21"/>
              </w:rPr>
              <w:t>共同犯罪，两人均需对共同杀人导致的丙死亡结果负责</w:t>
            </w:r>
          </w:p>
        </w:tc>
        <w:tc>
          <w:tcPr>
            <w:tcW w:w="3690" w:type="dxa"/>
            <w:vAlign w:val="center"/>
          </w:tcPr>
          <w:p w14:paraId="6D486276">
            <w:pPr>
              <w:spacing w:before="31" w:beforeLines="10" w:after="62" w:afterLines="20" w:line="280" w:lineRule="exact"/>
              <w:ind w:firstLine="0" w:firstLineChars="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丙的死亡结果与甲的开枪行为没有因果关系，甲不对此负责</w:t>
            </w:r>
          </w:p>
        </w:tc>
      </w:tr>
      <w:tr w14:paraId="7CCEABFD">
        <w:trPr>
          <w:jc w:val="center"/>
        </w:trPr>
        <w:tc>
          <w:tcPr>
            <w:tcW w:w="1107" w:type="dxa"/>
            <w:vAlign w:val="center"/>
          </w:tcPr>
          <w:p w14:paraId="5BD1B227">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年龄</w:t>
            </w:r>
          </w:p>
        </w:tc>
        <w:tc>
          <w:tcPr>
            <w:tcW w:w="3708" w:type="dxa"/>
            <w:vAlign w:val="center"/>
          </w:tcPr>
          <w:p w14:paraId="16AC606E">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12岁以上</w:t>
            </w:r>
          </w:p>
        </w:tc>
        <w:tc>
          <w:tcPr>
            <w:tcW w:w="3690" w:type="dxa"/>
            <w:vAlign w:val="center"/>
          </w:tcPr>
          <w:p w14:paraId="6DFC22C4">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12岁以上</w:t>
            </w:r>
          </w:p>
        </w:tc>
      </w:tr>
      <w:tr w14:paraId="1E825772">
        <w:trPr>
          <w:jc w:val="center"/>
        </w:trPr>
        <w:tc>
          <w:tcPr>
            <w:tcW w:w="1107" w:type="dxa"/>
            <w:vAlign w:val="center"/>
          </w:tcPr>
          <w:p w14:paraId="1FA9139B">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精神</w:t>
            </w:r>
          </w:p>
        </w:tc>
        <w:tc>
          <w:tcPr>
            <w:tcW w:w="3708" w:type="dxa"/>
            <w:vAlign w:val="center"/>
          </w:tcPr>
          <w:p w14:paraId="3461DD2D">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精神正常</w:t>
            </w:r>
          </w:p>
        </w:tc>
        <w:tc>
          <w:tcPr>
            <w:tcW w:w="3690" w:type="dxa"/>
            <w:vAlign w:val="center"/>
          </w:tcPr>
          <w:p w14:paraId="296EE635">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精神正常</w:t>
            </w:r>
          </w:p>
        </w:tc>
      </w:tr>
      <w:tr w14:paraId="57C53153">
        <w:trPr>
          <w:jc w:val="center"/>
        </w:trPr>
        <w:tc>
          <w:tcPr>
            <w:tcW w:w="1107" w:type="dxa"/>
            <w:vAlign w:val="center"/>
          </w:tcPr>
          <w:p w14:paraId="0961823D">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罪过</w:t>
            </w:r>
          </w:p>
        </w:tc>
        <w:tc>
          <w:tcPr>
            <w:tcW w:w="3708" w:type="dxa"/>
            <w:vAlign w:val="center"/>
          </w:tcPr>
          <w:p w14:paraId="7CCE1F1F">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杀人故意</w:t>
            </w:r>
          </w:p>
        </w:tc>
        <w:tc>
          <w:tcPr>
            <w:tcW w:w="3690" w:type="dxa"/>
            <w:vAlign w:val="center"/>
          </w:tcPr>
          <w:p w14:paraId="0A8CD49D">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杀人故意</w:t>
            </w:r>
          </w:p>
        </w:tc>
      </w:tr>
      <w:tr w14:paraId="6FCEFBB4">
        <w:trPr>
          <w:jc w:val="center"/>
        </w:trPr>
        <w:tc>
          <w:tcPr>
            <w:tcW w:w="1107" w:type="dxa"/>
            <w:vAlign w:val="center"/>
          </w:tcPr>
          <w:p w14:paraId="43021006">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结论</w:t>
            </w:r>
          </w:p>
        </w:tc>
        <w:tc>
          <w:tcPr>
            <w:tcW w:w="3708" w:type="dxa"/>
            <w:vAlign w:val="center"/>
          </w:tcPr>
          <w:p w14:paraId="412D8BF9">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甲：故意杀人罪（既遂）</w:t>
            </w:r>
          </w:p>
        </w:tc>
        <w:tc>
          <w:tcPr>
            <w:tcW w:w="3690" w:type="dxa"/>
            <w:vAlign w:val="center"/>
          </w:tcPr>
          <w:p w14:paraId="0B5FA87A">
            <w:pPr>
              <w:spacing w:before="31" w:beforeLines="10" w:after="62" w:afterLines="20" w:line="280" w:lineRule="exact"/>
              <w:ind w:firstLine="0" w:firstLineChars="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甲：故意杀人罪（未遂）</w:t>
            </w:r>
          </w:p>
        </w:tc>
      </w:tr>
    </w:tbl>
    <w:p w14:paraId="4312540C">
      <w:pPr>
        <w:adjustRightInd w:val="0"/>
        <w:snapToGrid w:val="0"/>
        <w:spacing w:after="0"/>
        <w:ind w:firstLine="420"/>
        <w:rPr>
          <w:rFonts w:hint="eastAsia" w:asciiTheme="minorEastAsia" w:hAnsiTheme="minorEastAsia" w:eastAsiaTheme="minorEastAsia" w:cstheme="minorEastAsia"/>
          <w:sz w:val="21"/>
          <w:szCs w:val="21"/>
        </w:rPr>
      </w:pPr>
    </w:p>
    <w:p w14:paraId="312F1944">
      <w:pPr>
        <w:pStyle w:val="4"/>
        <w:spacing w:after="0"/>
        <w:rPr>
          <w:rFonts w:hint="eastAsia" w:asciiTheme="minorEastAsia" w:hAnsiTheme="minorEastAsia" w:eastAsiaTheme="minorEastAsia" w:cstheme="minorEastAsia"/>
          <w:b/>
          <w:bCs/>
          <w:color w:val="FF0000"/>
          <w:sz w:val="21"/>
          <w:szCs w:val="21"/>
        </w:rPr>
      </w:pPr>
      <w:r>
        <w:rPr>
          <w:rFonts w:hint="eastAsia" w:asciiTheme="minorEastAsia" w:hAnsiTheme="minorEastAsia" w:eastAsiaTheme="minorEastAsia" w:cstheme="minorEastAsia"/>
          <w:b/>
          <w:bCs/>
          <w:sz w:val="21"/>
          <w:szCs w:val="21"/>
        </w:rPr>
        <w:t>二、共同犯罪的基本含义：</w:t>
      </w:r>
      <w:r>
        <w:rPr>
          <w:rFonts w:hint="eastAsia" w:asciiTheme="minorEastAsia" w:hAnsiTheme="minorEastAsia" w:eastAsiaTheme="minorEastAsia" w:cstheme="minorEastAsia"/>
          <w:b/>
          <w:bCs/>
          <w:color w:val="FF0000"/>
          <w:sz w:val="21"/>
          <w:szCs w:val="21"/>
        </w:rPr>
        <w:t>共同不法行为（共用一个整体不法行为）</w:t>
      </w:r>
    </w:p>
    <w:p w14:paraId="66E7DAA0">
      <w:pPr>
        <w:spacing w:after="0"/>
        <w:ind w:firstLine="42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w:t>
      </w:r>
      <w:r>
        <w:rPr>
          <w:rFonts w:hint="eastAsia" w:asciiTheme="minorEastAsia" w:hAnsiTheme="minorEastAsia" w:eastAsiaTheme="minorEastAsia" w:cstheme="minorEastAsia"/>
          <w:color w:val="FF0000"/>
          <w:sz w:val="21"/>
          <w:szCs w:val="21"/>
        </w:rPr>
        <w:t>不法是共同的，责任是分别的</w:t>
      </w:r>
      <w:r>
        <w:rPr>
          <w:rFonts w:hint="eastAsia" w:asciiTheme="minorEastAsia" w:hAnsiTheme="minorEastAsia" w:eastAsiaTheme="minorEastAsia" w:cstheme="minorEastAsia"/>
          <w:kern w:val="0"/>
          <w:sz w:val="21"/>
          <w:szCs w:val="21"/>
        </w:rPr>
        <w:t>”。各参与人只是共同实施一个客观不法行为（实行行为），对此客观不法行为具有共同，具有共同故意，即是共同犯罪。而各共同犯罪人的责任（责任年龄、责任能力、故意、目的等）可以是不同的、分别的。</w:t>
      </w:r>
    </w:p>
    <w:p w14:paraId="67BB18D8">
      <w:pPr>
        <w:spacing w:after="0"/>
        <w:ind w:firstLine="420"/>
        <w:jc w:val="left"/>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kern w:val="0"/>
          <w:sz w:val="21"/>
          <w:szCs w:val="21"/>
        </w:rPr>
        <w:t>在对各共同犯罪人认定具体罪名时，才将共同不法行为与各自的责任结合起来。即</w:t>
      </w:r>
      <w:r>
        <w:rPr>
          <w:rFonts w:hint="eastAsia" w:asciiTheme="minorEastAsia" w:hAnsiTheme="minorEastAsia" w:eastAsiaTheme="minorEastAsia" w:cstheme="minorEastAsia"/>
          <w:color w:val="FF0000"/>
          <w:sz w:val="21"/>
          <w:szCs w:val="21"/>
        </w:rPr>
        <w:t>“共同不法+各自责任=各自罪名”。</w:t>
      </w:r>
    </w:p>
    <w:p w14:paraId="0FB505D1">
      <w:pPr>
        <w:spacing w:after="0"/>
        <w:ind w:firstLine="420"/>
        <w:jc w:val="left"/>
        <w:rPr>
          <w:rFonts w:hint="eastAsia" w:asciiTheme="minorEastAsia" w:hAnsiTheme="minorEastAsia" w:eastAsiaTheme="minorEastAsia" w:cstheme="minorEastAsia"/>
          <w:kern w:val="0"/>
          <w:sz w:val="21"/>
          <w:szCs w:val="21"/>
        </w:rPr>
      </w:pPr>
    </w:p>
    <w:p w14:paraId="2EACD342">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（一）共同犯罪中的“犯罪”：不法行为</w:t>
      </w:r>
    </w:p>
    <w:p w14:paraId="22C1E5F6">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FF0000"/>
          <w:kern w:val="0"/>
          <w:sz w:val="21"/>
          <w:szCs w:val="21"/>
        </w:rPr>
        <w:t>正犯实施了客观不法行为（犯罪行为），即符合犯罪客观方面、不具备正当化事由的违法行为，其他行为人对此不法行为有共同参与行为（共同实行、帮助、教唆），且共同犯罪人具有共同故意</w:t>
      </w:r>
      <w:r>
        <w:rPr>
          <w:rFonts w:hint="eastAsia" w:asciiTheme="minorEastAsia" w:hAnsiTheme="minorEastAsia" w:eastAsiaTheme="minorEastAsia" w:cstheme="minorEastAsia"/>
          <w:sz w:val="21"/>
          <w:szCs w:val="21"/>
        </w:rPr>
        <w:t>。至于各行为人是否都具有责任年龄、责任能力、是否具有完全相同的故意内容、目的要素，并不影响共同犯罪的成立。</w:t>
      </w:r>
    </w:p>
    <w:p w14:paraId="039FC67E">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1．共同“不法”即是共同犯罪</w:t>
      </w:r>
      <w:r>
        <w:rPr>
          <w:rFonts w:hint="eastAsia" w:asciiTheme="minorEastAsia" w:hAnsiTheme="minorEastAsia" w:eastAsiaTheme="minorEastAsia" w:cstheme="minorEastAsia"/>
          <w:sz w:val="21"/>
          <w:szCs w:val="21"/>
        </w:rPr>
        <w:t>，并不要求各行为人的责任要素（责任年龄、责任能力；故意、目的等）完全相同。</w:t>
      </w:r>
    </w:p>
    <w:p w14:paraId="69403163">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2．推论：并不要求各行为人最终宣判有罪，也不要求宣判的罪名相同。</w:t>
      </w:r>
    </w:p>
    <w:p w14:paraId="2C313E2D">
      <w:pPr>
        <w:adjustRightInd w:val="0"/>
        <w:snapToGrid w:val="0"/>
        <w:spacing w:after="0"/>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共同犯罪是不法层面的共同，只要求不法要素共同，而并不要求责任要素完全相同。</w:t>
      </w:r>
    </w:p>
    <w:p w14:paraId="24A89D5C">
      <w:pPr>
        <w:pStyle w:val="5"/>
        <w:spacing w:after="0"/>
        <w:ind w:firstLine="252" w:firstLineChars="1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（二）“共同”的范围：</w:t>
      </w:r>
      <w:r>
        <w:rPr>
          <w:rFonts w:hint="eastAsia" w:asciiTheme="minorEastAsia" w:hAnsiTheme="minorEastAsia" w:eastAsiaTheme="minorEastAsia" w:cstheme="minorEastAsia"/>
          <w:color w:val="FF0000"/>
          <w:sz w:val="21"/>
          <w:szCs w:val="21"/>
        </w:rPr>
        <w:t>“行为（不法行为、犯罪行为）共同说”</w:t>
      </w:r>
      <w:r>
        <w:rPr>
          <w:rFonts w:hint="eastAsia" w:asciiTheme="minorEastAsia" w:hAnsiTheme="minorEastAsia" w:eastAsiaTheme="minorEastAsia" w:cstheme="minorEastAsia"/>
          <w:sz w:val="21"/>
          <w:szCs w:val="21"/>
        </w:rPr>
        <w:t>。并不要求各行为人最终宣判罪名相同，只需实施共同不法行为，即在该行为（犯罪）范围内构成共同犯罪</w:t>
      </w:r>
    </w:p>
    <w:p w14:paraId="6987B05C">
      <w:pPr>
        <w:spacing w:after="0"/>
        <w:ind w:firstLine="42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“行为共同说”的观点（有的名义上采用“部分犯罪共同说”，实际也是“行为共同说”）。即认为：</w:t>
      </w:r>
      <w:r>
        <w:rPr>
          <w:rFonts w:hint="eastAsia" w:asciiTheme="minorEastAsia" w:hAnsiTheme="minorEastAsia" w:eastAsiaTheme="minorEastAsia" w:cstheme="minorEastAsia"/>
          <w:color w:val="FF0000"/>
          <w:kern w:val="0"/>
          <w:sz w:val="21"/>
          <w:szCs w:val="21"/>
        </w:rPr>
        <w:t>共同犯罪的成立，并不要求各行为人最终被宣判的罪名相同，也不要求责任、故意内容完全相同。只需各行为人共同实施了某一不法行为（犯罪行为），特定行为人对此不法行为具有共同故意，各行为即在此行为（犯罪）范围内构成共同犯罪</w:t>
      </w:r>
      <w:r>
        <w:rPr>
          <w:rFonts w:hint="eastAsia" w:asciiTheme="minorEastAsia" w:hAnsiTheme="minorEastAsia" w:eastAsiaTheme="minorEastAsia" w:cstheme="minorEastAsia"/>
          <w:kern w:val="0"/>
          <w:sz w:val="21"/>
          <w:szCs w:val="21"/>
        </w:rPr>
        <w:t>。</w:t>
      </w:r>
    </w:p>
    <w:p w14:paraId="73C53996">
      <w:pPr>
        <w:spacing w:after="0"/>
        <w:ind w:firstLine="42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当各个行为人实施了性质不同的构成要件行为（可能最终宣判不同罪名），如这些行为之间存在部分重合，行为人对重合部分的犯罪行为具有共同行为、共同故意，就可认为在该重合行为范围内成立共同犯罪。</w:t>
      </w:r>
    </w:p>
    <w:p w14:paraId="75F82D32">
      <w:pPr>
        <w:spacing w:after="0"/>
        <w:ind w:firstLine="42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rPr>
        <w:t>在数个实行行为“公因数”的范围内成立共同犯罪。</w:t>
      </w:r>
    </w:p>
    <w:p w14:paraId="4CEAD75E">
      <w:pPr>
        <w:spacing w:after="0"/>
        <w:ind w:firstLine="420"/>
        <w:jc w:val="left"/>
        <w:rPr>
          <w:rFonts w:hint="eastAsia" w:asciiTheme="minorEastAsia" w:hAnsiTheme="minorEastAsia" w:eastAsiaTheme="minorEastAsia" w:cstheme="minorEastAsia"/>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495"/>
        <w:gridCol w:w="3121"/>
        <w:gridCol w:w="2889"/>
      </w:tblGrid>
      <w:tr w14:paraId="56C144A4">
        <w:trPr>
          <w:jc w:val="center"/>
        </w:trPr>
        <w:tc>
          <w:tcPr>
            <w:tcW w:w="2495" w:type="dxa"/>
            <w:vAlign w:val="center"/>
          </w:tcPr>
          <w:p w14:paraId="685502E5">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情形</w:t>
            </w:r>
          </w:p>
        </w:tc>
        <w:tc>
          <w:tcPr>
            <w:tcW w:w="3121" w:type="dxa"/>
            <w:vAlign w:val="center"/>
          </w:tcPr>
          <w:p w14:paraId="205CEB8D">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各行为（罪名）之间关系</w:t>
            </w:r>
          </w:p>
        </w:tc>
        <w:tc>
          <w:tcPr>
            <w:tcW w:w="2889" w:type="dxa"/>
            <w:vAlign w:val="center"/>
          </w:tcPr>
          <w:p w14:paraId="27C54A54">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共同行为（公因数）范围</w:t>
            </w:r>
          </w:p>
        </w:tc>
      </w:tr>
      <w:tr w14:paraId="00313378">
        <w:trPr>
          <w:jc w:val="center"/>
        </w:trPr>
        <w:tc>
          <w:tcPr>
            <w:tcW w:w="2495" w:type="dxa"/>
            <w:vMerge w:val="restart"/>
            <w:vAlign w:val="center"/>
          </w:tcPr>
          <w:p w14:paraId="4F733665">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法条竞合罪名（行为）之间</w:t>
            </w:r>
          </w:p>
        </w:tc>
        <w:tc>
          <w:tcPr>
            <w:tcW w:w="3121" w:type="dxa"/>
            <w:vAlign w:val="center"/>
          </w:tcPr>
          <w:p w14:paraId="11FAB356">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高度行为与低度行为之间</w:t>
            </w:r>
          </w:p>
        </w:tc>
        <w:tc>
          <w:tcPr>
            <w:tcW w:w="2889" w:type="dxa"/>
            <w:vAlign w:val="center"/>
          </w:tcPr>
          <w:p w14:paraId="59BE9A45">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低度行为</w:t>
            </w:r>
          </w:p>
        </w:tc>
      </w:tr>
      <w:tr w14:paraId="597EF9D2">
        <w:trPr>
          <w:jc w:val="center"/>
        </w:trPr>
        <w:tc>
          <w:tcPr>
            <w:tcW w:w="2495" w:type="dxa"/>
            <w:vMerge w:val="continue"/>
            <w:vAlign w:val="center"/>
          </w:tcPr>
          <w:p w14:paraId="7A90335E">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p>
        </w:tc>
        <w:tc>
          <w:tcPr>
            <w:tcW w:w="3121" w:type="dxa"/>
            <w:vAlign w:val="center"/>
          </w:tcPr>
          <w:p w14:paraId="090FA6DF">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整体法行为与部分法行为</w:t>
            </w:r>
          </w:p>
        </w:tc>
        <w:tc>
          <w:tcPr>
            <w:tcW w:w="2889" w:type="dxa"/>
            <w:vAlign w:val="center"/>
          </w:tcPr>
          <w:p w14:paraId="38817554">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部分法行为</w:t>
            </w:r>
          </w:p>
        </w:tc>
      </w:tr>
      <w:tr w14:paraId="11F7C76F">
        <w:trPr>
          <w:jc w:val="center"/>
        </w:trPr>
        <w:tc>
          <w:tcPr>
            <w:tcW w:w="2495" w:type="dxa"/>
            <w:vMerge w:val="continue"/>
            <w:vAlign w:val="center"/>
          </w:tcPr>
          <w:p w14:paraId="7742D31D">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p>
        </w:tc>
        <w:tc>
          <w:tcPr>
            <w:tcW w:w="3121" w:type="dxa"/>
            <w:vAlign w:val="center"/>
          </w:tcPr>
          <w:p w14:paraId="59A9F9F7">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一般法行为与特别法行为</w:t>
            </w:r>
          </w:p>
        </w:tc>
        <w:tc>
          <w:tcPr>
            <w:tcW w:w="2889" w:type="dxa"/>
            <w:vAlign w:val="center"/>
          </w:tcPr>
          <w:p w14:paraId="68E77170">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一般法行为</w:t>
            </w:r>
          </w:p>
        </w:tc>
      </w:tr>
      <w:tr w14:paraId="11F64BA0">
        <w:trPr>
          <w:jc w:val="center"/>
        </w:trPr>
        <w:tc>
          <w:tcPr>
            <w:tcW w:w="2495" w:type="dxa"/>
            <w:vAlign w:val="center"/>
          </w:tcPr>
          <w:p w14:paraId="69AA9675">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想象竞合行为</w:t>
            </w:r>
          </w:p>
        </w:tc>
        <w:tc>
          <w:tcPr>
            <w:tcW w:w="3121" w:type="dxa"/>
            <w:vAlign w:val="center"/>
          </w:tcPr>
          <w:p w14:paraId="505AFBFE">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A罪行为、B罪行为；A罪行为</w:t>
            </w:r>
          </w:p>
        </w:tc>
        <w:tc>
          <w:tcPr>
            <w:tcW w:w="2889" w:type="dxa"/>
            <w:vAlign w:val="center"/>
          </w:tcPr>
          <w:p w14:paraId="4D8211EB">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共同行为</w:t>
            </w:r>
            <w:r>
              <w:rPr>
                <w:rFonts w:hint="eastAsia" w:asciiTheme="minorEastAsia" w:hAnsiTheme="minorEastAsia" w:eastAsiaTheme="minorEastAsia" w:cstheme="minorEastAsia"/>
                <w:bCs/>
                <w:sz w:val="21"/>
                <w:szCs w:val="21"/>
              </w:rPr>
              <w:t>（A罪行为）</w:t>
            </w:r>
          </w:p>
        </w:tc>
      </w:tr>
      <w:tr w14:paraId="719B69D5">
        <w:trPr>
          <w:jc w:val="center"/>
        </w:trPr>
        <w:tc>
          <w:tcPr>
            <w:tcW w:w="2495" w:type="dxa"/>
            <w:vAlign w:val="center"/>
          </w:tcPr>
          <w:p w14:paraId="30BFF824">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转化犯行为</w:t>
            </w:r>
          </w:p>
        </w:tc>
        <w:tc>
          <w:tcPr>
            <w:tcW w:w="3121" w:type="dxa"/>
            <w:vAlign w:val="center"/>
          </w:tcPr>
          <w:p w14:paraId="4F9F4DB3">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非法拘禁行为；非法拘禁使用暴力故意致死（故意杀人）</w:t>
            </w:r>
          </w:p>
        </w:tc>
        <w:tc>
          <w:tcPr>
            <w:tcW w:w="2889" w:type="dxa"/>
            <w:vAlign w:val="center"/>
          </w:tcPr>
          <w:p w14:paraId="2D74B6F4">
            <w:pPr>
              <w:adjustRightInd w:val="0"/>
              <w:snapToGrid w:val="0"/>
              <w:spacing w:before="31" w:beforeLines="10" w:after="62" w:afterLines="20" w:line="28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非法拘禁行为</w:t>
            </w:r>
          </w:p>
        </w:tc>
      </w:tr>
      <w:tr w14:paraId="20696BF6">
        <w:trPr>
          <w:jc w:val="center"/>
        </w:trPr>
        <w:tc>
          <w:tcPr>
            <w:tcW w:w="2495" w:type="dxa"/>
            <w:vAlign w:val="center"/>
          </w:tcPr>
          <w:p w14:paraId="7237FD3F">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两罪名行为重叠于另一不法行为</w:t>
            </w:r>
          </w:p>
        </w:tc>
        <w:tc>
          <w:tcPr>
            <w:tcW w:w="3121" w:type="dxa"/>
            <w:vAlign w:val="center"/>
          </w:tcPr>
          <w:p w14:paraId="68FB573D">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强奸罪行为与抢劫罪行为；绑架罪行为与抢劫罪行为</w:t>
            </w:r>
          </w:p>
        </w:tc>
        <w:tc>
          <w:tcPr>
            <w:tcW w:w="2889" w:type="dxa"/>
            <w:vAlign w:val="center"/>
          </w:tcPr>
          <w:p w14:paraId="0D4EBB05">
            <w:pPr>
              <w:adjustRightInd w:val="0"/>
              <w:snapToGrid w:val="0"/>
              <w:spacing w:before="31" w:beforeLines="10" w:after="62" w:afterLines="20" w:line="28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暴力行为（或伤害行为）；非法拘禁</w:t>
            </w:r>
          </w:p>
        </w:tc>
      </w:tr>
    </w:tbl>
    <w:p w14:paraId="5EA82A7F">
      <w:pPr>
        <w:ind w:left="0" w:leftChars="0" w:firstLine="0" w:firstLineChars="0"/>
        <w:rPr>
          <w:rFonts w:hint="eastAsia" w:asciiTheme="minorEastAsia" w:hAnsiTheme="minorEastAsia" w:eastAsiaTheme="minorEastAsia" w:cstheme="minorEastAsia"/>
          <w:sz w:val="21"/>
          <w:szCs w:val="21"/>
        </w:rPr>
      </w:pPr>
    </w:p>
    <w:p w14:paraId="31777EEE">
      <w:pPr>
        <w:pStyle w:val="4"/>
        <w:spacing w:after="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第二节  共同犯罪的成立条件</w:t>
      </w:r>
    </w:p>
    <w:p w14:paraId="29E4DDCC">
      <w:pPr>
        <w:spacing w:after="0"/>
        <w:ind w:firstLine="420"/>
        <w:jc w:val="left"/>
        <w:rPr>
          <w:rFonts w:hint="eastAsia" w:asciiTheme="minorEastAsia" w:hAnsiTheme="minorEastAsia" w:eastAsiaTheme="minorEastAsia" w:cstheme="minorEastAsia"/>
          <w:kern w:val="0"/>
          <w:sz w:val="21"/>
          <w:szCs w:val="21"/>
        </w:rPr>
      </w:pPr>
    </w:p>
    <w:p w14:paraId="18C77311">
      <w:pPr>
        <w:pStyle w:val="4"/>
        <w:spacing w:after="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一、共同犯罪的成立条件：二人以上，共同行为、共同故意，终了前加入</w:t>
      </w:r>
    </w:p>
    <w:p w14:paraId="1B9CCD4E">
      <w:pPr>
        <w:spacing w:after="0"/>
        <w:ind w:firstLine="420"/>
        <w:jc w:val="left"/>
        <w:rPr>
          <w:rFonts w:hint="eastAsia" w:ascii="汉仪书宋二简" w:hAnsi="汉仪书宋二简" w:cs="汉仪书宋二简"/>
          <w:kern w:val="0"/>
        </w:rPr>
      </w:pPr>
    </w:p>
    <w:tbl>
      <w:tblPr>
        <w:tblStyle w:val="8"/>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302"/>
        <w:gridCol w:w="3196"/>
        <w:gridCol w:w="4007"/>
      </w:tblGrid>
      <w:tr w14:paraId="6E486035">
        <w:trPr>
          <w:jc w:val="center"/>
        </w:trPr>
        <w:tc>
          <w:tcPr>
            <w:tcW w:w="1302" w:type="dxa"/>
            <w:vAlign w:val="center"/>
          </w:tcPr>
          <w:p w14:paraId="1D6E715E">
            <w:pPr>
              <w:snapToGrid w:val="0"/>
              <w:spacing w:before="31" w:beforeLines="10" w:after="62" w:afterLines="20" w:line="280" w:lineRule="exact"/>
              <w:ind w:firstLine="0" w:firstLineChars="0"/>
              <w:jc w:val="center"/>
              <w:rPr>
                <w:rFonts w:hint="eastAsia" w:ascii="汉仪中黑简" w:eastAsia="汉仪中黑简"/>
                <w:sz w:val="20"/>
                <w:szCs w:val="20"/>
              </w:rPr>
            </w:pPr>
            <w:r>
              <w:rPr>
                <w:rFonts w:hint="eastAsia" w:ascii="汉仪中黑简" w:eastAsia="汉仪中黑简"/>
                <w:sz w:val="20"/>
                <w:szCs w:val="20"/>
              </w:rPr>
              <w:t>二人以上</w:t>
            </w:r>
          </w:p>
        </w:tc>
        <w:tc>
          <w:tcPr>
            <w:tcW w:w="3196" w:type="dxa"/>
            <w:vAlign w:val="center"/>
          </w:tcPr>
          <w:p w14:paraId="192FCF65">
            <w:pPr>
              <w:snapToGrid w:val="0"/>
              <w:spacing w:before="31" w:beforeLines="10" w:after="62" w:afterLines="20" w:line="280" w:lineRule="exact"/>
              <w:ind w:firstLine="0" w:firstLineChars="0"/>
              <w:jc w:val="center"/>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自然人，单位</w:t>
            </w:r>
          </w:p>
        </w:tc>
        <w:tc>
          <w:tcPr>
            <w:tcW w:w="4007" w:type="dxa"/>
            <w:vAlign w:val="center"/>
          </w:tcPr>
          <w:p w14:paraId="192AF8DE">
            <w:pPr>
              <w:snapToGrid w:val="0"/>
              <w:spacing w:before="31" w:beforeLines="10" w:after="62" w:afterLines="20" w:line="280" w:lineRule="exact"/>
              <w:ind w:firstLine="0" w:firstLineChars="0"/>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达到“不法”年龄，具有规范认识能力即可</w:t>
            </w:r>
          </w:p>
        </w:tc>
      </w:tr>
      <w:tr w14:paraId="4B120FF7">
        <w:trPr>
          <w:jc w:val="center"/>
        </w:trPr>
        <w:tc>
          <w:tcPr>
            <w:tcW w:w="1302" w:type="dxa"/>
            <w:vAlign w:val="center"/>
          </w:tcPr>
          <w:p w14:paraId="7D12766C">
            <w:pPr>
              <w:snapToGrid w:val="0"/>
              <w:spacing w:before="31" w:beforeLines="10" w:after="62" w:afterLines="20" w:line="280" w:lineRule="exact"/>
              <w:ind w:firstLine="0" w:firstLineChars="0"/>
              <w:jc w:val="center"/>
              <w:rPr>
                <w:rFonts w:hint="eastAsia" w:ascii="汉仪中黑简" w:eastAsia="汉仪中黑简"/>
                <w:sz w:val="20"/>
                <w:szCs w:val="20"/>
              </w:rPr>
            </w:pPr>
            <w:r>
              <w:rPr>
                <w:rFonts w:hint="eastAsia" w:ascii="汉仪中黑简" w:eastAsia="汉仪中黑简"/>
                <w:sz w:val="20"/>
                <w:szCs w:val="20"/>
              </w:rPr>
              <w:t>共同行为</w:t>
            </w:r>
          </w:p>
        </w:tc>
        <w:tc>
          <w:tcPr>
            <w:tcW w:w="3196" w:type="dxa"/>
            <w:vAlign w:val="center"/>
          </w:tcPr>
          <w:p w14:paraId="35D2A749">
            <w:pPr>
              <w:snapToGrid w:val="0"/>
              <w:spacing w:before="31" w:beforeLines="10" w:after="62" w:afterLines="20" w:line="280" w:lineRule="exact"/>
              <w:ind w:firstLine="0" w:firstLineChars="0"/>
              <w:jc w:val="center"/>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实行；教唆、帮助，共谋；组织</w:t>
            </w:r>
          </w:p>
        </w:tc>
        <w:tc>
          <w:tcPr>
            <w:tcW w:w="4007" w:type="dxa"/>
            <w:vAlign w:val="center"/>
          </w:tcPr>
          <w:p w14:paraId="59B5CC40">
            <w:pPr>
              <w:snapToGrid w:val="0"/>
              <w:spacing w:before="31" w:beforeLines="10" w:after="62" w:afterLines="20" w:line="280" w:lineRule="exact"/>
              <w:ind w:firstLine="0" w:firstLineChars="0"/>
              <w:jc w:val="center"/>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共同正犯；教唆犯、帮助犯</w:t>
            </w:r>
          </w:p>
        </w:tc>
      </w:tr>
      <w:tr w14:paraId="3A9E85EF">
        <w:trPr>
          <w:jc w:val="center"/>
        </w:trPr>
        <w:tc>
          <w:tcPr>
            <w:tcW w:w="1302" w:type="dxa"/>
            <w:vMerge w:val="restart"/>
            <w:vAlign w:val="center"/>
          </w:tcPr>
          <w:p w14:paraId="06929735">
            <w:pPr>
              <w:snapToGrid w:val="0"/>
              <w:spacing w:before="31" w:beforeLines="10" w:after="62" w:afterLines="20" w:line="280" w:lineRule="exact"/>
              <w:ind w:firstLine="0" w:firstLineChars="0"/>
              <w:jc w:val="center"/>
              <w:rPr>
                <w:rFonts w:hint="eastAsia" w:ascii="汉仪中黑简" w:eastAsia="汉仪中黑简"/>
                <w:sz w:val="20"/>
                <w:szCs w:val="20"/>
              </w:rPr>
            </w:pPr>
            <w:r>
              <w:rPr>
                <w:rFonts w:hint="eastAsia" w:ascii="汉仪中黑简" w:eastAsia="汉仪中黑简"/>
                <w:sz w:val="20"/>
                <w:szCs w:val="20"/>
              </w:rPr>
              <w:t>共同故意</w:t>
            </w:r>
          </w:p>
        </w:tc>
        <w:tc>
          <w:tcPr>
            <w:tcW w:w="3196" w:type="dxa"/>
            <w:vAlign w:val="center"/>
          </w:tcPr>
          <w:p w14:paraId="7A3B6A51">
            <w:pPr>
              <w:snapToGrid w:val="0"/>
              <w:spacing w:before="31" w:beforeLines="10" w:after="62" w:afterLines="20" w:line="280" w:lineRule="exact"/>
              <w:ind w:firstLine="0" w:firstLineChars="0"/>
              <w:jc w:val="center"/>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双向意思联络</w:t>
            </w:r>
          </w:p>
        </w:tc>
        <w:tc>
          <w:tcPr>
            <w:tcW w:w="4007" w:type="dxa"/>
            <w:vMerge w:val="restart"/>
            <w:vAlign w:val="center"/>
          </w:tcPr>
          <w:p w14:paraId="7D27F87D">
            <w:pPr>
              <w:snapToGrid w:val="0"/>
              <w:spacing w:before="31" w:beforeLines="10" w:after="62" w:afterLines="20" w:line="280" w:lineRule="exact"/>
              <w:ind w:firstLine="0" w:firstLineChars="0"/>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明知实行行为、危害结果、共同关联</w:t>
            </w:r>
            <w:r>
              <w:rPr>
                <w:rFonts w:hint="eastAsia" w:ascii="汉仪书宋一简" w:eastAsia="汉仪书宋一简"/>
                <w:sz w:val="20"/>
                <w:szCs w:val="20"/>
              </w:rPr>
              <w:t>（</w:t>
            </w:r>
            <w:r>
              <w:rPr>
                <w:rFonts w:hint="eastAsia" w:ascii="汉仪中黑简" w:eastAsia="汉仪中黑简"/>
                <w:sz w:val="20"/>
                <w:szCs w:val="20"/>
              </w:rPr>
              <w:t>共同故意：</w:t>
            </w:r>
            <w:r>
              <w:rPr>
                <w:rFonts w:hint="eastAsia" w:ascii="汉仪书宋一简" w:eastAsia="汉仪书宋一简" w:hAnsiTheme="minorEastAsia"/>
                <w:sz w:val="20"/>
                <w:szCs w:val="20"/>
              </w:rPr>
              <w:t>我有故意，我认为你也有故意，我想和你一起犯罪）</w:t>
            </w:r>
          </w:p>
        </w:tc>
      </w:tr>
      <w:tr w14:paraId="5AFF6F8F">
        <w:trPr>
          <w:trHeight w:val="70" w:hRule="atLeast"/>
          <w:jc w:val="center"/>
        </w:trPr>
        <w:tc>
          <w:tcPr>
            <w:tcW w:w="1302" w:type="dxa"/>
            <w:vMerge w:val="continue"/>
            <w:vAlign w:val="center"/>
          </w:tcPr>
          <w:p w14:paraId="63BF1237">
            <w:pPr>
              <w:snapToGrid w:val="0"/>
              <w:spacing w:before="31" w:beforeLines="10" w:after="62" w:afterLines="20" w:line="280" w:lineRule="exact"/>
              <w:ind w:firstLine="0" w:firstLineChars="0"/>
              <w:jc w:val="center"/>
              <w:rPr>
                <w:rFonts w:hint="eastAsia" w:ascii="汉仪中黑简" w:eastAsia="汉仪中黑简"/>
                <w:sz w:val="20"/>
                <w:szCs w:val="20"/>
              </w:rPr>
            </w:pPr>
          </w:p>
        </w:tc>
        <w:tc>
          <w:tcPr>
            <w:tcW w:w="3196" w:type="dxa"/>
            <w:vAlign w:val="center"/>
          </w:tcPr>
          <w:p w14:paraId="41104D48">
            <w:pPr>
              <w:snapToGrid w:val="0"/>
              <w:spacing w:before="31" w:beforeLines="10" w:after="62" w:afterLines="20" w:line="280" w:lineRule="exact"/>
              <w:ind w:firstLine="0" w:firstLineChars="0"/>
              <w:jc w:val="center"/>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单向意思联络（片面共犯）</w:t>
            </w:r>
          </w:p>
        </w:tc>
        <w:tc>
          <w:tcPr>
            <w:tcW w:w="4007" w:type="dxa"/>
            <w:vMerge w:val="continue"/>
            <w:vAlign w:val="center"/>
          </w:tcPr>
          <w:p w14:paraId="4C025BDF">
            <w:pPr>
              <w:snapToGrid w:val="0"/>
              <w:spacing w:before="31" w:beforeLines="10" w:after="62" w:afterLines="20" w:line="280" w:lineRule="exact"/>
              <w:ind w:firstLine="0" w:firstLineChars="0"/>
              <w:rPr>
                <w:rFonts w:ascii="汉仪书宋一简" w:hAnsi="Times New Roman" w:eastAsia="汉仪书宋一简" w:cs="Times New Roman"/>
                <w:sz w:val="20"/>
                <w:szCs w:val="20"/>
              </w:rPr>
            </w:pPr>
          </w:p>
        </w:tc>
      </w:tr>
      <w:tr w14:paraId="0EBD7D57">
        <w:trPr>
          <w:jc w:val="center"/>
        </w:trPr>
        <w:tc>
          <w:tcPr>
            <w:tcW w:w="1302" w:type="dxa"/>
            <w:vAlign w:val="center"/>
          </w:tcPr>
          <w:p w14:paraId="7B7C1C91">
            <w:pPr>
              <w:snapToGrid w:val="0"/>
              <w:spacing w:before="31" w:beforeLines="10" w:after="62" w:afterLines="20" w:line="280" w:lineRule="exact"/>
              <w:ind w:firstLine="0" w:firstLineChars="0"/>
              <w:jc w:val="center"/>
              <w:rPr>
                <w:rFonts w:hint="eastAsia" w:ascii="汉仪中黑简" w:eastAsia="汉仪中黑简"/>
                <w:sz w:val="20"/>
                <w:szCs w:val="20"/>
              </w:rPr>
            </w:pPr>
            <w:r>
              <w:rPr>
                <w:rFonts w:hint="eastAsia" w:ascii="汉仪中黑简" w:eastAsia="汉仪中黑简"/>
                <w:sz w:val="20"/>
                <w:szCs w:val="20"/>
              </w:rPr>
              <w:t>终了之前</w:t>
            </w:r>
          </w:p>
        </w:tc>
        <w:tc>
          <w:tcPr>
            <w:tcW w:w="3196" w:type="dxa"/>
            <w:vAlign w:val="center"/>
          </w:tcPr>
          <w:p w14:paraId="49305A6F">
            <w:pPr>
              <w:snapToGrid w:val="0"/>
              <w:spacing w:before="31" w:beforeLines="10" w:after="62" w:afterLines="20" w:line="280" w:lineRule="exact"/>
              <w:ind w:firstLine="0" w:firstLineChars="0"/>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后行为人在前行为人</w:t>
            </w:r>
            <w:r>
              <w:rPr>
                <w:rFonts w:hint="eastAsia" w:ascii="汉仪中黑简" w:eastAsia="汉仪中黑简"/>
                <w:sz w:val="20"/>
                <w:szCs w:val="20"/>
              </w:rPr>
              <w:t>行为终了</w:t>
            </w:r>
            <w:r>
              <w:rPr>
                <w:rFonts w:hint="eastAsia" w:ascii="汉仪书宋一简" w:hAnsi="Times New Roman" w:eastAsia="汉仪书宋一简" w:cs="Times New Roman"/>
                <w:sz w:val="20"/>
                <w:szCs w:val="20"/>
              </w:rPr>
              <w:t>之前加入</w:t>
            </w:r>
          </w:p>
        </w:tc>
        <w:tc>
          <w:tcPr>
            <w:tcW w:w="4007" w:type="dxa"/>
            <w:vAlign w:val="center"/>
          </w:tcPr>
          <w:p w14:paraId="22CCC5F5">
            <w:pPr>
              <w:snapToGrid w:val="0"/>
              <w:spacing w:before="31" w:beforeLines="10" w:after="62" w:afterLines="20" w:line="280" w:lineRule="exact"/>
              <w:ind w:firstLine="0" w:firstLineChars="0"/>
              <w:rPr>
                <w:rFonts w:ascii="汉仪书宋一简" w:hAnsi="Times New Roman" w:eastAsia="汉仪书宋一简" w:cs="Times New Roman"/>
                <w:sz w:val="20"/>
                <w:szCs w:val="20"/>
              </w:rPr>
            </w:pPr>
            <w:r>
              <w:rPr>
                <w:rFonts w:hint="eastAsia" w:ascii="汉仪书宋一简" w:hAnsi="Times New Roman" w:eastAsia="汉仪书宋一简" w:cs="Times New Roman"/>
                <w:sz w:val="20"/>
                <w:szCs w:val="20"/>
              </w:rPr>
              <w:t>即成犯、状态犯既遂之前；继续犯继续行为结束前；复行为犯数行为实施完毕前</w:t>
            </w:r>
          </w:p>
        </w:tc>
      </w:tr>
    </w:tbl>
    <w:p w14:paraId="52036DA1">
      <w:pPr>
        <w:spacing w:after="0"/>
        <w:ind w:firstLine="420"/>
        <w:jc w:val="left"/>
        <w:rPr>
          <w:rFonts w:hint="eastAsia" w:ascii="汉仪书宋二简" w:hAnsi="汉仪书宋二简" w:cs="汉仪书宋二简"/>
          <w:kern w:val="0"/>
        </w:rPr>
      </w:pPr>
    </w:p>
    <w:p w14:paraId="709B6BA1">
      <w:pPr>
        <w:ind w:left="0" w:leftChars="0" w:firstLine="0" w:firstLineChars="0"/>
        <w:rPr>
          <w:rFonts w:hint="eastAsia" w:asciiTheme="minorEastAsia" w:hAnsiTheme="minorEastAsia" w:eastAsiaTheme="minorEastAsia" w:cstheme="minorEastAsia"/>
          <w:kern w:val="0"/>
          <w:sz w:val="21"/>
          <w:szCs w:val="21"/>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0000000000000000000"/>
    <w:charset w:val="86"/>
    <w:family w:val="auto"/>
    <w:pitch w:val="default"/>
    <w:sig w:usb0="8000002F" w:usb1="0800004A" w:usb2="00000000" w:usb3="00000000" w:csb0="203E0000" w:csb1="00000000"/>
  </w:font>
  <w:font w:name="汉仪书宋二简">
    <w:altName w:val="华文宋体"/>
    <w:panose1 w:val="02010609000101010101"/>
    <w:charset w:val="86"/>
    <w:family w:val="modern"/>
    <w:pitch w:val="default"/>
    <w:sig w:usb0="00000000" w:usb1="00000000" w:usb2="00000012" w:usb3="00000000" w:csb0="00040000" w:csb1="00000000"/>
  </w:font>
  <w:font w:name="华文宋体">
    <w:panose1 w:val="02010600040101010101"/>
    <w:charset w:val="86"/>
    <w:family w:val="auto"/>
    <w:pitch w:val="default"/>
    <w:sig w:usb0="80000287" w:usb1="280F3C52" w:usb2="00000016" w:usb3="00000000" w:csb0="0004001F" w:csb1="00000000"/>
  </w:font>
  <w:font w:name="汉仪大宋简">
    <w:altName w:val="汉仪书宋二KW"/>
    <w:panose1 w:val="02010609000101010101"/>
    <w:charset w:val="86"/>
    <w:family w:val="modern"/>
    <w:pitch w:val="default"/>
    <w:sig w:usb0="00000000" w:usb1="00000000" w:usb2="00000012" w:usb3="00000000" w:csb0="00040000" w:csb1="00000000"/>
  </w:font>
  <w:font w:name="Calibri Light">
    <w:altName w:val="Helvetica Neue"/>
    <w:panose1 w:val="00000000000000000000"/>
    <w:charset w:val="00"/>
    <w:family w:val="auto"/>
    <w:pitch w:val="default"/>
    <w:sig w:usb0="00000000" w:usb1="00000000" w:usb2="00000000" w:usb3="00000000" w:csb0="00000000" w:csb1="00000000"/>
  </w:font>
  <w:font w:name="汉仪大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汉仪中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 w:name="汉仪书宋一简">
    <w:altName w:val="华文宋体"/>
    <w:panose1 w:val="02010609000101010101"/>
    <w:charset w:val="86"/>
    <w:family w:val="modern"/>
    <w:pitch w:val="default"/>
    <w:sig w:usb0="00000000" w:usb1="00000000" w:usb2="0000001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1B73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02E501">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802E501">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97423B"/>
    <w:rsid w:val="0AFF0C47"/>
    <w:rsid w:val="19C80D5C"/>
    <w:rsid w:val="1F171C2A"/>
    <w:rsid w:val="1FFFF576"/>
    <w:rsid w:val="27F98E9A"/>
    <w:rsid w:val="2F7D31DF"/>
    <w:rsid w:val="32CFEA6B"/>
    <w:rsid w:val="36DB3A38"/>
    <w:rsid w:val="3AADE551"/>
    <w:rsid w:val="3AAE8209"/>
    <w:rsid w:val="3B5316BA"/>
    <w:rsid w:val="3BAF22F9"/>
    <w:rsid w:val="3CD67B9F"/>
    <w:rsid w:val="3E8B307C"/>
    <w:rsid w:val="3F5A4BCF"/>
    <w:rsid w:val="3F5D6D17"/>
    <w:rsid w:val="47BE39BB"/>
    <w:rsid w:val="4BBF1D6A"/>
    <w:rsid w:val="4BFF641B"/>
    <w:rsid w:val="573D33A0"/>
    <w:rsid w:val="576FFAD3"/>
    <w:rsid w:val="599EAF3F"/>
    <w:rsid w:val="5E3DA0EC"/>
    <w:rsid w:val="5F17C656"/>
    <w:rsid w:val="5FBB72F1"/>
    <w:rsid w:val="5FDF2726"/>
    <w:rsid w:val="67FD890A"/>
    <w:rsid w:val="69DF79D3"/>
    <w:rsid w:val="6BFF1D01"/>
    <w:rsid w:val="6CE62B74"/>
    <w:rsid w:val="6CEE16C2"/>
    <w:rsid w:val="6EB43B1E"/>
    <w:rsid w:val="6EE5BFC0"/>
    <w:rsid w:val="6FBE666C"/>
    <w:rsid w:val="73D65248"/>
    <w:rsid w:val="75DF4BF3"/>
    <w:rsid w:val="75EF6645"/>
    <w:rsid w:val="777E3A3C"/>
    <w:rsid w:val="77BBC1E7"/>
    <w:rsid w:val="77CFA4F7"/>
    <w:rsid w:val="77F38FF8"/>
    <w:rsid w:val="77FC4C6F"/>
    <w:rsid w:val="794FE5E2"/>
    <w:rsid w:val="79F69F8E"/>
    <w:rsid w:val="79FDC846"/>
    <w:rsid w:val="7BDD9881"/>
    <w:rsid w:val="7BEBE777"/>
    <w:rsid w:val="7BFB41AB"/>
    <w:rsid w:val="7BFD2223"/>
    <w:rsid w:val="7BFF10E4"/>
    <w:rsid w:val="7DEBDECF"/>
    <w:rsid w:val="7E5F0BD2"/>
    <w:rsid w:val="7E7E1107"/>
    <w:rsid w:val="7EBB4A55"/>
    <w:rsid w:val="7EEF710E"/>
    <w:rsid w:val="7F5BDD1C"/>
    <w:rsid w:val="7F7D1B22"/>
    <w:rsid w:val="7F97423B"/>
    <w:rsid w:val="7FD39386"/>
    <w:rsid w:val="7FEA3512"/>
    <w:rsid w:val="7FF54829"/>
    <w:rsid w:val="7FF766ED"/>
    <w:rsid w:val="7FF93017"/>
    <w:rsid w:val="7FFEE1EF"/>
    <w:rsid w:val="7FFF6A10"/>
    <w:rsid w:val="93FD1333"/>
    <w:rsid w:val="94EF9DCB"/>
    <w:rsid w:val="9CBA697D"/>
    <w:rsid w:val="9DFE6E4D"/>
    <w:rsid w:val="9ED90BD8"/>
    <w:rsid w:val="9FDF7A79"/>
    <w:rsid w:val="9FFA8DAE"/>
    <w:rsid w:val="ABFB6E80"/>
    <w:rsid w:val="B70D9A89"/>
    <w:rsid w:val="B74F18BB"/>
    <w:rsid w:val="B9FC16CF"/>
    <w:rsid w:val="BFB5201A"/>
    <w:rsid w:val="BFD39626"/>
    <w:rsid w:val="CFBF3532"/>
    <w:rsid w:val="D56F6554"/>
    <w:rsid w:val="D59BCB38"/>
    <w:rsid w:val="D74F1A8B"/>
    <w:rsid w:val="D89FE1A2"/>
    <w:rsid w:val="DA5E7528"/>
    <w:rsid w:val="DC5B14BE"/>
    <w:rsid w:val="DC6F53BD"/>
    <w:rsid w:val="DD7F362D"/>
    <w:rsid w:val="DDDD4FCF"/>
    <w:rsid w:val="DEDA5983"/>
    <w:rsid w:val="DF35CAA6"/>
    <w:rsid w:val="DF9B69AB"/>
    <w:rsid w:val="DFF7A252"/>
    <w:rsid w:val="E5D9E3B6"/>
    <w:rsid w:val="E9FBFCF6"/>
    <w:rsid w:val="EBDFD254"/>
    <w:rsid w:val="ED7BFE74"/>
    <w:rsid w:val="F3B32626"/>
    <w:rsid w:val="F53D5886"/>
    <w:rsid w:val="F5BB2F42"/>
    <w:rsid w:val="F5DF25A9"/>
    <w:rsid w:val="F6BBB8F9"/>
    <w:rsid w:val="F6EF1F9D"/>
    <w:rsid w:val="F6FF0964"/>
    <w:rsid w:val="F79F1FD4"/>
    <w:rsid w:val="F7EFEE30"/>
    <w:rsid w:val="F9BFAC1D"/>
    <w:rsid w:val="FA372998"/>
    <w:rsid w:val="FDFE783D"/>
    <w:rsid w:val="FEBB8118"/>
    <w:rsid w:val="FEDF43DF"/>
    <w:rsid w:val="FEF9D4BD"/>
    <w:rsid w:val="FF7DFF6D"/>
    <w:rsid w:val="FF87ED9F"/>
    <w:rsid w:val="FFEE3006"/>
    <w:rsid w:val="FFF3D4E4"/>
    <w:rsid w:val="FFFD083D"/>
    <w:rsid w:val="FFFDD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after="160"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 w:val="clear" w:pos="420"/>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 w:val="clear" w:pos="420"/>
      </w:tabs>
      <w:snapToGrid w:val="0"/>
      <w:spacing w:line="240" w:lineRule="auto"/>
      <w:jc w:val="both"/>
      <w:outlineLvl w:val="9"/>
    </w:pPr>
    <w:rPr>
      <w:sz w:val="18"/>
    </w:rPr>
  </w:style>
  <w:style w:type="table" w:styleId="9">
    <w:name w:val="Table Grid"/>
    <w:basedOn w:val="8"/>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一级标题"/>
    <w:basedOn w:val="1"/>
    <w:uiPriority w:val="0"/>
    <w:pPr>
      <w:jc w:val="center"/>
    </w:pPr>
    <w:rPr>
      <w:rFonts w:ascii="Times New Roman" w:hAnsi="Times New Roman" w:eastAsia="Heiti SC Medium"/>
      <w:sz w:val="36"/>
    </w:rPr>
  </w:style>
  <w:style w:type="table" w:customStyle="1" w:styleId="12">
    <w:name w:val="网格型2"/>
    <w:basedOn w:val="8"/>
    <w:qFormat/>
    <w:uiPriority w:val="59"/>
    <w:rPr>
      <w:rFonts w:asciiTheme="minorHAnsi" w:hAnsiTheme="minorHAnsi"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网格型12"/>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
    <w:name w:val="网格型45"/>
    <w:basedOn w:val="8"/>
    <w:qFormat/>
    <w:uiPriority w:val="59"/>
    <w:rPr>
      <w:rFonts w:ascii="等线" w:hAnsi="等线" w:eastAsia="等线"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网格型31"/>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
    <w:name w:val="网格型6"/>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
    <w:name w:val="网格型5"/>
    <w:basedOn w:val="8"/>
    <w:qFormat/>
    <w:uiPriority w:val="59"/>
    <w:rPr>
      <w:rFonts w:asciiTheme="minorHAnsi" w:hAnsiTheme="minorHAnsi" w:eastAsiaTheme="minorEastAsi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8</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2026-04-01T11:16:00Z</dcterms:created>
  <dc:creator>ANXIOUS  YZH</dc:creator>
  <cp:lastModifiedBy>ANXIOUS  YZH</cp:lastModifiedBy>
  <dcterms:modified xsi:type="dcterms:W3CDTF">2026-04-02T23:03:28Z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B1D4F523088C38C918ADCB699BFD55F6_41</vt:lpwstr>
  </property>
</Properties>
</file>