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AC010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400" w:lineRule="exact"/>
        <w:jc w:val="both"/>
        <w:textAlignment w:val="auto"/>
        <w:rPr>
          <w:rFonts w:hint="default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上节课重点内容回顾</w:t>
      </w:r>
    </w:p>
    <w:p w14:paraId="6AEE4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1.不作为：四种义务来源</w:t>
      </w:r>
    </w:p>
    <w:p w14:paraId="70E91DB6">
      <w:pPr>
        <w:ind w:left="0" w:leftChars="0" w:firstLine="0" w:firstLineChars="0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2.因果关系：先条件，后原因</w:t>
      </w:r>
    </w:p>
    <w:p w14:paraId="48546C26">
      <w:pPr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</w:p>
    <w:p w14:paraId="6CC7024B">
      <w:pPr>
        <w:ind w:left="0" w:leftChars="0" w:firstLine="0" w:firstLineChars="0"/>
        <w:jc w:val="center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考点4 因果关系（19:33—20:59）</w:t>
      </w:r>
    </w:p>
    <w:p w14:paraId="4E047370">
      <w:pPr>
        <w:pStyle w:val="5"/>
        <w:spacing w:after="0"/>
        <w:ind w:firstLine="228" w:firstLineChars="120"/>
        <w:rPr>
          <w:rFonts w:hint="default" w:asciiTheme="minorEastAsia" w:hAnsiTheme="minorEastAsia" w:eastAsiaTheme="minorEastAsia" w:cstheme="minorEastAsia"/>
          <w:color w:val="auto"/>
          <w:spacing w:val="-1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10"/>
          <w:sz w:val="21"/>
          <w:szCs w:val="21"/>
          <w:lang w:val="en-US" w:eastAsia="zh-CN"/>
        </w:rPr>
        <w:t>注意：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10"/>
          <w:sz w:val="21"/>
          <w:szCs w:val="21"/>
        </w:rPr>
        <w:t>条件不区分作用大小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10"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10"/>
          <w:sz w:val="21"/>
          <w:szCs w:val="21"/>
          <w:lang w:val="en-US" w:eastAsia="zh-CN"/>
        </w:rPr>
        <w:t>原因才区分责任大小。</w:t>
      </w:r>
    </w:p>
    <w:p w14:paraId="78EAA061">
      <w:pPr>
        <w:pStyle w:val="5"/>
        <w:spacing w:after="0"/>
        <w:ind w:firstLine="228" w:firstLineChars="120"/>
        <w:rPr>
          <w:rFonts w:hint="eastAsia" w:asciiTheme="minorEastAsia" w:hAnsiTheme="minorEastAsia" w:eastAsiaTheme="minorEastAsia" w:cstheme="minorEastAsia"/>
          <w:color w:val="auto"/>
          <w:spacing w:val="-1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10"/>
          <w:sz w:val="21"/>
          <w:szCs w:val="21"/>
          <w:lang w:val="en-US" w:eastAsia="zh-CN"/>
        </w:rPr>
        <w:t>1.依附关系不中断因果</w:t>
      </w:r>
    </w:p>
    <w:p w14:paraId="2303B677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2.独立关系单独导致结果</w:t>
      </w:r>
    </w:p>
    <w:p w14:paraId="1DFC99CB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核心判断规则：先判断两个条件关系。依附关系不中断因果，如果是独立关系，再判断大小</w:t>
      </w:r>
    </w:p>
    <w:p w14:paraId="38C22B2F">
      <w:pPr>
        <w:pStyle w:val="5"/>
        <w:spacing w:after="0"/>
        <w:ind w:firstLine="228" w:firstLineChars="120"/>
        <w:rPr>
          <w:rFonts w:hint="eastAsia" w:asciiTheme="minorEastAsia" w:hAnsiTheme="minorEastAsia" w:eastAsiaTheme="minorEastAsia" w:cstheme="minorEastAsia"/>
          <w:color w:val="auto"/>
          <w:spacing w:val="-1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10"/>
          <w:sz w:val="21"/>
          <w:szCs w:val="21"/>
        </w:rPr>
        <w:t>（二）介入因素与因果关系的认定（介入因果）：A1（条件1）→B+A2（条件2）→R（果）</w:t>
      </w:r>
    </w:p>
    <w:p w14:paraId="0BFF7BA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基本判断方法是“两步法”：</w:t>
      </w:r>
    </w:p>
    <w:p w14:paraId="633847E7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（1）第一步，首先判断介入因素（A2）与最初行为（A1）有无关联，关联大小（是否大概率导致、依附出现）。如果A1大概率导致A2，亦即A2依附于A1出现，A1、A2是依附关系，则A1与R有因果关系。</w:t>
      </w:r>
    </w:p>
    <w:p w14:paraId="012B61A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（2）第二步，如果A1不会大概率导致A2，亦即A2并不依附于A1出现，A1、A2是独立关系，则再判断A1、A2各自对R的作用力（影响力）大小，作用大者（≥50%）有因果。</w:t>
      </w:r>
    </w:p>
    <w:p w14:paraId="784D28DD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①若A2对R的作用力大（≥50%），则A2与R有因果关系；若A1对R的作用力大（≥50%），则A1与R有因果关系。</w:t>
      </w:r>
    </w:p>
    <w:p w14:paraId="43259C26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②若A1、A2对结果的作用一样大（=50%），或者不能辨别作用大小（推定同等责任=50%）；或者分别判断时作用都很大（均大于&gt;50%），则A1、A2与R都有因果关系。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eastAsia="zh-CN"/>
        </w:rPr>
        <w:t>—</w:t>
      </w:r>
    </w:p>
    <w:p w14:paraId="0F576C2E">
      <w:pPr>
        <w:spacing w:after="0"/>
        <w:ind w:firstLine="420"/>
        <w:jc w:val="lef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/>
        </w:rPr>
        <w:t>同等责任是原因</w:t>
      </w:r>
    </w:p>
    <w:p w14:paraId="0BE9FEE6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pacing w:val="-1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（三）多个条件，责任都大，都是原因时，称为“重叠因果”（现象）：</w:t>
      </w:r>
      <w:r>
        <w:rPr>
          <w:rFonts w:hint="eastAsia" w:asciiTheme="minorEastAsia" w:hAnsiTheme="minorEastAsia" w:eastAsiaTheme="minorEastAsia" w:cstheme="minorEastAsia"/>
          <w:color w:val="auto"/>
          <w:spacing w:val="-10"/>
          <w:sz w:val="21"/>
          <w:szCs w:val="21"/>
        </w:rPr>
        <w:t>A1（≥50%）+A2（≥50%）→R</w:t>
      </w:r>
    </w:p>
    <w:p w14:paraId="0FF9301D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介入因素，实际上就是“多个条件、一个结果”的情况。同样，首先需要判断各个因素是否系造成结果的条件；如果存在两个条件（A1、A2）或多个条件，各条件间是独立关系，不是依附关系，且两个条件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对结果造成的作用一样大（或都超过50%），或者无法区分作用大小（推定负同等责任），则一般认为二条件均与结果之间具有因果关系。这称为“重叠因果”（现象）。“重叠因果”是前述介入因果关系的变型（两个条件、独立关系、责任</w:t>
      </w:r>
      <w:r>
        <w:rPr>
          <w:rFonts w:hint="eastAsia" w:asciiTheme="minorEastAsia" w:hAnsiTheme="minorEastAsia" w:eastAsiaTheme="minorEastAsia" w:cstheme="minorEastAsia"/>
          <w:color w:val="auto"/>
          <w:spacing w:val="-10"/>
          <w:sz w:val="21"/>
          <w:szCs w:val="21"/>
        </w:rPr>
        <w:t>≥50%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）。</w:t>
      </w:r>
    </w:p>
    <w:p w14:paraId="119B6496">
      <w:pPr>
        <w:snapToGrid w:val="0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（四）同时犯因果</w:t>
      </w:r>
    </w:p>
    <w:p w14:paraId="5AE6B173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1．不能证明谁打中：推定都没有打中；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/>
        </w:rPr>
        <w:t>注意：存疑有利于被告人，刑诉法规则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eastAsia="zh-CN"/>
        </w:rPr>
        <w:t>）</w:t>
      </w:r>
    </w:p>
    <w:p w14:paraId="6C98ED72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2、都打中了，对死亡都有作用，但不能证明作用大小：推定同等责任，允许反证。</w:t>
      </w:r>
    </w:p>
    <w:p w14:paraId="2CE6C31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3232150</wp:posOffset>
                </wp:positionH>
                <wp:positionV relativeFrom="paragraph">
                  <wp:posOffset>-512673600</wp:posOffset>
                </wp:positionV>
                <wp:extent cx="495300" cy="210185"/>
                <wp:effectExtent l="2540" t="5080" r="10160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2101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4.5pt;margin-top:-40368pt;height:16.55pt;width:39pt;z-index:251661312;mso-width-relative:page;mso-height-relative:page;" filled="f" stroked="t" coordsize="21600,21600" o:gfxdata="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B4TMN3wAAABEBAAAPAAAAAAAAAAEA&#10;IAAAACIAAABkcnMvZG93bnJldi54bWxQSwECFAAUAAAACACHTuJA/nSAxAgCAADmAwAADgAAAAAA&#10;AAABACAAAAAu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3232150</wp:posOffset>
                </wp:positionH>
                <wp:positionV relativeFrom="paragraph">
                  <wp:posOffset>-512796790</wp:posOffset>
                </wp:positionV>
                <wp:extent cx="495300" cy="94615"/>
                <wp:effectExtent l="1270" t="6350" r="11430" b="2603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94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4.5pt;margin-top:-40377.7pt;height:7.45pt;width:39pt;z-index:251660288;mso-width-relative:page;mso-height-relative:page;" filled="f" stroked="t" coordsize="21600,21600" o:gfxdata="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4aQpt8AAAARAQAADwAAAAAAAAABACAAAAAi&#10;AAAAZHJzL2Rvd25yZXYueG1sUEsBAhQAFAAAAAgAh07iQJkg08ADAgAA3QMAAA4AAAAAAAAAAQAg&#10;AAAALg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7C1007E6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（五）共同犯罪与因果关系</w:t>
      </w:r>
    </w:p>
    <w:p w14:paraId="0E0C0263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1．共同正犯：因只有一个整体行为，故即使只参与部分实行，也要对结果负全部责任</w:t>
      </w:r>
    </w:p>
    <w:p w14:paraId="48D7D6E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2．帮助犯、教唆犯：帮助、教唆行为，与结果有因果关系时，对结果负责</w:t>
      </w:r>
    </w:p>
    <w:p w14:paraId="6C498853">
      <w:pPr>
        <w:spacing w:after="0"/>
        <w:ind w:firstLine="420"/>
        <w:jc w:val="lef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注意区分同时犯和共同犯罪的区别：有无意思联络</w:t>
      </w:r>
    </w:p>
    <w:p w14:paraId="3D3B8FCB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（六）因果关系是客观的（所谓“假定因果关系”的问题）</w:t>
      </w:r>
    </w:p>
    <w:p w14:paraId="31083EA8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bookmarkStart w:id="0" w:name="_Hlk45062558"/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因果关系是客观的，需在出现结果之后，首先根据已经发生的客观事实叙明既存因果流程，再分析造成结果的条件为何，最后看哪个条件是否负最主要责任，以判断因果关系有无。</w:t>
      </w:r>
      <w:bookmarkEnd w:id="0"/>
    </w:p>
    <w:p w14:paraId="65B99E36">
      <w:pPr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简单而言：不能在行为当时往后假想，要在行为发生后回头推条件和因果。</w:t>
      </w:r>
    </w:p>
    <w:p w14:paraId="3FD88B3D">
      <w:pPr>
        <w:snapToGrid w:val="0"/>
        <w:spacing w:after="0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162853D">
      <w:pPr>
        <w:pStyle w:val="4"/>
        <w:spacing w:after="0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四、因果关系与犯罪成立</w:t>
      </w:r>
    </w:p>
    <w:p w14:paraId="6B9E6C72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因果关系是犯罪成立客观方面的条件之一，具有因果关系，行为即符合了犯罪成立客观方面的条件（客观不法）；但不一定必然都成立犯罪。还须考虑犯罪成立的其他条件，例如行为人主观上是否具有过错等（主观责任）。在构成何罪时，也应将客观不法、主观责任结合起来。</w:t>
      </w:r>
    </w:p>
    <w:p w14:paraId="37B331D9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tbl>
      <w:tblPr>
        <w:tblStyle w:val="9"/>
        <w:tblW w:w="8505" w:type="dxa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shd w:val="clear" w:color="auto" w:fill="FFE5E5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69E8BB5B">
        <w:trPr>
          <w:trHeight w:val="510" w:hRule="atLeast"/>
          <w:jc w:val="center"/>
        </w:trPr>
        <w:tc>
          <w:tcPr>
            <w:tcW w:w="8505" w:type="dxa"/>
            <w:shd w:val="clear" w:color="auto" w:fill="FFE5E5"/>
            <w:vAlign w:val="center"/>
          </w:tcPr>
          <w:p w14:paraId="708C22FA">
            <w:pPr>
              <w:snapToGrid w:val="0"/>
              <w:spacing w:before="31" w:beforeLines="10" w:after="62" w:afterLines="2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═════  考点归纳  ═════</w:t>
            </w:r>
          </w:p>
          <w:p w14:paraId="4B26C628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1．相当因果关系两步骤：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先判断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条件关系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，后判断相当性（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责任大小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）。</w:t>
            </w:r>
          </w:p>
          <w:p w14:paraId="298CD7C1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2．四种基本因果关系（特殊体质、介入因果、同时因果、重叠因果）的判断规则：</w:t>
            </w:r>
          </w:p>
          <w:p w14:paraId="1B3DDE2F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★（1）特殊体质（A+特殊体质→R），不中断因果关系；</w:t>
            </w:r>
          </w:p>
          <w:p w14:paraId="2F816719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★（2）介入因素（A1→B+A2→R）分两步：依附关系不中断；独立关系，作用大者有因果；</w:t>
            </w:r>
          </w:p>
          <w:p w14:paraId="125D0280">
            <w:pPr>
              <w:snapToGrid w:val="0"/>
              <w:spacing w:before="31" w:beforeLines="10" w:after="62" w:afterLines="20" w:line="280" w:lineRule="exact"/>
              <w:ind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（3）A1【≥50%】+A2【≥50%】→R，A1．A2都是条件，独立关系，对结果（R）的作用力一样大（或都超过50%），都有因果；称为重叠因果。</w:t>
            </w:r>
          </w:p>
          <w:p w14:paraId="1535A8DE">
            <w:pPr>
              <w:snapToGrid w:val="0"/>
              <w:spacing w:before="31" w:beforeLines="10" w:after="62" w:afterLines="20" w:line="280" w:lineRule="exact"/>
              <w:ind w:firstLine="210" w:firstLineChars="10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（4）同时犯因果（A1、A2→R）四情形：A1、A2谁打中查不清，都无因果。A1、A2都打中都致命，都有因果；A1、A2都打中作用大小查不清，都有因果；事实完全查得清，按查清情况认定。</w:t>
            </w:r>
          </w:p>
          <w:p w14:paraId="469C013F">
            <w:pPr>
              <w:snapToGrid w:val="0"/>
              <w:spacing w:before="31" w:beforeLines="10" w:after="62" w:afterLines="2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3．共同正犯，对共同行为导致的结果，承担客观责任（不论结果具体由谁造成）</w:t>
            </w:r>
            <w:bookmarkStart w:id="1" w:name="_Hlk20152438"/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。</w:t>
            </w:r>
            <w:bookmarkEnd w:id="1"/>
          </w:p>
        </w:tc>
      </w:tr>
    </w:tbl>
    <w:p w14:paraId="6844EBAD">
      <w:pPr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DC193C2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考点5  刑事责任年龄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21:14—21:30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eastAsia="zh-CN"/>
        </w:rPr>
        <w:t>）</w:t>
      </w:r>
    </w:p>
    <w:p w14:paraId="33682A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765E73B4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一、四阶段的刑事责任年龄划分（0、12、14、16）</w:t>
      </w:r>
    </w:p>
    <w:p w14:paraId="7938DA7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</w:pPr>
    </w:p>
    <w:p w14:paraId="15229054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二、12～14周岁的人：2种行为+2种结果+情节严重（杀人、伤害+致死、严重残疾手段残忍+情节恶劣）</w:t>
      </w:r>
    </w:p>
    <w:p w14:paraId="34D436A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已满12周岁不满14周岁的人，符合以下四个条件，应当负刑事责任。</w:t>
      </w:r>
    </w:p>
    <w:p w14:paraId="4C41D2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（1）2种行为：故意杀人、故意伤害。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指故意杀人、故意伤害不法行为，不包括过失致死行为。包括在抢劫、绑架、劫持航空器、放火、爆炸、以危险方法危害公共安全的过程中，以杀人、伤害为手段，或者实施杀人、伤害行为。</w:t>
      </w:r>
    </w:p>
    <w:p w14:paraId="142CC2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（2）结果：致人死亡；或者以特别残忍手段+致人重伤+造成严重残疾（指残疾一级[极重度]、二级[重度]）。</w:t>
      </w:r>
    </w:p>
    <w:p w14:paraId="3BD9BCC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（3）情节恶劣。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这里的情节恶劣，一般指动机卑劣、影响恶劣等。仅杀人致死、伤害致死、致残，但情节并不恶劣，也不负刑事责任。</w:t>
      </w:r>
    </w:p>
    <w:p w14:paraId="2B2B2FA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（4）程序条件：经最高人民检察院核准。</w:t>
      </w:r>
    </w:p>
    <w:p w14:paraId="353A01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4DE9628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三、14～16周岁的人：对8种行为负责（其中伤害+致死、重伤）</w:t>
      </w:r>
    </w:p>
    <w:p w14:paraId="77AC3D6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1．对8种行为负刑责：3人身+3公共安全+1财产+1贩毒</w:t>
      </w:r>
    </w:p>
    <w:p w14:paraId="25BBA7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三种人身（杀人、伤害致重伤死亡、强奸）、三种公共安全（放火、爆炸、投放危险物质）、一种财产（抢劫）、一种毒品（贩毒）。</w:t>
      </w:r>
    </w:p>
    <w:p w14:paraId="2B0A3E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（1）规定了故意杀人（包括既遂、未遂、预备、中止）、故意伤害致人重伤或者死亡（结果加重犯），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没有规定故意伤害致人轻伤、过失致人死亡、过失致人重伤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</w:t>
      </w:r>
    </w:p>
    <w:p w14:paraId="4300E8D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（2）规定了放火、爆炸、投放危险物质，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没有规定决水、以危险方法危害公共安全、破坏交通工具、劫持航空器。</w:t>
      </w:r>
    </w:p>
    <w:p w14:paraId="14F26B4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（3）规定了抢劫，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没有规定绑架。</w:t>
      </w:r>
    </w:p>
    <w:p w14:paraId="330A92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（4）规定了贩卖毒品，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没有规定制造、运输、走私毒品。</w:t>
      </w:r>
    </w:p>
    <w:p w14:paraId="4715F10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4"/>
        <w:textAlignment w:val="auto"/>
        <w:rPr>
          <w:rFonts w:hint="eastAsia" w:asciiTheme="minorEastAsia" w:hAnsiTheme="minorEastAsia" w:eastAsiaTheme="minorEastAsia" w:cstheme="minorEastAsia"/>
          <w:color w:val="auto"/>
          <w:spacing w:val="-4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4"/>
          <w:kern w:val="0"/>
          <w:sz w:val="21"/>
          <w:szCs w:val="21"/>
        </w:rPr>
        <w:t>2．“故意杀人、故意伤害（致人重伤、死亡）”。</w:t>
      </w:r>
    </w:p>
    <w:p w14:paraId="448F5CB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3．“强奸”：包括强奸妇女、奸淫幼女</w:t>
      </w:r>
    </w:p>
    <w:p w14:paraId="6666B6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4．“抢劫”：不包括转化型抢劫行为</w:t>
      </w:r>
    </w:p>
    <w:p w14:paraId="32BA84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14～16周岁的行为人，除实施转化型抢劫行为不能追究抢劫罪的刑事责任以外，实施其他三种抢劫行为均可追究抢劫罪的刑事责任。</w:t>
      </w:r>
    </w:p>
    <w:p w14:paraId="6198D1B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14～16周岁的行为人，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实施转化型抢劫行为：不认定为抢劫罪，可以手段行为定罪（故意杀人罪、故意伤害罪致人重伤）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</w:t>
      </w:r>
    </w:p>
    <w:p w14:paraId="79B25C6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5．只要实施8种“犯罪行为”（不法行为）：均承担刑事责任</w:t>
      </w:r>
    </w:p>
    <w:p w14:paraId="4A8FB99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14～16周岁的行为人，只要实施前述8种行为的，均应承担刑事责任；如果该行为包括在其他罪名中，应当单独评价该行为，从而认定为这8种“罪名”。</w:t>
      </w:r>
    </w:p>
    <w:p w14:paraId="7BB0753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B8DEB8A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四、刑事责任年龄的认定</w:t>
      </w:r>
    </w:p>
    <w:p w14:paraId="4E91F3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1．“已满”与“不满”：生日当天是“不满”，生日第二天才是“已满”。</w:t>
      </w:r>
    </w:p>
    <w:p w14:paraId="13CB917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刑法所规定的年龄是指实足年龄。其中“已满”不包括生日当天。</w:t>
      </w:r>
    </w:p>
    <w:p w14:paraId="0397A7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2．隔时犯</w:t>
      </w:r>
    </w:p>
    <w:p w14:paraId="6C0A077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行为时与结果时不一致，行为时行为人未达责任年龄，但结果发生时已达到刑事责任年龄的情况。可根据行为与责任同时性原则（而不要求结果与责任同时）认定。</w:t>
      </w:r>
    </w:p>
    <w:p w14:paraId="57CE82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以达到责任年龄之时（生日当天24点）一刀两切：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（1）之前有客观行为，但主观无责任；（2）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看之后客观上有无实施其他行为（特别是可否构成不作为犯，或其他作为犯）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，主观上有责任。</w:t>
      </w:r>
    </w:p>
    <w:p w14:paraId="2865000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亦即，判断从达到责任年龄之日起至结果发生时止，是否实施了不作为行为或其他行为，构成不作为犯或其他作为犯。如可构成不作为犯负责，仍需承担责任；如不构成不作为犯或不对其他行为负责，则不能追究刑事责任。</w:t>
      </w:r>
    </w:p>
    <w:p w14:paraId="4323BA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DB98B3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7FC1B5F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  <w:bookmarkStart w:id="2" w:name="_Toc219219872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考点6  刑事责任能力（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  <w:lang w:val="en-US" w:eastAsia="zh-CN"/>
        </w:rPr>
        <w:t>21:30—22:00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）</w:t>
      </w:r>
      <w:bookmarkEnd w:id="2"/>
    </w:p>
    <w:p w14:paraId="1DF98F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0A15FE89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一、原发性精神病人：行为与责任能力同时性原则</w:t>
      </w:r>
    </w:p>
    <w:p w14:paraId="08D2798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第18条前3款是对原发性精神病人（行为人本人对陷入精神病状态没有过错、自身的病理性原因）刑事责任的规定，应坚持“行为与责任能力同时性原则”，亦即，看行为人实施行为当时是否有责任能力。</w:t>
      </w:r>
    </w:p>
    <w:p w14:paraId="0D8D0CE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行为与责任能力同时性原则。以上关于精神病人的规定，特别是对间歇性的精神病人的规定可知：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要求行为人在实施不法行为时具有责任能力，如果行为人在实施不法行为时没有责任能力，则不能承担刑事责任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。此之谓“行为与责任能力同时性原则”。</w:t>
      </w:r>
    </w:p>
    <w:p w14:paraId="7733EF9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1E7BB4F3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二、原因自由行为（自陷无责任能力状态、自陷醉态、自陷精神病等）：以清醒时认定对结果的责任</w:t>
      </w:r>
    </w:p>
    <w:p w14:paraId="52D5B4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以行为时认定客观行为，以清醒时认定主观责任（对结果的责任）。</w:t>
      </w:r>
    </w:p>
    <w:tbl>
      <w:tblPr>
        <w:tblStyle w:val="9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0D2FCBC6">
        <w:trPr>
          <w:jc w:val="center"/>
        </w:trPr>
        <w:tc>
          <w:tcPr>
            <w:tcW w:w="8505" w:type="dxa"/>
            <w:vAlign w:val="center"/>
          </w:tcPr>
          <w:p w14:paraId="62CE3C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原因自由行为处理经验规则</w:t>
            </w:r>
          </w:p>
          <w:p w14:paraId="1CF564F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以清醒时确定过错内容（A罪故意，或过失），以不清醒时确定客观行为（B行为），对重合内容承担刑事责任（行为人在A罪故意支配下实施B行为）。</w:t>
            </w:r>
          </w:p>
        </w:tc>
      </w:tr>
    </w:tbl>
    <w:p w14:paraId="0C4A1CB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123CA978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5"/>
          <w:sz w:val="21"/>
          <w:szCs w:val="21"/>
          <w:lang w:eastAsia="zh-CN"/>
        </w:rPr>
      </w:pPr>
      <w:bookmarkStart w:id="3" w:name="_Toc219219873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5"/>
          <w:sz w:val="21"/>
          <w:szCs w:val="21"/>
        </w:rPr>
        <w:t>考点7  故意、过失</w:t>
      </w:r>
      <w:bookmarkEnd w:id="3"/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5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5"/>
          <w:sz w:val="21"/>
          <w:szCs w:val="21"/>
          <w:lang w:val="en-US" w:eastAsia="zh-CN"/>
        </w:rPr>
        <w:t>22:00—22:49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pacing w:val="-5"/>
          <w:sz w:val="21"/>
          <w:szCs w:val="21"/>
          <w:lang w:eastAsia="zh-CN"/>
        </w:rPr>
        <w:t>）</w:t>
      </w:r>
    </w:p>
    <w:p w14:paraId="3C3E26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78A8D8D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</w:rPr>
        <w:t>左手：心理事实；右手：刑法规定</w:t>
      </w:r>
      <w:bookmarkStart w:id="4" w:name="_GoBack"/>
      <w:bookmarkEnd w:id="4"/>
    </w:p>
    <w:p w14:paraId="50E3E49F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一、故意（直接故意、间接故意）</w:t>
      </w:r>
    </w:p>
    <w:p w14:paraId="5A8C4784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（一）直接故意（有目的的故意）</w:t>
      </w:r>
    </w:p>
    <w:p w14:paraId="52A071E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1．认识要素</w:t>
      </w:r>
    </w:p>
    <w:p w14:paraId="703DF09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明知行为必然或可能导致结果（明知）。在认识程度方面，可以是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认识到行为导致结果的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必然性，也可以是大概率、小概率。</w:t>
      </w:r>
    </w:p>
    <w:p w14:paraId="70977CF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textAlignment w:val="auto"/>
        <w:rPr>
          <w:rFonts w:hint="default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核心：希望结果发生，有目的。对认识程度没有要求。</w:t>
      </w:r>
    </w:p>
    <w:p w14:paraId="5FF19962">
      <w:pPr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val="en-US" w:eastAsia="zh-CN" w:bidi="ar-SA"/>
        </w:rPr>
        <w:t>必然性认识、大概率认识、小概率认识</w:t>
      </w:r>
    </w:p>
    <w:p w14:paraId="1344F7D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2．意志要素</w:t>
      </w:r>
    </w:p>
    <w:p w14:paraId="522FF0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希望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结果发生（追求）。</w:t>
      </w:r>
    </w:p>
    <w:p w14:paraId="1428F2C7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（二）间接故意（无目的的故意）</w:t>
      </w:r>
    </w:p>
    <w:p w14:paraId="01F6853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1．认识要素</w:t>
      </w:r>
    </w:p>
    <w:p w14:paraId="6960C5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认识到行为大概率导致结果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明知结果发生的可能性很大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，但并非必然发生，还是有不发生余地）。</w:t>
      </w:r>
    </w:p>
    <w:p w14:paraId="407C0C4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2．意志要素：放任（意志空缺，没有明确目的），仍实施行为。</w:t>
      </w:r>
    </w:p>
    <w:p w14:paraId="71F003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既不追求，也不反对，容忍结果发生，而不采取积极措施防止，听之任之；结果发生与否，都不违背行为人的意志。</w:t>
      </w:r>
    </w:p>
    <w:p w14:paraId="1ABFDCE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D8A99DB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二、过失（过于自信的过失、疏忽大意的过失）</w:t>
      </w:r>
    </w:p>
    <w:p w14:paraId="08017A0F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（一）过于自信的过失（有认识的过失）</w:t>
      </w:r>
    </w:p>
    <w:p w14:paraId="3BB455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1．认识要素</w:t>
      </w:r>
    </w:p>
    <w:p w14:paraId="1048EC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预见到结果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可能发生，已经认识到发生结果的可能性。其认识程度，包括认识到发生结果的可能性小，也包括认识到发生结果的可能性大。</w:t>
      </w:r>
    </w:p>
    <w:p w14:paraId="58B14B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2．意志要素</w:t>
      </w:r>
    </w:p>
    <w:p w14:paraId="24A8E9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轻信能够避免，相信能够避免结果（反对结果发生）。暗含的意思：</w:t>
      </w:r>
    </w:p>
    <w:p w14:paraId="7F1861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（1）“避免”：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反对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结果发生。应当避免（具有避免结果发生的能力）而未避免。</w:t>
      </w:r>
    </w:p>
    <w:p w14:paraId="55B776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（2）“轻信”：行为人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有客观依据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（例如客观上采取了自认为有效的防果措施，或者之前有避免结果发生的经验）、有能力阻止结果发生。</w:t>
      </w:r>
    </w:p>
    <w:p w14:paraId="7A3C065C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（二）疏忽大意的过失（无认识的过失）</w:t>
      </w:r>
    </w:p>
    <w:p w14:paraId="6BCCFB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1．没有预见</w:t>
      </w:r>
    </w:p>
    <w:p w14:paraId="31EB3F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行为人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事实上没有预见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（行为人的主观心理事实）。</w:t>
      </w:r>
    </w:p>
    <w:p w14:paraId="28EAF7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2．应当预见</w:t>
      </w:r>
    </w:p>
    <w:p w14:paraId="504F5DD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社会期许行为人具有预见可能性（客观说：行为人所属的社会一般人标准[“行为人所属的外行人领域的平行评价”]）。社会公众认为行为人不能预见，系属意外事件。</w:t>
      </w:r>
    </w:p>
    <w:p w14:paraId="0FCF04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0301715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大宋简">
    <w:altName w:val="汉仪书宋二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1EC7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FCECA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BFCECA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A2D65"/>
    <w:rsid w:val="2BBBA38B"/>
    <w:rsid w:val="2FBE5757"/>
    <w:rsid w:val="3CFFC587"/>
    <w:rsid w:val="3EB982C8"/>
    <w:rsid w:val="3FFE85A9"/>
    <w:rsid w:val="4D7B778F"/>
    <w:rsid w:val="57EACC37"/>
    <w:rsid w:val="595714FE"/>
    <w:rsid w:val="5F639F5C"/>
    <w:rsid w:val="5FBB6C88"/>
    <w:rsid w:val="6DD1F001"/>
    <w:rsid w:val="6DF45665"/>
    <w:rsid w:val="6FDCA7F6"/>
    <w:rsid w:val="737F439D"/>
    <w:rsid w:val="73FE3C47"/>
    <w:rsid w:val="75EEBD14"/>
    <w:rsid w:val="79FDC846"/>
    <w:rsid w:val="7B97AE8E"/>
    <w:rsid w:val="7C75D7ED"/>
    <w:rsid w:val="7CDA5C5E"/>
    <w:rsid w:val="7E79684B"/>
    <w:rsid w:val="7EDFEDD4"/>
    <w:rsid w:val="7FA5D61E"/>
    <w:rsid w:val="7FBB8CE9"/>
    <w:rsid w:val="7FCE9187"/>
    <w:rsid w:val="7FE3E546"/>
    <w:rsid w:val="7FEB576A"/>
    <w:rsid w:val="7FFA2D65"/>
    <w:rsid w:val="96DB9D56"/>
    <w:rsid w:val="9AFAB045"/>
    <w:rsid w:val="BBFD3382"/>
    <w:rsid w:val="BBFFCA03"/>
    <w:rsid w:val="BDFD9ED1"/>
    <w:rsid w:val="D6BEAD4D"/>
    <w:rsid w:val="D7B755E3"/>
    <w:rsid w:val="DF6775AC"/>
    <w:rsid w:val="E5BF315B"/>
    <w:rsid w:val="F4BFFA64"/>
    <w:rsid w:val="F56F4F27"/>
    <w:rsid w:val="F5EFA0EC"/>
    <w:rsid w:val="F6EECB90"/>
    <w:rsid w:val="F7FF93AB"/>
    <w:rsid w:val="F9F77D75"/>
    <w:rsid w:val="FBF55712"/>
    <w:rsid w:val="FE9F9946"/>
    <w:rsid w:val="FEFFA696"/>
    <w:rsid w:val="FF5DDBFD"/>
    <w:rsid w:val="FFC4C6D8"/>
    <w:rsid w:val="FFEAB838"/>
    <w:rsid w:val="FF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spacing w:after="160" w:line="384" w:lineRule="exact"/>
      <w:ind w:firstLine="721" w:firstLineChars="200"/>
      <w:jc w:val="both"/>
    </w:pPr>
    <w:rPr>
      <w:rFonts w:ascii="宋体" w:hAnsi="宋体" w:eastAsia="汉仪书宋二简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"/>
      <w:ind w:firstLine="0" w:firstLineChars="0"/>
      <w:jc w:val="center"/>
      <w:outlineLvl w:val="0"/>
    </w:pPr>
    <w:rPr>
      <w:rFonts w:ascii="汉仪大宋简" w:hAnsi="汉仪大宋简" w:eastAsia="汉仪大宋简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1"/>
    </w:pPr>
    <w:rPr>
      <w:rFonts w:eastAsia="汉仪大黑简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2"/>
    </w:pPr>
    <w:rPr>
      <w:rFonts w:eastAsia="汉仪大宋简"/>
      <w:sz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3"/>
    </w:pPr>
    <w:rPr>
      <w:rFonts w:eastAsia="汉仪大宋简" w:asciiTheme="majorHAnsi" w:hAnsiTheme="majorHAnsi" w:cstheme="majorBidi"/>
      <w:bCs/>
      <w:sz w:val="24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  <w:tab w:val="clear" w:pos="420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420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table" w:styleId="10">
    <w:name w:val="Table Grid"/>
    <w:basedOn w:val="9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一级标题"/>
    <w:basedOn w:val="1"/>
    <w:uiPriority w:val="0"/>
    <w:pPr>
      <w:jc w:val="center"/>
    </w:pPr>
    <w:rPr>
      <w:rFonts w:ascii="Times New Roman" w:hAnsi="Times New Roman" w:eastAsia="Heiti SC Medium"/>
      <w:sz w:val="36"/>
    </w:rPr>
  </w:style>
  <w:style w:type="table" w:customStyle="1" w:styleId="13">
    <w:name w:val="网格型1"/>
    <w:basedOn w:val="9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211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2026-03-31T03:22:00Z</dcterms:created>
  <dc:creator>ANXIOUS  YZH</dc:creator>
  <cp:lastModifiedBy>ANXIOUS  YZH</cp:lastModifiedBy>
  <dcterms:modified xsi:type="dcterms:W3CDTF">2026-03-31T22:49:15Z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A43C08B92A807C76F75CCA695DA8582F_41</vt:lpwstr>
  </property>
</Properties>
</file>