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C4D9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atLeas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</w:p>
    <w:p w14:paraId="2C06C4CF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default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命题规律与备考策略（19:30—20:20）</w:t>
      </w:r>
    </w:p>
    <w:p w14:paraId="39D3780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atLeast"/>
        <w:jc w:val="both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总论：思维方式和推理方法；分论：具体罪名，重点关注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  <w:t>。</w:t>
      </w:r>
    </w:p>
    <w:p w14:paraId="66A506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atLeast"/>
        <w:ind w:left="0" w:leftChars="0" w:firstLine="0" w:firstLineChars="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2.案例为题目的主要构成，以案例为核心进行学习，以法条为标准做题，争议也是围绕法条而展开。</w:t>
      </w:r>
    </w:p>
    <w:p w14:paraId="145D0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atLeast"/>
        <w:ind w:left="0" w:leftChars="0" w:firstLine="0" w:firstLineChars="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default"/>
          <w:lang w:val="en-US" w:eastAsia="zh-CN"/>
        </w:rPr>
        <w:t>主观题考点比较综合，需要深厚的法条基础和推理基础</w:t>
      </w:r>
      <w:r>
        <w:rPr>
          <w:rFonts w:hint="eastAsia"/>
          <w:lang w:val="en-US" w:eastAsia="zh-CN"/>
        </w:rPr>
        <w:t>。</w:t>
      </w:r>
    </w:p>
    <w:p w14:paraId="5643AF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atLeast"/>
        <w:ind w:left="0" w:leftChars="0" w:firstLine="0" w:firstLineChars="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4.主观题不在于字数多少，而要抓住“关键词”这个核心：分则罪名模式——靠法条；构成要件模式——客观要素+主观要素。</w:t>
      </w:r>
    </w:p>
    <w:p w14:paraId="3E750BA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atLeast"/>
        <w:ind w:left="0" w:leftChars="0" w:firstLine="0" w:firstLineChars="0"/>
        <w:textAlignment w:val="auto"/>
        <w:rPr>
          <w:rFonts w:hint="eastAsia"/>
        </w:rPr>
      </w:pPr>
    </w:p>
    <w:p w14:paraId="7E8D4E2C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  罪刑法定原则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20:21—21:08）</w:t>
      </w:r>
    </w:p>
    <w:p w14:paraId="5111EF8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left="0" w:leftChars="0" w:firstLine="0" w:firstLineChars="0"/>
        <w:jc w:val="left"/>
        <w:textAlignment w:val="auto"/>
        <w:rPr>
          <w:rFonts w:hint="default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“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万事有依据（核心：明文规定），结论靠推理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”——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左手是案情，右手是法条，用案情去靠法条。</w:t>
      </w: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1"/>
        <w:gridCol w:w="4824"/>
      </w:tblGrid>
      <w:tr w14:paraId="0611234A">
        <w:trPr>
          <w:jc w:val="center"/>
        </w:trPr>
        <w:tc>
          <w:tcPr>
            <w:tcW w:w="8505" w:type="dxa"/>
            <w:gridSpan w:val="2"/>
            <w:vAlign w:val="center"/>
          </w:tcPr>
          <w:p w14:paraId="381E864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通常表述：“法无明文规定不为罪，法无明文规定不处罚”。这里的“法”指刑法（刑法典、单行刑法）。</w:t>
            </w:r>
          </w:p>
        </w:tc>
      </w:tr>
      <w:tr w14:paraId="01CA1AD0">
        <w:trPr>
          <w:jc w:val="center"/>
        </w:trPr>
        <w:tc>
          <w:tcPr>
            <w:tcW w:w="8505" w:type="dxa"/>
            <w:gridSpan w:val="2"/>
            <w:vAlign w:val="center"/>
          </w:tcPr>
          <w:p w14:paraId="5A837FC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思想基础：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民主主义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保障人权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（民主与自由）。核心理念是保障人权、限制公权力。</w:t>
            </w:r>
          </w:p>
        </w:tc>
      </w:tr>
      <w:tr w14:paraId="01600E25">
        <w:trPr>
          <w:jc w:val="center"/>
        </w:trPr>
        <w:tc>
          <w:tcPr>
            <w:tcW w:w="8505" w:type="dxa"/>
            <w:gridSpan w:val="2"/>
            <w:vAlign w:val="center"/>
          </w:tcPr>
          <w:p w14:paraId="41735A6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派生原则（具体内容）</w:t>
            </w:r>
          </w:p>
        </w:tc>
      </w:tr>
      <w:tr w14:paraId="064EAEE3">
        <w:trPr>
          <w:jc w:val="center"/>
        </w:trPr>
        <w:tc>
          <w:tcPr>
            <w:tcW w:w="3681" w:type="dxa"/>
            <w:vAlign w:val="center"/>
          </w:tcPr>
          <w:p w14:paraId="5D0B5B0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（1）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排斥习惯法【成文的罪刑法定】</w:t>
            </w:r>
          </w:p>
        </w:tc>
        <w:tc>
          <w:tcPr>
            <w:tcW w:w="4824" w:type="dxa"/>
            <w:vAlign w:val="center"/>
          </w:tcPr>
          <w:p w14:paraId="17B1427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不能适用习惯法（没有明文规定的习惯规则）定罪量刑（入罪）。当存在有利于行为人的习惯法，可能以行为人缺乏违法性认识的可能性为由，排除犯罪的成立</w:t>
            </w:r>
          </w:p>
        </w:tc>
      </w:tr>
      <w:tr w14:paraId="5F4D83EA">
        <w:trPr>
          <w:jc w:val="center"/>
        </w:trPr>
        <w:tc>
          <w:tcPr>
            <w:tcW w:w="3681" w:type="dxa"/>
            <w:vAlign w:val="center"/>
          </w:tcPr>
          <w:p w14:paraId="1397F90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（2）禁止（不利于被告人的）溯及既往【事前的罪刑法定】</w:t>
            </w:r>
          </w:p>
        </w:tc>
        <w:tc>
          <w:tcPr>
            <w:tcW w:w="4824" w:type="dxa"/>
            <w:vAlign w:val="center"/>
          </w:tcPr>
          <w:p w14:paraId="4839751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新法不利于被告人，不可溯及既往适用新法。新法有利于被告人，则可溯及既往适用新法</w:t>
            </w:r>
          </w:p>
        </w:tc>
      </w:tr>
      <w:tr w14:paraId="59ACE745">
        <w:trPr>
          <w:jc w:val="center"/>
        </w:trPr>
        <w:tc>
          <w:tcPr>
            <w:tcW w:w="3681" w:type="dxa"/>
            <w:vAlign w:val="center"/>
          </w:tcPr>
          <w:p w14:paraId="3BCA875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（3）禁止（不利于被告人的）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类推解释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【严格的罪刑法定】</w:t>
            </w:r>
          </w:p>
        </w:tc>
        <w:tc>
          <w:tcPr>
            <w:tcW w:w="4824" w:type="dxa"/>
            <w:vAlign w:val="center"/>
          </w:tcPr>
          <w:p w14:paraId="63B60A1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允许有利于被告人的类推解释；允许扩大解释、缩小解释</w:t>
            </w:r>
          </w:p>
        </w:tc>
      </w:tr>
      <w:tr w14:paraId="6ED89B11">
        <w:trPr>
          <w:jc w:val="center"/>
        </w:trPr>
        <w:tc>
          <w:tcPr>
            <w:tcW w:w="3681" w:type="dxa"/>
            <w:vAlign w:val="center"/>
          </w:tcPr>
          <w:p w14:paraId="59312BA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（4）禁止不确定刑【确定的罪刑法定】</w:t>
            </w:r>
          </w:p>
        </w:tc>
        <w:tc>
          <w:tcPr>
            <w:tcW w:w="4824" w:type="dxa"/>
            <w:vAlign w:val="center"/>
          </w:tcPr>
          <w:p w14:paraId="4E6409C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允许相对确定的法定刑</w:t>
            </w:r>
          </w:p>
        </w:tc>
      </w:tr>
      <w:tr w14:paraId="43E9CCE1">
        <w:trPr>
          <w:jc w:val="center"/>
        </w:trPr>
        <w:tc>
          <w:tcPr>
            <w:tcW w:w="3681" w:type="dxa"/>
            <w:vAlign w:val="center"/>
          </w:tcPr>
          <w:p w14:paraId="06C1D1B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（5）刑法明确性原则</w:t>
            </w:r>
          </w:p>
        </w:tc>
        <w:tc>
          <w:tcPr>
            <w:tcW w:w="4824" w:type="dxa"/>
            <w:vAlign w:val="center"/>
          </w:tcPr>
          <w:p w14:paraId="54971AB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对犯罪的构成要件的规定必须明确；对法律后果的规定必须明确</w:t>
            </w:r>
          </w:p>
        </w:tc>
      </w:tr>
      <w:tr w14:paraId="4A97419D">
        <w:trPr>
          <w:jc w:val="center"/>
        </w:trPr>
        <w:tc>
          <w:tcPr>
            <w:tcW w:w="3681" w:type="dxa"/>
            <w:vAlign w:val="center"/>
          </w:tcPr>
          <w:p w14:paraId="7B65B61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（6）禁止处罚不当罚的行为；禁止不均衡的、残虐的刑罚</w:t>
            </w:r>
          </w:p>
        </w:tc>
        <w:tc>
          <w:tcPr>
            <w:tcW w:w="4824" w:type="dxa"/>
            <w:vAlign w:val="center"/>
          </w:tcPr>
          <w:p w14:paraId="080889B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只能将值得科处刑罚的行为规定为犯罪；禁止不必要的精神、肉体的痛苦为内容，非人道的刑罚</w:t>
            </w:r>
          </w:p>
        </w:tc>
      </w:tr>
      <w:tr w14:paraId="174D7898">
        <w:trPr>
          <w:jc w:val="center"/>
        </w:trPr>
        <w:tc>
          <w:tcPr>
            <w:tcW w:w="8505" w:type="dxa"/>
            <w:gridSpan w:val="2"/>
            <w:vAlign w:val="center"/>
          </w:tcPr>
          <w:p w14:paraId="27BCF69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31" w:beforeLines="10" w:after="62" w:afterLines="20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罪刑法定原则的司法运用：定罪量刑须有法可依。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能够解释进刑法（包括扩大解释、将“种”解释进“属”），即可定罪；不能解释进刑法（例如类推解释），即使危害性很大，也不能定罪</w:t>
            </w:r>
          </w:p>
        </w:tc>
      </w:tr>
    </w:tbl>
    <w:p w14:paraId="42EACD4F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4D317C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1．罪刑法定原则的核心内容，是定罪量刑必须依据刑法的“明文规定”。</w:t>
      </w:r>
    </w:p>
    <w:p w14:paraId="21D5406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2．刑法解释中不存在“有利于被告人原则”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（1）在刑法中，对刑法解释的结论存在疑问时，并不一定采用有利于被告人的解释结论；扩大解释如不利于被告人，也可能是允许的。（2）“存疑有利于被告人”，是刑事诉讼根据证据认定事实时的原则。只有依据证据证明事实亦即事实认定存疑时，才适用“存疑有利于被告人”原则。</w:t>
      </w:r>
    </w:p>
    <w:p w14:paraId="77ACBB5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3．禁止溯及既往、禁止类推解释，是禁止不利于被告人的溯及既往、类推解释，但允许有利于被告人的溯及既往、类推解释。</w:t>
      </w:r>
    </w:p>
    <w:p w14:paraId="0D13EC1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  <w:lang w:val="en-US" w:eastAsia="zh-CN"/>
        </w:rPr>
        <w:t>简而言之：能靠上法条的——扩大解释；靠不上法条的——类推解释</w:t>
      </w:r>
    </w:p>
    <w:p w14:paraId="5053C9F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当然在措辞方面，如法考试题中出现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“禁止溯及既往”、“禁止类推解释”字句，通常是禁止不利于被告人的溯及既往、禁止不利于被告人类推解释的简略说法，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应当认为说法正确。只有出现“禁止一切溯及既往”、“禁止一切类推解释”，才认为说法错误。</w:t>
      </w:r>
    </w:p>
    <w:p w14:paraId="39783D1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4．罪刑法定原则的司法运用（需要精确查找到刑法原文的“明文规定”；学会“靠法条”思维）：</w:t>
      </w:r>
    </w:p>
    <w:p w14:paraId="54CC307C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罪刑法定原则在司法实务中的运用，需结合刑法解释来理解：定罪量刑须有法可依。因此，事实能够“靠上法条”、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能够解释进刑法（包括扩大解释、将“种”解释进“属”），可定罪；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事实“靠不上法条”、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不能解释进刑法（例如类推解释），即使危害性很大，也不能定罪。</w:t>
      </w:r>
    </w:p>
    <w:p w14:paraId="7DE2BBC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如果事实“靠不上”A法条，但能“靠上”B法条，能够按B法条定罪，也符合罪刑法定原则。只有全部法条都“靠不上”时，才不构成犯罪。</w:t>
      </w:r>
      <w:bookmarkStart w:id="0" w:name="_Toc219219865"/>
    </w:p>
    <w:p w14:paraId="131BCB36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AE69FED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  犯罪构成理论</w:t>
      </w:r>
      <w:bookmarkEnd w:id="0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21:19—22:48</w:t>
      </w:r>
      <w:bookmarkStart w:id="2" w:name="_GoBack"/>
      <w:bookmarkEnd w:id="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5C921FE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0" w:firstLineChars="0"/>
        <w:jc w:val="center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（客观不法—主观责任）</w:t>
      </w:r>
    </w:p>
    <w:p w14:paraId="2217CED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87DAD1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="楷体" w:hAnsi="楷体" w:eastAsia="楷体" w:cs="楷体"/>
          <w:color w:val="auto"/>
          <w:sz w:val="21"/>
          <w:szCs w:val="21"/>
        </w:rPr>
      </w:pPr>
      <w:r>
        <w:rPr>
          <w:rFonts w:hint="eastAsia" w:ascii="楷体" w:hAnsi="楷体" w:eastAsia="楷体" w:cs="楷体"/>
          <w:color w:val="auto"/>
          <w:kern w:val="0"/>
          <w:sz w:val="21"/>
          <w:szCs w:val="21"/>
        </w:rPr>
        <w:t>【事例：红糖杀人案】</w:t>
      </w:r>
      <w:r>
        <w:rPr>
          <w:rFonts w:hint="eastAsia" w:ascii="楷体" w:hAnsi="楷体" w:eastAsia="楷体" w:cs="楷体"/>
          <w:color w:val="auto"/>
          <w:sz w:val="21"/>
          <w:szCs w:val="21"/>
        </w:rPr>
        <w:t>甲怀有杀害乙的意图，认为红糖（蔗糖）可以杀人，遂将红糖投入乙的水杯中；一般人饮此红糖水本不致死。（1）假设情况一：正常体质的乙喝后毫无反应。（2）假设情况二：丙见此情形，偷偷将红糖调换为毒药，甲不知情仍然递给乙喝，乙喝后死亡。（3）假设情况三：乙患有非常奇怪的病症（红糖过敏），喝下红糖水后过敏死亡。</w:t>
      </w:r>
    </w:p>
    <w:p w14:paraId="38667B5D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="楷体" w:hAnsi="楷体" w:eastAsia="楷体" w:cs="楷体"/>
          <w:color w:val="auto"/>
          <w:sz w:val="21"/>
          <w:szCs w:val="21"/>
        </w:rPr>
      </w:pPr>
      <w:r>
        <w:rPr>
          <w:rFonts w:hint="eastAsia" w:ascii="楷体" w:hAnsi="楷体" w:eastAsia="楷体" w:cs="楷体"/>
          <w:color w:val="auto"/>
          <w:kern w:val="0"/>
          <w:sz w:val="21"/>
          <w:szCs w:val="21"/>
        </w:rPr>
        <w:t>【问题】</w:t>
      </w:r>
      <w:r>
        <w:rPr>
          <w:rFonts w:hint="eastAsia" w:ascii="楷体" w:hAnsi="楷体" w:eastAsia="楷体" w:cs="楷体"/>
          <w:color w:val="auto"/>
          <w:sz w:val="21"/>
          <w:szCs w:val="21"/>
        </w:rPr>
        <w:t>三种情况下对甲的行为如何认定？</w:t>
      </w:r>
    </w:p>
    <w:p w14:paraId="7C95CB8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="楷体" w:hAnsi="楷体" w:eastAsia="楷体" w:cs="楷体"/>
          <w:color w:val="FF0000"/>
          <w:sz w:val="21"/>
          <w:szCs w:val="21"/>
          <w:lang w:val="en-US" w:eastAsia="zh-CN"/>
        </w:rPr>
      </w:pPr>
      <w:r>
        <w:rPr>
          <w:rFonts w:hint="eastAsia" w:ascii="楷体" w:hAnsi="楷体" w:eastAsia="楷体" w:cs="楷体"/>
          <w:color w:val="FF0000"/>
          <w:sz w:val="21"/>
          <w:szCs w:val="21"/>
          <w:lang w:eastAsia="zh-CN"/>
        </w:rPr>
        <w:t>【</w:t>
      </w:r>
      <w:r>
        <w:rPr>
          <w:rFonts w:hint="eastAsia" w:ascii="楷体" w:hAnsi="楷体" w:eastAsia="楷体" w:cs="楷体"/>
          <w:color w:val="FF0000"/>
          <w:sz w:val="21"/>
          <w:szCs w:val="21"/>
          <w:lang w:val="en-US" w:eastAsia="zh-CN"/>
        </w:rPr>
        <w:t>提示</w:t>
      </w:r>
      <w:r>
        <w:rPr>
          <w:rFonts w:hint="eastAsia" w:ascii="楷体" w:hAnsi="楷体" w:eastAsia="楷体" w:cs="楷体"/>
          <w:color w:val="FF0000"/>
          <w:sz w:val="21"/>
          <w:szCs w:val="21"/>
          <w:lang w:eastAsia="zh-CN"/>
        </w:rPr>
        <w:t>】</w:t>
      </w:r>
      <w:r>
        <w:rPr>
          <w:rFonts w:hint="eastAsia" w:ascii="楷体" w:hAnsi="楷体" w:eastAsia="楷体" w:cs="楷体"/>
          <w:color w:val="FF0000"/>
          <w:sz w:val="21"/>
          <w:szCs w:val="21"/>
          <w:lang w:val="en-US" w:eastAsia="zh-CN"/>
        </w:rPr>
        <w:t>1.无罪（客观上不是杀人行为，主观上有杀人故意）。2.乙构成故意杀人罪，丙构成故意杀人罪（帮助犯）。3.故意杀人罪，特殊体质不中断因果关系（客观上，给过敏的人吃红糖大概率会致死，是杀人行为；主观上有杀人故意）。</w:t>
      </w:r>
    </w:p>
    <w:p w14:paraId="59842F3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="楷体" w:hAnsi="楷体" w:eastAsia="楷体" w:cs="楷体"/>
          <w:color w:val="FF0000"/>
          <w:sz w:val="21"/>
          <w:szCs w:val="21"/>
          <w:lang w:val="en-US" w:eastAsia="zh-CN"/>
        </w:rPr>
      </w:pPr>
      <w:r>
        <w:rPr>
          <w:rFonts w:hint="eastAsia" w:ascii="楷体" w:hAnsi="楷体" w:eastAsia="楷体" w:cs="楷体"/>
          <w:color w:val="FF0000"/>
          <w:sz w:val="21"/>
          <w:szCs w:val="21"/>
          <w:lang w:val="en-US" w:eastAsia="zh-CN"/>
        </w:rPr>
        <w:t>具体推理过程：（一）客观上：1、用红糖投给过敏的人，大概率导致死亡杀人行为；2、人：死亡结果；3、特殊特质不中断因果关系。（二）主观具体流程偏离，有杀人的故意。（三）客观主观相统一，根据刑法232条，构成故意杀人罪既遂。</w:t>
      </w:r>
    </w:p>
    <w:p w14:paraId="6E1577D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default" w:ascii="楷体" w:hAnsi="楷体" w:eastAsia="楷体" w:cs="楷体"/>
          <w:color w:val="FF0000"/>
          <w:sz w:val="21"/>
          <w:szCs w:val="21"/>
          <w:lang w:val="en-US" w:eastAsia="zh-CN"/>
        </w:rPr>
      </w:pPr>
    </w:p>
    <w:p w14:paraId="5CB43A2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default" w:ascii="楷体" w:hAnsi="楷体" w:eastAsia="楷体" w:cs="楷体"/>
          <w:color w:val="FF000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注意：客观判断不是根据行为人认识的判断，而是上帝视角判断</w:t>
      </w:r>
    </w:p>
    <w:p w14:paraId="221B596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第一个层面是从刑法典规定的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具体犯罪的成立条件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（构成要件要素）上进行理解。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例如，刑法典规定的故意杀人罪的构成要件为：客观上有杀的行为，对象是人（他人），（既遂）结果是死亡，死亡结果由杀的行为导致、有因果关系；要求行为人年满12周岁、具有刑事责任能力，主观方面具有杀人故意。</w:t>
      </w:r>
    </w:p>
    <w:p w14:paraId="0E414EC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eastAsia="宋体" w:cs="汉仪书宋二简"/>
          <w:b/>
          <w:bCs/>
          <w:color w:val="auto"/>
          <w:kern w:val="0"/>
          <w:lang w:eastAsia="zh-CN"/>
        </w:rPr>
        <w:t>【</w:t>
      </w:r>
      <w:r>
        <w:rPr>
          <w:rFonts w:hint="eastAsia" w:eastAsia="宋体" w:cs="汉仪书宋二简"/>
          <w:b/>
          <w:bCs/>
          <w:color w:val="auto"/>
          <w:kern w:val="0"/>
          <w:lang w:val="en-US" w:eastAsia="zh-CN"/>
        </w:rPr>
        <w:t>注意</w:t>
      </w:r>
      <w:r>
        <w:rPr>
          <w:rFonts w:hint="eastAsia" w:eastAsia="宋体" w:cs="汉仪书宋二简"/>
          <w:b/>
          <w:bCs/>
          <w:color w:val="auto"/>
          <w:kern w:val="0"/>
          <w:lang w:eastAsia="zh-CN"/>
        </w:rPr>
        <w:t>】</w:t>
      </w:r>
      <w:r>
        <w:rPr>
          <w:rFonts w:hint="eastAsia" w:eastAsia="宋体" w:cs="汉仪书宋二简"/>
          <w:b/>
          <w:bCs/>
          <w:color w:val="auto"/>
          <w:kern w:val="0"/>
        </w:rPr>
        <w:t>以故意杀人罪的判断为模板，将一个个案件事实点，对应于法条构成要件的规定：（可以将此精细化操作的方法推广至每一个罪名的判断，在自己系统复习时可以列表练习，便于熟练后的快速判断）</w:t>
      </w: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992"/>
        <w:gridCol w:w="1559"/>
        <w:gridCol w:w="3974"/>
      </w:tblGrid>
      <w:tr w14:paraId="035CA460">
        <w:trPr>
          <w:jc w:val="center"/>
        </w:trPr>
        <w:tc>
          <w:tcPr>
            <w:tcW w:w="1980" w:type="dxa"/>
            <w:vMerge w:val="restart"/>
            <w:vAlign w:val="center"/>
          </w:tcPr>
          <w:p w14:paraId="7A7744D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刑法规定的故意杀人罪的构成条件</w:t>
            </w:r>
          </w:p>
        </w:tc>
        <w:tc>
          <w:tcPr>
            <w:tcW w:w="992" w:type="dxa"/>
            <w:vMerge w:val="restart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4C99AAB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客观不法</w:t>
            </w:r>
          </w:p>
        </w:tc>
        <w:tc>
          <w:tcPr>
            <w:tcW w:w="1559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3E367BC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客体（法益）</w:t>
            </w: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4B36761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他人的生命权</w:t>
            </w:r>
          </w:p>
        </w:tc>
      </w:tr>
      <w:tr w14:paraId="2C25F664">
        <w:trPr>
          <w:jc w:val="center"/>
        </w:trPr>
        <w:tc>
          <w:tcPr>
            <w:tcW w:w="1980" w:type="dxa"/>
            <w:vMerge w:val="continue"/>
            <w:vAlign w:val="center"/>
          </w:tcPr>
          <w:p w14:paraId="141AB8D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6030D76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restart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4CC4946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客观要件</w:t>
            </w: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2C7F567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行为：杀（非法剥夺生命、支配生命）</w:t>
            </w:r>
          </w:p>
        </w:tc>
      </w:tr>
      <w:tr w14:paraId="7C5C1A5F">
        <w:trPr>
          <w:jc w:val="center"/>
        </w:trPr>
        <w:tc>
          <w:tcPr>
            <w:tcW w:w="1980" w:type="dxa"/>
            <w:vMerge w:val="continue"/>
            <w:vAlign w:val="center"/>
          </w:tcPr>
          <w:p w14:paraId="476A334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03DA8D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68834AF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0FDF160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行为对象：人（他人）</w:t>
            </w:r>
          </w:p>
        </w:tc>
      </w:tr>
      <w:tr w14:paraId="539DCA6A">
        <w:trPr>
          <w:jc w:val="center"/>
        </w:trPr>
        <w:tc>
          <w:tcPr>
            <w:tcW w:w="1980" w:type="dxa"/>
            <w:vMerge w:val="continue"/>
            <w:vAlign w:val="center"/>
          </w:tcPr>
          <w:p w14:paraId="746CB1E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08F30EB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6F895EA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0401C98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（既遂）结果：死亡</w:t>
            </w:r>
          </w:p>
        </w:tc>
      </w:tr>
      <w:tr w14:paraId="6B8AA2E1">
        <w:trPr>
          <w:jc w:val="center"/>
        </w:trPr>
        <w:tc>
          <w:tcPr>
            <w:tcW w:w="1980" w:type="dxa"/>
            <w:vMerge w:val="continue"/>
            <w:vAlign w:val="center"/>
          </w:tcPr>
          <w:p w14:paraId="676B141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11EE3FB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7C0F6AB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767E6F8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行为与死亡结果之间具有因果关系</w:t>
            </w:r>
          </w:p>
        </w:tc>
      </w:tr>
      <w:tr w14:paraId="68DA70ED">
        <w:trPr>
          <w:jc w:val="center"/>
        </w:trPr>
        <w:tc>
          <w:tcPr>
            <w:tcW w:w="1980" w:type="dxa"/>
            <w:vMerge w:val="continue"/>
            <w:vAlign w:val="center"/>
          </w:tcPr>
          <w:p w14:paraId="40977B2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0E5CC39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主观责任</w:t>
            </w:r>
          </w:p>
        </w:tc>
        <w:tc>
          <w:tcPr>
            <w:tcW w:w="1559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17C9313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主体要件</w:t>
            </w: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1C71898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责任年龄：已满12周岁</w:t>
            </w:r>
          </w:p>
          <w:p w14:paraId="4AB6FB7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具有责任能力（精神正常）</w:t>
            </w:r>
          </w:p>
        </w:tc>
      </w:tr>
      <w:tr w14:paraId="3F50044B">
        <w:trPr>
          <w:jc w:val="center"/>
        </w:trPr>
        <w:tc>
          <w:tcPr>
            <w:tcW w:w="1980" w:type="dxa"/>
            <w:vMerge w:val="continue"/>
            <w:vAlign w:val="center"/>
          </w:tcPr>
          <w:p w14:paraId="1F2B2CB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65FECB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3908AF6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主观要件</w:t>
            </w:r>
          </w:p>
        </w:tc>
        <w:tc>
          <w:tcPr>
            <w:tcW w:w="3974" w:type="dxa"/>
            <w:tcMar>
              <w:top w:w="15" w:type="dxa"/>
              <w:left w:w="51" w:type="dxa"/>
              <w:bottom w:w="0" w:type="dxa"/>
              <w:right w:w="51" w:type="dxa"/>
            </w:tcMar>
            <w:vAlign w:val="center"/>
          </w:tcPr>
          <w:p w14:paraId="1D3CC4A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15" w:beforeLines="5" w:after="46" w:afterLines="15" w:line="400" w:lineRule="atLeast"/>
              <w:ind w:firstLine="0" w:firstLineChars="0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Hans"/>
              </w:rPr>
              <w:t>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 xml:space="preserve">杀人故意 </w:t>
            </w:r>
          </w:p>
        </w:tc>
      </w:tr>
    </w:tbl>
    <w:p w14:paraId="7BC186BC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left="0" w:leftChars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A5AE42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第二个层面可从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认定犯罪（案情事实对应于刑法规范）的逻辑思考体系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上进行理解。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例如案情事实是：张三（13岁）为了报仇用斧子砍死了李四，情节恶劣，认定其是否构成故意杀人罪？裁判者需要判断案情事实是否能够“靠上”（符合）刑法典规定的故意杀人罪的全部条件，其认定顺序是：先看用斧子砍的行为是否是“杀”的行为，再看李四是否是“他人”，有无死亡的结果；然后再看张三是否达到了责任年龄、有无责任能力，主观上有无杀人故意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是按照行为、对象、结果、责任能力、罪过形式的顺序分别进行对应判断。</w:t>
      </w:r>
    </w:p>
    <w:p w14:paraId="0BE3C6F2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424AA0C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一、犯罪（分则之罪）：客观不法+主观责任</w:t>
      </w:r>
    </w:p>
    <w:p w14:paraId="4D9C66ED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刑法对所有犯罪（分则罪名）成立条件的规定，都可区分为“客观不法—主观责任”两个要件。</w:t>
      </w:r>
    </w:p>
    <w:p w14:paraId="0425606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将客观要件称为“不法”要件（围绕造成结果的行为展开），指行为客观上违反刑法规定、造成法益侵害的结果。客观不法要件又可细分为积极层面（即“构成要件该当性”）与消极层面（即“违法阻却事由”或“正当化事由”、“违法性”）。不法的积极层面即“构成要件该当性”，指案件符合刑法典分则规定的犯罪客观方面成立条件（即罪状），包括危害行为、行为对象、危害结果、因果关系、时间、地点、方法、数额、次数、情节、身份等要素；不法的消极层面即“违法阻却事由”，指案件符合正当防卫、紧急避险、被害人承诺情形，不具有法益侵害，尽管形式上符合分则罪状，但不认为是不法行为，而应认定为正当行为。</w:t>
      </w:r>
    </w:p>
    <w:p w14:paraId="416AF8B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（2）将主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要件称为“责任”要件（围绕行为人展开），指行为人达到刑事责任年龄、具有责任能力（精神正常），主观上具有故意、过失的过错，可以对其归咎非难，追究刑事责任。主观责任也可细分为积极层面与消极层面两个层面：积极层面包括责任年龄、责任能力（精神状况），故意、过失，目的、动机等要素，具备这些要素，行为人即可承担刑事责任；消极层面即“责任阻却事由”，包括不具认识可能性的违法性认识错误、欠缺期待可能性。</w:t>
      </w:r>
    </w:p>
    <w:tbl>
      <w:tblPr>
        <w:tblStyle w:val="9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6"/>
        <w:gridCol w:w="1134"/>
        <w:gridCol w:w="3685"/>
        <w:gridCol w:w="1985"/>
        <w:gridCol w:w="1285"/>
      </w:tblGrid>
      <w:tr w14:paraId="16B7DBD4">
        <w:trPr>
          <w:jc w:val="center"/>
        </w:trPr>
        <w:tc>
          <w:tcPr>
            <w:tcW w:w="416" w:type="dxa"/>
            <w:vMerge w:val="restart"/>
            <w:vAlign w:val="center"/>
          </w:tcPr>
          <w:p w14:paraId="3FD3BF0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客观不法</w:t>
            </w:r>
          </w:p>
        </w:tc>
        <w:tc>
          <w:tcPr>
            <w:tcW w:w="1134" w:type="dxa"/>
            <w:vAlign w:val="center"/>
          </w:tcPr>
          <w:p w14:paraId="3954146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构成要件该当性</w:t>
            </w:r>
          </w:p>
        </w:tc>
        <w:tc>
          <w:tcPr>
            <w:tcW w:w="3685" w:type="dxa"/>
            <w:vAlign w:val="center"/>
          </w:tcPr>
          <w:p w14:paraId="699FC1B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案件符合刑法典分则规定的犯罪客观方面成立条件即罪状（行为、对象、结果、因果关系；时间、地点、方法；身份；数额、次数、情节）</w:t>
            </w:r>
          </w:p>
        </w:tc>
        <w:tc>
          <w:tcPr>
            <w:tcW w:w="1985" w:type="dxa"/>
            <w:vAlign w:val="center"/>
          </w:tcPr>
          <w:p w14:paraId="30D7141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该当杀人罪罪状（构成要件）：甲砍死乙</w:t>
            </w:r>
          </w:p>
        </w:tc>
        <w:tc>
          <w:tcPr>
            <w:tcW w:w="1285" w:type="dxa"/>
            <w:vMerge w:val="restart"/>
            <w:vAlign w:val="center"/>
          </w:tcPr>
          <w:p w14:paraId="462BBB2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本质是法益侵害</w:t>
            </w:r>
          </w:p>
        </w:tc>
      </w:tr>
      <w:tr w14:paraId="3F3E9AB1">
        <w:trPr>
          <w:jc w:val="center"/>
        </w:trPr>
        <w:tc>
          <w:tcPr>
            <w:tcW w:w="416" w:type="dxa"/>
            <w:vMerge w:val="continue"/>
            <w:vAlign w:val="center"/>
          </w:tcPr>
          <w:p w14:paraId="267915E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E49259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违法阻却事由</w:t>
            </w:r>
          </w:p>
        </w:tc>
        <w:tc>
          <w:tcPr>
            <w:tcW w:w="3685" w:type="dxa"/>
            <w:vAlign w:val="center"/>
          </w:tcPr>
          <w:p w14:paraId="2734DFD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正当化事由（正当防卫、紧急避险、被害人承诺等）</w:t>
            </w:r>
          </w:p>
        </w:tc>
        <w:tc>
          <w:tcPr>
            <w:tcW w:w="1985" w:type="dxa"/>
            <w:vAlign w:val="center"/>
          </w:tcPr>
          <w:p w14:paraId="327AF7F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该当罪状但不违法：甲正当防卫杀死正在实施抢劫的歹徒乙</w:t>
            </w:r>
          </w:p>
        </w:tc>
        <w:tc>
          <w:tcPr>
            <w:tcW w:w="1285" w:type="dxa"/>
            <w:vMerge w:val="continue"/>
            <w:vAlign w:val="center"/>
          </w:tcPr>
          <w:p w14:paraId="3288A56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  <w:tr w14:paraId="09D85F7B">
        <w:trPr>
          <w:jc w:val="center"/>
        </w:trPr>
        <w:tc>
          <w:tcPr>
            <w:tcW w:w="416" w:type="dxa"/>
            <w:vMerge w:val="restart"/>
            <w:vAlign w:val="center"/>
          </w:tcPr>
          <w:p w14:paraId="5FC1413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主观责任</w:t>
            </w:r>
          </w:p>
        </w:tc>
        <w:tc>
          <w:tcPr>
            <w:tcW w:w="1134" w:type="dxa"/>
            <w:vAlign w:val="center"/>
          </w:tcPr>
          <w:p w14:paraId="13EF5DF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积极责任要素</w:t>
            </w:r>
          </w:p>
        </w:tc>
        <w:tc>
          <w:tcPr>
            <w:tcW w:w="3685" w:type="dxa"/>
            <w:vAlign w:val="center"/>
          </w:tcPr>
          <w:p w14:paraId="60F523D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责任年龄、责任能力，故意、过失；目的、动机，可归咎</w:t>
            </w:r>
          </w:p>
        </w:tc>
        <w:tc>
          <w:tcPr>
            <w:tcW w:w="1985" w:type="dxa"/>
            <w:vAlign w:val="center"/>
          </w:tcPr>
          <w:p w14:paraId="376D287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不法但不具责任：10周岁的甲杀死无辜者乙</w:t>
            </w:r>
          </w:p>
        </w:tc>
        <w:tc>
          <w:tcPr>
            <w:tcW w:w="1285" w:type="dxa"/>
            <w:vMerge w:val="restart"/>
            <w:vAlign w:val="center"/>
          </w:tcPr>
          <w:p w14:paraId="71B6B8B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本质是期待可能性</w:t>
            </w:r>
          </w:p>
        </w:tc>
      </w:tr>
      <w:tr w14:paraId="02163EBF">
        <w:trPr>
          <w:jc w:val="center"/>
        </w:trPr>
        <w:tc>
          <w:tcPr>
            <w:tcW w:w="416" w:type="dxa"/>
            <w:vMerge w:val="continue"/>
            <w:vAlign w:val="center"/>
          </w:tcPr>
          <w:p w14:paraId="4CD3AAD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F4E5DB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责任阻却事由</w:t>
            </w:r>
          </w:p>
        </w:tc>
        <w:tc>
          <w:tcPr>
            <w:tcW w:w="3685" w:type="dxa"/>
            <w:vAlign w:val="center"/>
          </w:tcPr>
          <w:p w14:paraId="2C6EEEC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不具认识可能性的违法性认识错误、欠缺期待可能性</w:t>
            </w:r>
          </w:p>
        </w:tc>
        <w:tc>
          <w:tcPr>
            <w:tcW w:w="1985" w:type="dxa"/>
            <w:vAlign w:val="center"/>
          </w:tcPr>
          <w:p w14:paraId="36CA4CE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有故意但无责任：甲女明知自己有配偶，因流落失所、迫于生计被迫重婚</w:t>
            </w:r>
          </w:p>
        </w:tc>
        <w:tc>
          <w:tcPr>
            <w:tcW w:w="1285" w:type="dxa"/>
            <w:vMerge w:val="continue"/>
            <w:vAlign w:val="center"/>
          </w:tcPr>
          <w:p w14:paraId="09F4741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31" w:beforeLines="10" w:after="62" w:afterLines="20" w:line="400" w:lineRule="atLeast"/>
              <w:ind w:firstLine="0" w:firstLine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</w:tr>
    </w:tbl>
    <w:p w14:paraId="2A71D53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spacing w:val="-3"/>
          <w:kern w:val="0"/>
          <w:sz w:val="21"/>
          <w:szCs w:val="21"/>
        </w:rPr>
      </w:pPr>
    </w:p>
    <w:p w14:paraId="6C0C8E4B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08"/>
        <w:textAlignment w:val="auto"/>
        <w:rPr>
          <w:rFonts w:hint="eastAsia" w:asciiTheme="minorEastAsia" w:hAnsiTheme="minorEastAsia" w:eastAsiaTheme="minorEastAsia" w:cstheme="minorEastAsia"/>
          <w:color w:val="auto"/>
          <w:spacing w:val="-3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3"/>
          <w:kern w:val="0"/>
          <w:sz w:val="21"/>
          <w:szCs w:val="21"/>
        </w:rPr>
        <w:t>通俗的理解可以认为：</w:t>
      </w:r>
      <w:r>
        <w:rPr>
          <w:rFonts w:hint="eastAsia" w:asciiTheme="minorEastAsia" w:hAnsiTheme="minorEastAsia" w:eastAsiaTheme="minorEastAsia" w:cstheme="minorEastAsia"/>
          <w:color w:val="auto"/>
          <w:spacing w:val="-3"/>
          <w:kern w:val="0"/>
          <w:sz w:val="21"/>
          <w:szCs w:val="21"/>
        </w:rPr>
        <w:t>任何犯罪的成立都需具备“客观要件”（不法）与“主观要件”（责任）两方面的要件。犯罪即是“客观、主观相统一”，亦即，犯罪是“不法”、“有责任”的行为。</w:t>
      </w:r>
    </w:p>
    <w:p w14:paraId="49E22A4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jc w:val="center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47C1147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二、“客观不法—主观责任”是进行刑法推理的思维基础</w:t>
      </w:r>
    </w:p>
    <w:p w14:paraId="5540B7A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在犯罪认定中须递进判断“不法”行为（危害行为）和“构成犯罪（分则之罪）”。</w:t>
      </w:r>
    </w:p>
    <w:p w14:paraId="2ED20BA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只有具备客观不法、主观责任两个方面的条件，犯罪（分则之罪）才能成立。认定犯罪之时，也是先判断行为是否属于“不法”行为（危害行为），然后判断行为人是否具有“责任”（刑事责任），只有两方面的条件都具备，还能认为“构成犯罪（分则之罪）”。</w:t>
      </w:r>
    </w:p>
    <w:p w14:paraId="1663423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需要注意的是：“犯罪”一词具有多义性。①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刑法典中“犯罪”一词的含义，大部分是指“客观不法”（=“犯罪行为”=“危害行为”），而不考虑责任要素（刑事责任年龄、精神状况等）。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②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而“构成某罪”、“宣判有罪”，才是指客观不法、主观责任两个要件都要具备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。</w:t>
      </w:r>
    </w:p>
    <w:p w14:paraId="0B0591F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val="en-US" w:eastAsia="zh-CN"/>
        </w:rPr>
        <w:t>注意：第二章 犯罪 指客观主观的构成犯罪；第二章第一节中的犯罪指客观不法</w:t>
      </w:r>
    </w:p>
    <w:p w14:paraId="63B1781C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</w:p>
    <w:p w14:paraId="60269CFD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三、犯罪判断的逻辑顺序：先客观判断（不法）后主观判断（责任）</w:t>
      </w:r>
    </w:p>
    <w:p w14:paraId="4461827B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所有犯罪（分则罪名）的成立都需具备“客观不法—主观责任”两个要件，并且，犯罪判断的逻辑顺序也是阶层性的：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先判断行为是否客观不法，再判断行为人是否主观责任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在客观不法层面，先判断案情是否符合罪状（形式违法性），再判断其是否侵害法益（实质违法性）。从而形成了先客观判断（不法）后主观判断（有责）、先形式判断（是否符合分则条文）后实质判断（是否法益侵害）的逻辑顺序。</w:t>
      </w:r>
    </w:p>
    <w:p w14:paraId="6BD78A1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尤其是：应当首先需判断行为客观上是否具有危害性（是否是危害行为），然后判断行为人主观上有无过错。而不能相反，认为行为人主观上具有过错（故意、过失），就顺其自然地认定其行为是危害行为，不单独进行客观判断，就认为其行为构成犯罪。</w:t>
      </w:r>
    </w:p>
    <w:p w14:paraId="46D9734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2．按照先客观后主观的认定顺序，首先需要对行为危害性（客观危险性）进行判断。所谓行为危害性，指依照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社会公众的立场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，依据行为当时存在的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客观素材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，判断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行为当时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是否具有造成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危害结果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的可能性。</w:t>
      </w:r>
      <w:bookmarkStart w:id="1" w:name="_Hlk45062022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具体而言，先根据社会意义上的危害行为标准（创设、增加风险）认定，再根据刑法规定，看是否属于刑法规定的483种危害行为类型（罪刑法定）。</w:t>
      </w:r>
      <w:bookmarkEnd w:id="1"/>
    </w:p>
    <w:p w14:paraId="1F28BD1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kern w:val="0"/>
          <w:sz w:val="21"/>
          <w:szCs w:val="21"/>
        </w:rPr>
        <w:t>社会意义上危害行为的本质在于创设、增加了风险；没有增加风险、降低风险的行为不是危害行为。</w:t>
      </w:r>
    </w:p>
    <w:p w14:paraId="2B1FBF2B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（2）实行行为要求支配结果。不具结果发生可能性；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行为时不支配结果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，如日常生活行为（风险微小）、发生结果概率极低的行为，均不属危害行为（实行行为）。</w:t>
      </w:r>
    </w:p>
    <w:p w14:paraId="77B2DDE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42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8C8B603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四、客观不法与主观责任相统一（“客观主观相统一”）</w:t>
      </w:r>
    </w:p>
    <w:p w14:paraId="06FB7499">
      <w:pPr>
        <w:pStyle w:val="5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（一）两要件全部要素都具备，才构成分则之罪</w:t>
      </w:r>
    </w:p>
    <w:p w14:paraId="583EAC8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构成分则罪名需具备客观不法、主观责任两方面要件（刑法规定的全部构成要件要素都具备），欠缺任一要素不能认定构成分则之罪。</w:t>
      </w:r>
    </w:p>
    <w:p w14:paraId="776EA36B">
      <w:pPr>
        <w:pStyle w:val="5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（二）行为与责任同时性原则</w:t>
      </w:r>
    </w:p>
    <w:p w14:paraId="7B0946B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要求行为人实施不法行为当时具备相应的责任要素。</w:t>
      </w:r>
    </w:p>
    <w:p w14:paraId="2DE9D0FD">
      <w:pPr>
        <w:pStyle w:val="5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400" w:lineRule="atLeast"/>
        <w:ind w:firstLine="252" w:firstLineChars="1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（三）客观主观相统一</w:t>
      </w:r>
    </w:p>
    <w:p w14:paraId="5367A2A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400" w:lineRule="atLeast"/>
        <w:ind w:firstLine="420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在事实层面上，当客观不法与主观责任要素并不完全一致时；在构成要件层面上，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应当在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重合的范围内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认定罪名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。</w:t>
      </w:r>
    </w:p>
    <w:p w14:paraId="3FA252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atLeast"/>
        <w:ind w:firstLine="0" w:firstLineChars="0"/>
        <w:textAlignment w:val="auto"/>
        <w:rPr>
          <w:rFonts w:hint="eastAsia" w:eastAsia="宋体"/>
          <w:b/>
          <w:bCs/>
          <w:color w:val="auto"/>
        </w:rPr>
      </w:pPr>
    </w:p>
    <w:p w14:paraId="5268A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atLeast"/>
        <w:ind w:firstLine="0" w:firstLineChars="0"/>
        <w:textAlignment w:val="auto"/>
        <w:rPr>
          <w:rFonts w:hint="eastAsia" w:eastAsia="宋体"/>
          <w:b/>
          <w:bCs/>
          <w:color w:val="auto"/>
          <w:lang w:eastAsia="zh-CN"/>
        </w:rPr>
      </w:pPr>
      <w:r>
        <w:rPr>
          <w:rFonts w:hint="eastAsia" w:eastAsia="宋体"/>
          <w:b/>
          <w:bCs/>
          <w:color w:val="auto"/>
        </w:rPr>
        <w:t>本讲精华总结</w:t>
      </w:r>
      <w:r>
        <w:rPr>
          <w:rFonts w:hint="eastAsia" w:eastAsia="宋体"/>
          <w:b/>
          <w:bCs/>
          <w:color w:val="auto"/>
          <w:lang w:eastAsia="zh-CN"/>
        </w:rPr>
        <w:t>：</w:t>
      </w:r>
    </w:p>
    <w:p w14:paraId="56461001">
      <w:pPr>
        <w:pStyle w:val="12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400" w:lineRule="atLeast"/>
        <w:ind w:firstLineChars="0"/>
        <w:textAlignment w:val="auto"/>
        <w:rPr>
          <w:rFonts w:eastAsia="宋体"/>
        </w:rPr>
      </w:pPr>
      <w:r>
        <w:rPr>
          <w:rFonts w:hint="eastAsia" w:eastAsia="宋体"/>
        </w:rPr>
        <w:t>万事有依据，结论靠推理</w:t>
      </w:r>
    </w:p>
    <w:p w14:paraId="70DFA395">
      <w:pPr>
        <w:pStyle w:val="12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400" w:lineRule="atLeast"/>
        <w:ind w:firstLineChars="0"/>
        <w:textAlignment w:val="auto"/>
        <w:rPr>
          <w:rFonts w:hint="eastAsia" w:eastAsia="宋体"/>
        </w:rPr>
      </w:pPr>
      <w:r>
        <w:rPr>
          <w:rFonts w:hint="eastAsia" w:eastAsia="宋体"/>
        </w:rPr>
        <w:t>犯罪构成理论，先客观后主观，客观主观相统一。</w:t>
      </w:r>
    </w:p>
    <w:p w14:paraId="17B7FCC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atLeast"/>
        <w:textAlignment w:val="auto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Arial">
    <w:panose1 w:val="020B0704020202020204"/>
    <w:charset w:val="00"/>
    <w:family w:val="auto"/>
    <w:pitch w:val="default"/>
    <w:sig w:usb0="E0002AFF" w:usb1="C0007843" w:usb2="00000009" w:usb3="00000000" w:csb0="400001FF" w:csb1="FFFF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altName w:val="汉仪楷体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SimSun-ExtB">
    <w:altName w:val="华文宋体"/>
    <w:panose1 w:val="02010609060101010101"/>
    <w:charset w:val="86"/>
    <w:family w:val="modern"/>
    <w:pitch w:val="default"/>
    <w:sig w:usb0="00000000" w:usb1="00000000" w:usb2="0000001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2108E5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D7CDFC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D7CDFC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5EB37A3"/>
    <w:multiLevelType w:val="multilevel"/>
    <w:tmpl w:val="35EB37A3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宋体" w:hAnsi="宋体" w:eastAsia="宋体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F14DEA"/>
    <w:rsid w:val="17FFE120"/>
    <w:rsid w:val="1BB55AD8"/>
    <w:rsid w:val="22BF6A98"/>
    <w:rsid w:val="27FAA44A"/>
    <w:rsid w:val="2BFDE82E"/>
    <w:rsid w:val="2DF7D90E"/>
    <w:rsid w:val="2EDB2618"/>
    <w:rsid w:val="2EF01358"/>
    <w:rsid w:val="2FFE56CB"/>
    <w:rsid w:val="36E21F9F"/>
    <w:rsid w:val="36EFE7BD"/>
    <w:rsid w:val="37FE6CF0"/>
    <w:rsid w:val="3DF7A35D"/>
    <w:rsid w:val="3E53F035"/>
    <w:rsid w:val="3FC2AA3B"/>
    <w:rsid w:val="4EBE4853"/>
    <w:rsid w:val="50DC8380"/>
    <w:rsid w:val="51FF6919"/>
    <w:rsid w:val="53E7125E"/>
    <w:rsid w:val="55CF56E6"/>
    <w:rsid w:val="576F28F9"/>
    <w:rsid w:val="57EFEB90"/>
    <w:rsid w:val="5C7F4213"/>
    <w:rsid w:val="5FE7D19C"/>
    <w:rsid w:val="661A08D3"/>
    <w:rsid w:val="67F6BCF0"/>
    <w:rsid w:val="67FBA7AB"/>
    <w:rsid w:val="6B7FBB79"/>
    <w:rsid w:val="6FF79AB1"/>
    <w:rsid w:val="753D72F9"/>
    <w:rsid w:val="759F83C2"/>
    <w:rsid w:val="796F05D2"/>
    <w:rsid w:val="7C931312"/>
    <w:rsid w:val="7CD78368"/>
    <w:rsid w:val="7D733BDC"/>
    <w:rsid w:val="7DDF7A5C"/>
    <w:rsid w:val="7DF14DEA"/>
    <w:rsid w:val="7E5EEF06"/>
    <w:rsid w:val="7E9D065E"/>
    <w:rsid w:val="7F2FD29D"/>
    <w:rsid w:val="7FCFB8DF"/>
    <w:rsid w:val="7FE9D6F8"/>
    <w:rsid w:val="7FFD0739"/>
    <w:rsid w:val="7FFF77F5"/>
    <w:rsid w:val="8BFDA236"/>
    <w:rsid w:val="99D49E8E"/>
    <w:rsid w:val="B3EE5D26"/>
    <w:rsid w:val="BEDFBE5C"/>
    <w:rsid w:val="BEFCF81F"/>
    <w:rsid w:val="BEFE1C76"/>
    <w:rsid w:val="BFFBE68B"/>
    <w:rsid w:val="BFFF8656"/>
    <w:rsid w:val="CD7DA768"/>
    <w:rsid w:val="D2F1EFED"/>
    <w:rsid w:val="D2FF5AE5"/>
    <w:rsid w:val="DB070BE8"/>
    <w:rsid w:val="DDFBB46E"/>
    <w:rsid w:val="DEBFA60D"/>
    <w:rsid w:val="DF9E3450"/>
    <w:rsid w:val="DFFFB2DD"/>
    <w:rsid w:val="E71F0F10"/>
    <w:rsid w:val="E7FC0539"/>
    <w:rsid w:val="EFEDF351"/>
    <w:rsid w:val="F3AD33C9"/>
    <w:rsid w:val="F4DF5A18"/>
    <w:rsid w:val="F77D75B4"/>
    <w:rsid w:val="F8BF4251"/>
    <w:rsid w:val="F97B7AA7"/>
    <w:rsid w:val="F9DF1F8E"/>
    <w:rsid w:val="FCD76A54"/>
    <w:rsid w:val="FCFD716C"/>
    <w:rsid w:val="FDFA7636"/>
    <w:rsid w:val="FEFE26C9"/>
    <w:rsid w:val="FF29BEE1"/>
    <w:rsid w:val="FF3FC184"/>
    <w:rsid w:val="FFBF9CDA"/>
    <w:rsid w:val="FFD8F5DE"/>
    <w:rsid w:val="FFF3D709"/>
    <w:rsid w:val="FFF7C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table" w:styleId="9">
    <w:name w:val="Table Grid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网格型1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2">
    <w:name w:val="List Paragraph"/>
    <w:basedOn w:val="1"/>
    <w:qFormat/>
    <w:uiPriority w:val="34"/>
    <w:pPr>
      <w:tabs>
        <w:tab w:val="clear" w:pos="420"/>
      </w:tabs>
      <w:spacing w:line="240" w:lineRule="auto"/>
      <w:ind w:left="720" w:firstLine="200"/>
      <w:contextualSpacing/>
    </w:pPr>
    <w:rPr>
      <w:rFonts w:eastAsia="SimSun-ExtB" w:asciiTheme="minorHAnsi" w:hAnsiTheme="minorHAnsi" w:cstheme="minorBidi"/>
      <w:color w:val="auto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2025-07-30T08:14:00Z</dcterms:created>
  <dc:creator>Data</dc:creator>
  <cp:lastModifiedBy>ANXIOUS  YZH</cp:lastModifiedBy>
  <dcterms:modified xsi:type="dcterms:W3CDTF">2026-03-29T22:49:42Z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7CD85D9BC3C439ECFE828868C9F27BF0_41</vt:lpwstr>
  </property>
</Properties>
</file>