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4C7D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default"/>
          <w:sz w:val="28"/>
          <w:szCs w:val="28"/>
          <w:lang w:val="en-US" w:eastAsia="zh-CN"/>
        </w:rPr>
      </w:pPr>
      <w:bookmarkStart w:id="0" w:name="_GoBack"/>
      <w:r>
        <w:rPr>
          <w:rFonts w:hint="eastAsia"/>
          <w:b/>
          <w:bCs/>
          <w:sz w:val="28"/>
          <w:szCs w:val="28"/>
          <w:lang w:val="en-US" w:eastAsia="zh-CN"/>
        </w:rPr>
        <w:t>民诉第九讲课堂笔记（考点30-33）</w:t>
      </w:r>
    </w:p>
    <w:p w14:paraId="4904F4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default" w:ascii="Times New Roman Regular" w:hAnsi="Times New Roman Regular" w:cs="Times New Roman Regular"/>
          <w:b/>
          <w:bCs/>
          <w:sz w:val="21"/>
          <w:szCs w:val="21"/>
          <w:lang w:val="en-US" w:eastAsia="zh-CN"/>
        </w:rPr>
      </w:pPr>
      <w:r>
        <w:rPr>
          <w:rFonts w:hint="eastAsia" w:ascii="Times New Roman Regular" w:hAnsi="Times New Roman Regular" w:cs="Times New Roman Regular"/>
          <w:b/>
          <w:bCs/>
          <w:sz w:val="21"/>
          <w:szCs w:val="21"/>
          <w:lang w:val="en-US" w:eastAsia="zh-CN"/>
        </w:rPr>
        <w:t>【考点30:督促程序】</w:t>
      </w:r>
    </w:p>
    <w:p w14:paraId="378383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一、督促程序特点</w:t>
      </w:r>
    </w:p>
    <w:p w14:paraId="572FF8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（一）适用范围受限</w:t>
      </w:r>
    </w:p>
    <w:p w14:paraId="752227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案件类型：仅适用于债权人请求债务人给付金钱和有价证券的案件。</w:t>
      </w:r>
    </w:p>
    <w:p w14:paraId="151248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适用法院：仅适用于基层法院，中级以上法院不得适用。</w:t>
      </w:r>
    </w:p>
    <w:p w14:paraId="69CC09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（二）程序非讼性</w:t>
      </w:r>
    </w:p>
    <w:p w14:paraId="1C4330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督促程序不解决当事人之间债权债务关系的争议。督促程序依债权人申请而启动，法院对申请进行书面审查，符合条件即发出支付令。该程序不存在双方当事人辩论与质证环节，债务人提出有效的异议后，程序即告终结。</w:t>
      </w:r>
    </w:p>
    <w:p w14:paraId="20C99A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（三）审理过程简便</w:t>
      </w:r>
    </w:p>
    <w:p w14:paraId="200A9F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法院适用督促程序，无需开庭，审判员一人书面审查，一审终审。</w:t>
      </w:r>
    </w:p>
    <w:p w14:paraId="577C43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二、支付令的发出</w:t>
      </w:r>
    </w:p>
    <w:p w14:paraId="69E409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（一）法院发出支付令的条件</w:t>
      </w:r>
    </w:p>
    <w:p w14:paraId="0135AA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1．债权人请求债务人给付的标的必须是金钱和有价证券；</w:t>
      </w:r>
    </w:p>
    <w:p w14:paraId="4D72F2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2．请求给付的金钱或有价证券已到期且数额确定；</w:t>
      </w:r>
    </w:p>
    <w:p w14:paraId="3159EB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3．债权人与债务人之间不存在对待给付义务；</w:t>
      </w:r>
    </w:p>
    <w:p w14:paraId="5FA3DC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4．债务人在我国境内且未下落不明，支付令能够送达债务人；</w:t>
      </w:r>
    </w:p>
    <w:p w14:paraId="303A4C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5．债权人未向法院申请诉前保全。</w:t>
      </w:r>
    </w:p>
    <w:p w14:paraId="68D719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（二）支付令的送达方式</w:t>
      </w:r>
    </w:p>
    <w:p w14:paraId="4C5174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支付令应向债务人本人直接送达，债务人拒绝接收，法院可以留置送达。</w:t>
      </w:r>
    </w:p>
    <w:p w14:paraId="6EAF7C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eastAsia" w:ascii="Times New Roman Regular" w:hAnsi="Times New Roman Regular" w:cs="Times New Roman Regular"/>
          <w:sz w:val="21"/>
          <w:szCs w:val="21"/>
          <w:u w:val="none"/>
          <w:lang w:val="en-US" w:eastAsia="zh-CN"/>
        </w:rPr>
        <w:t>【注意】</w:t>
      </w: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支付令不适用公告送达。</w:t>
      </w:r>
    </w:p>
    <w:p w14:paraId="111020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（三）支付令送达的法律后果</w:t>
      </w:r>
    </w:p>
    <w:p w14:paraId="7C1B0A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1．债务人应当自收到支付令之日起15日内清偿债务，或者向法院提出书面异议；</w:t>
      </w:r>
    </w:p>
    <w:p w14:paraId="0FB937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2．债务人在法定期间内既不提出异议又不履行支付令，债权人可以向法院申请强制执行。</w:t>
      </w:r>
    </w:p>
    <w:p w14:paraId="7E2635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（四）支付令效力的拘束对象</w:t>
      </w:r>
    </w:p>
    <w:p w14:paraId="208EA7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对设有担保的债务的主债务人发出的支付令，对担保人没有拘束力。</w:t>
      </w:r>
    </w:p>
    <w:p w14:paraId="557047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债权人就担保关系单独提起诉讼的，支付令自法院受理案件之日起失效。</w:t>
      </w:r>
    </w:p>
    <w:p w14:paraId="2B4A3F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三、支付令异议的提出与审查</w:t>
      </w:r>
    </w:p>
    <w:p w14:paraId="1AD950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（一）支付令异议的条件</w:t>
      </w:r>
    </w:p>
    <w:p w14:paraId="122334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1．债务人应在15日内提出异议的，自债务人收到支付令之日起计算；</w:t>
      </w:r>
    </w:p>
    <w:p w14:paraId="3CBDF9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2．债务人必须以书面形式提出异议。</w:t>
      </w:r>
    </w:p>
    <w:p w14:paraId="4C7200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法院对债务人在法定期间提出的书面异议，只进行形式审查，无须审查异议是否属实。</w:t>
      </w:r>
    </w:p>
    <w:p w14:paraId="23E4BD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（二）债务人无效异议的情形</w:t>
      </w:r>
    </w:p>
    <w:p w14:paraId="2C9EE0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1．债务人对债务本身无异议，仅提出缺乏清偿能力、延缓债务清偿期限、变更债务清偿方式等，不影响支付令效力。</w:t>
      </w:r>
    </w:p>
    <w:p w14:paraId="240D94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2．债务人口头异议无效。</w:t>
      </w:r>
    </w:p>
    <w:p w14:paraId="07C444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3．债务人超过法定期间提出异议无效。</w:t>
      </w:r>
    </w:p>
    <w:p w14:paraId="591F37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4．债务人未在法定期间内提出书面异议，向其他法院起诉，不影响支付令效力。</w:t>
      </w:r>
    </w:p>
    <w:p w14:paraId="091014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5．债权人有多项独立的支付请求，债务人仅就其中某一项请求提出异议，该异议对其他支付请求无效。</w:t>
      </w:r>
    </w:p>
    <w:p w14:paraId="60B93C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6．债权人基于同一债权债务关系，就可分之债向多个债务人提出支付请求，多个债务人中的一人或者几人提出异议，该异议对其他请求无效。</w:t>
      </w:r>
    </w:p>
    <w:p w14:paraId="0B5013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（三）异议的撤回</w:t>
      </w:r>
    </w:p>
    <w:p w14:paraId="6A07C1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法院作出终结督促程序或者驳回异议裁定前，债务人请求撤回异议，应当裁定准许。债务人对撤回异议反悔的，法院不予支持。</w:t>
      </w:r>
    </w:p>
    <w:p w14:paraId="2622B9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四、异议成立的法律后果</w:t>
      </w:r>
    </w:p>
    <w:p w14:paraId="4CE252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（一）终结督促程序</w:t>
      </w:r>
    </w:p>
    <w:p w14:paraId="35F44A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法院应使用裁定终结督促程序，一经作出即发生法律效力。</w:t>
      </w:r>
    </w:p>
    <w:p w14:paraId="636A82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（二）支付令失效</w:t>
      </w:r>
    </w:p>
    <w:p w14:paraId="2B8131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债务人提出书面异议成立，支付令自行失效，不能成为执行根据。</w:t>
      </w:r>
    </w:p>
    <w:p w14:paraId="5D007C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（三）督促程序与诉讼程序的衔接</w:t>
      </w:r>
    </w:p>
    <w:p w14:paraId="354AFF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支付令失效后，法院应将案件转为诉讼程序审理。但申请支付令的一方当事人自收到终结督促程序裁定之日起7日内明确表示不同意提出诉讼的除外。</w:t>
      </w:r>
    </w:p>
    <w:p w14:paraId="1A1747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债权人提出支付令申请的时间，即为向法院起诉的时间。</w:t>
      </w:r>
    </w:p>
    <w:p w14:paraId="439D5E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</w:p>
    <w:p w14:paraId="0B8751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eastAsia" w:ascii="Times New Roman Regular" w:hAnsi="Times New Roman Regular" w:cs="Times New Roman Regular"/>
          <w:b/>
          <w:bCs/>
          <w:sz w:val="21"/>
          <w:szCs w:val="21"/>
          <w:u w:val="none"/>
          <w:lang w:val="en-US" w:eastAsia="zh-CN"/>
        </w:rPr>
      </w:pPr>
      <w:r>
        <w:rPr>
          <w:rFonts w:hint="eastAsia" w:ascii="Times New Roman Regular" w:hAnsi="Times New Roman Regular" w:cs="Times New Roman Regular"/>
          <w:b/>
          <w:bCs/>
          <w:sz w:val="21"/>
          <w:szCs w:val="21"/>
          <w:u w:val="none"/>
          <w:lang w:val="en-US" w:eastAsia="zh-CN"/>
        </w:rPr>
        <w:t>【考点31:公示催告程序】</w:t>
      </w:r>
    </w:p>
    <w:p w14:paraId="124440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一、公示催告程序特征</w:t>
      </w:r>
    </w:p>
    <w:p w14:paraId="2C68E3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（一）程序的非讼性</w:t>
      </w:r>
    </w:p>
    <w:p w14:paraId="125DF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公示催告程序并不解决当事人之间的民事权益纠纷；公示催告程序没有双方当事人，只有申请人一方；公示催告案件实行一审终审，且不适用再审程序。</w:t>
      </w:r>
    </w:p>
    <w:p w14:paraId="726898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（二）适用范围的特定性</w:t>
      </w:r>
    </w:p>
    <w:p w14:paraId="4C7F6F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1．按规定可以背书转让的票据被盗、遗失或者灭失；</w:t>
      </w:r>
    </w:p>
    <w:p w14:paraId="03C59B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2．依法律规定可以申请公示催告的其他事项。</w:t>
      </w:r>
    </w:p>
    <w:p w14:paraId="0B32ED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（三）程序制度的独特性</w:t>
      </w:r>
    </w:p>
    <w:p w14:paraId="1EF335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公示催告程序由公示催告和除权判决两个阶段构成。两个阶段均应由申请人申请启动；两个阶段可以由两个不同的审判组织进行审理，公示催告是独任制，除权判决用合议庭；公示催告程序主要适用书面审查和公告的方式进行审理。</w:t>
      </w:r>
    </w:p>
    <w:p w14:paraId="534D51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eastAsia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eastAsia" w:ascii="Times New Roman Regular" w:hAnsi="Times New Roman Regular" w:cs="Times New Roman Regular"/>
          <w:sz w:val="21"/>
          <w:szCs w:val="21"/>
          <w:u w:val="none"/>
          <w:lang w:val="en-US" w:eastAsia="zh-CN"/>
        </w:rPr>
        <w:t>二、除权判决</w:t>
      </w:r>
    </w:p>
    <w:p w14:paraId="076902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（一）适用条件</w:t>
      </w:r>
    </w:p>
    <w:p w14:paraId="278F46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1．公示催告期间届满，无人申报权利，或虽有人申报权利，但被法院裁定驳回申报；</w:t>
      </w:r>
    </w:p>
    <w:p w14:paraId="504BCD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2．申请人在法定期间（公告期届满后1个月内）请求法院作出除权判决。</w:t>
      </w:r>
    </w:p>
    <w:p w14:paraId="1CBAAA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（二）审判组织</w:t>
      </w:r>
    </w:p>
    <w:p w14:paraId="226549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公示催告阶段由审判员一人独任审理；除权判决阶段应当由审判员组成合议庭审理。</w:t>
      </w:r>
    </w:p>
    <w:p w14:paraId="75F893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（三）判决效力</w:t>
      </w:r>
    </w:p>
    <w:p w14:paraId="596696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除权判决自公告之日起发生法律效力，当事人不得提起上诉。申请人被确认对票据享有权利，并自判决公告之日起，有权向支付人请求支付。支付人拒绝支付，申请人可以向法院起诉。</w:t>
      </w:r>
    </w:p>
    <w:p w14:paraId="7C9010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（四）利害关系人的救济</w:t>
      </w:r>
    </w:p>
    <w:p w14:paraId="5E4A73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利害关系人在除权判决生效后，自知道或者应当知道判决公告之日起1年内，可以向作出判决的法院起诉，法院可按票据纠纷适用普通程序审理。</w:t>
      </w:r>
    </w:p>
    <w:p w14:paraId="6DACD4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</w:p>
    <w:p w14:paraId="169712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eastAsia" w:ascii="Times New Roman Regular" w:hAnsi="Times New Roman Regular" w:cs="Times New Roman Regular"/>
          <w:b/>
          <w:bCs/>
          <w:sz w:val="21"/>
          <w:szCs w:val="21"/>
          <w:u w:val="none"/>
          <w:lang w:val="en-US" w:eastAsia="zh-CN"/>
        </w:rPr>
      </w:pPr>
      <w:r>
        <w:rPr>
          <w:rFonts w:hint="eastAsia" w:ascii="Times New Roman Regular" w:hAnsi="Times New Roman Regular" w:cs="Times New Roman Regular"/>
          <w:b/>
          <w:bCs/>
          <w:sz w:val="21"/>
          <w:szCs w:val="21"/>
          <w:u w:val="none"/>
          <w:lang w:val="en-US" w:eastAsia="zh-CN"/>
        </w:rPr>
        <w:t>【考点32:民事裁判】</w:t>
      </w:r>
    </w:p>
    <w:p w14:paraId="0E4688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一、民事判决的法律效力</w:t>
      </w:r>
    </w:p>
    <w:p w14:paraId="584A6E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（一）既判力</w:t>
      </w:r>
    </w:p>
    <w:p w14:paraId="4DE17A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1．既判力的客观范围</w:t>
      </w:r>
    </w:p>
    <w:p w14:paraId="68C8B1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（1）诉讼抵消</w:t>
      </w:r>
    </w:p>
    <w:p w14:paraId="5FDA2D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在大陆法系国家，虽然判决主文只会针对原告的诉讼请求做出处理，不会直接涉及抵销问题，但裁判理由中对被告抵销抗辩的认定，同样会发生既判力。因此，无论该抵销抗辩是否得到支持，被告都不得再以抵销抗辩中的主动债权另行提起诉讼。我国《民事诉讼法》对抵销问题并无明确规定，司法实务中普遍都不会赋予诉讼抵销抗辩明确的既判力。除非被告以反诉的形式提出了抵销，否则本诉判决的既判力客观范围无法及于抵销。</w:t>
      </w:r>
    </w:p>
    <w:p w14:paraId="21C7C5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（2）部分请求</w:t>
      </w:r>
    </w:p>
    <w:p w14:paraId="13B3CC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从一次性解决纠纷的角度出发，对于部分请求应当限制，否则原告可以将诉讼无限度切割，既消耗司法资源，也增加了对方当事人不必要的诉累，因此原则上部分请求应当产生全部的既判力。对于原告有合理理由提起部分请求的情形，不应一概认为既判力客观范围已经及于全部请求权，因而应当允许原告后续就未起诉部分的内容再次提起诉讼。</w:t>
      </w:r>
    </w:p>
    <w:p w14:paraId="27CB33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2．既判力的主观范围</w:t>
      </w:r>
    </w:p>
    <w:p w14:paraId="509A7D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eastAsia" w:ascii="Times New Roman Regular" w:hAnsi="Times New Roman Regular" w:cs="Times New Roman Regular"/>
          <w:sz w:val="21"/>
          <w:szCs w:val="21"/>
          <w:u w:val="none"/>
          <w:lang w:val="en-US" w:eastAsia="zh-CN"/>
        </w:rPr>
        <w:t>原则上只对诉讼当事人具有既判力。</w:t>
      </w:r>
    </w:p>
    <w:p w14:paraId="075B35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3．既判力的时间范围</w:t>
      </w:r>
    </w:p>
    <w:p w14:paraId="2BE859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我国《民诉法解释》第248条将既判力标准时确定为裁判生效之时。</w:t>
      </w:r>
    </w:p>
    <w:p w14:paraId="32A00C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（二）执行力</w:t>
      </w:r>
    </w:p>
    <w:p w14:paraId="003DA5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（三）形成力</w:t>
      </w:r>
    </w:p>
    <w:p w14:paraId="4BEDD7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形成力是形成之诉的胜诉判决特有的效力，确认之诉和给付之诉的判决均不具有该效力</w:t>
      </w:r>
      <w:r>
        <w:rPr>
          <w:rFonts w:hint="eastAsia" w:ascii="Times New Roman Regular" w:hAnsi="Times New Roman Regular" w:cs="Times New Roman Regular"/>
          <w:sz w:val="21"/>
          <w:szCs w:val="21"/>
          <w:u w:val="none"/>
          <w:lang w:val="en-US" w:eastAsia="zh-CN"/>
        </w:rPr>
        <w:t>，形成之诉败诉的也没有形成力。</w:t>
      </w:r>
    </w:p>
    <w:p w14:paraId="099E0B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eastAsia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eastAsia" w:ascii="Times New Roman Regular" w:hAnsi="Times New Roman Regular" w:cs="Times New Roman Regular"/>
          <w:sz w:val="21"/>
          <w:szCs w:val="21"/>
          <w:u w:val="none"/>
          <w:lang w:val="en-US" w:eastAsia="zh-CN"/>
        </w:rPr>
        <w:t>二、民事裁定</w:t>
      </w:r>
    </w:p>
    <w:p w14:paraId="13A716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只有不予受理、驳回起诉和管辖权异议可以上诉救济。（小额诉讼程序除外）。</w:t>
      </w:r>
    </w:p>
    <w:p w14:paraId="2CD366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三、民事决定</w:t>
      </w:r>
    </w:p>
    <w:p w14:paraId="572769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（一）适用范围</w:t>
      </w:r>
    </w:p>
    <w:p w14:paraId="748CC9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1．回避；2．延期审理；3．罚款、拘留；4．缓交、减交、免交诉讼费用。</w:t>
      </w:r>
    </w:p>
    <w:p w14:paraId="42EBD6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（二）法律效力</w:t>
      </w:r>
    </w:p>
    <w:p w14:paraId="421923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民事决定一经作出，立即发生法律效力，有些决定可以申请复议一次，但复议期间并不影响其效力。</w:t>
      </w:r>
    </w:p>
    <w:p w14:paraId="08A1F5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</w:p>
    <w:p w14:paraId="722818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eastAsia" w:ascii="Times New Roman Regular" w:hAnsi="Times New Roman Regular" w:cs="Times New Roman Regular"/>
          <w:b/>
          <w:bCs/>
          <w:sz w:val="21"/>
          <w:szCs w:val="21"/>
          <w:u w:val="none"/>
          <w:lang w:val="en-US" w:eastAsia="zh-CN"/>
        </w:rPr>
      </w:pPr>
      <w:r>
        <w:rPr>
          <w:rFonts w:hint="eastAsia" w:ascii="Times New Roman Regular" w:hAnsi="Times New Roman Regular" w:cs="Times New Roman Regular"/>
          <w:b/>
          <w:bCs/>
          <w:sz w:val="21"/>
          <w:szCs w:val="21"/>
          <w:u w:val="none"/>
          <w:lang w:val="en-US" w:eastAsia="zh-CN"/>
        </w:rPr>
        <w:t>【考点33:执行程序中的一般性制度】</w:t>
      </w:r>
    </w:p>
    <w:p w14:paraId="5E44EA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eastAsia" w:ascii="Times New Roman Regular" w:hAnsi="Times New Roman Regular" w:cs="Times New Roman Regular"/>
          <w:sz w:val="21"/>
          <w:szCs w:val="21"/>
          <w:u w:val="none"/>
          <w:lang w:val="en-US" w:eastAsia="zh-CN"/>
        </w:rPr>
        <w:t>一</w:t>
      </w: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、执行和解</w:t>
      </w:r>
    </w:p>
    <w:p w14:paraId="34D162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（一）执行和解的主体</w:t>
      </w:r>
    </w:p>
    <w:p w14:paraId="6BF720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当事人、法定代理人和经特别授权的委托代理人。</w:t>
      </w:r>
    </w:p>
    <w:p w14:paraId="2578CF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（二）执行和解协议</w:t>
      </w:r>
    </w:p>
    <w:p w14:paraId="2299A6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在执行中，双方当事人自行和解达成协议的，执行员应当将协议内容记入笔录，由双方当事人签名或者盖章。</w:t>
      </w:r>
    </w:p>
    <w:p w14:paraId="7A4FB5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执行和解的具体形式包括：（1）各方当事人共同向法院提交书面和解协议的；（2）一方当事人向法院提交书面和解协议，其他当事人予以认可的；（3）当事人达成口头和解协议，执行人员将和解协议内容记入笔录，由各方当事人签名或者盖章的。</w:t>
      </w:r>
    </w:p>
    <w:p w14:paraId="5F5ABB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（三）执行和解的法律后果</w:t>
      </w:r>
    </w:p>
    <w:p w14:paraId="601B21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1．申请执行人与被执行人达成和解协议告知法院，法院可以裁定中止执行。</w:t>
      </w:r>
    </w:p>
    <w:p w14:paraId="5D9C4A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2．申请执行人与被执行人达成和解协议后请求撤回执行申请，法院可以裁定终结执行。</w:t>
      </w:r>
    </w:p>
    <w:p w14:paraId="54B3CB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3．执行和解协议履行完毕，法院作执行结案处理。</w:t>
      </w:r>
    </w:p>
    <w:p w14:paraId="619CE2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4．不履行和解协议，当事人可以向法院申请恢复执行，或者就履行执行和解协议向执行法院提起诉讼。（二者择一）</w:t>
      </w:r>
    </w:p>
    <w:p w14:paraId="139A42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eastAsia" w:ascii="Times New Roman Regular" w:hAnsi="Times New Roman Regular" w:cs="Times New Roman Regular"/>
          <w:sz w:val="21"/>
          <w:szCs w:val="21"/>
          <w:u w:val="none"/>
          <w:lang w:val="en-US" w:eastAsia="zh-CN"/>
        </w:rPr>
        <w:t>二、执行担保</w:t>
      </w:r>
    </w:p>
    <w:p w14:paraId="60EA47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（一）适用条件</w:t>
      </w:r>
    </w:p>
    <w:p w14:paraId="3E0CFF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1．必须由执行义务人向法院提出申请；</w:t>
      </w:r>
    </w:p>
    <w:p w14:paraId="26DA59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2．被执行人向法院提供担保（财产担保、第三人担保）；</w:t>
      </w:r>
    </w:p>
    <w:p w14:paraId="6777F0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3．须征得执行权利人同意；</w:t>
      </w:r>
    </w:p>
    <w:p w14:paraId="7E3224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4．须经法院许可。</w:t>
      </w:r>
    </w:p>
    <w:p w14:paraId="33394E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（二）法律效力</w:t>
      </w:r>
    </w:p>
    <w:p w14:paraId="0BF2CC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1．法院决定暂缓执行及暂缓执行的期限；</w:t>
      </w:r>
    </w:p>
    <w:p w14:paraId="01A950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2．如果担保有期限，暂缓执行的期限应当与担保期限一致，但最长不得超过1年。</w:t>
      </w:r>
    </w:p>
    <w:p w14:paraId="5AA72D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（三）被执行人逾期不履行的后果</w:t>
      </w:r>
    </w:p>
    <w:p w14:paraId="482A94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暂缓执行期限届满后被执行人仍不履行义务，或者暂缓执行期间担保人有转移、隐藏、变卖、毁损担保财产等行为的，法院可以恢复执行，并直接裁定执行担保财产或者保证人的财产，不得将担保人变更、追加为被执行人。</w:t>
      </w:r>
    </w:p>
    <w:p w14:paraId="66242B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  <w:t>执行担保财产或者保证人的财产，以担保人应当履行义务部分的财产为限。被执行人有便于执行的现金、银行存款的，应当优先执行该现金、银行存款。</w:t>
      </w:r>
    </w:p>
    <w:p w14:paraId="606D66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eastAsia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eastAsia" w:ascii="Times New Roman Regular" w:hAnsi="Times New Roman Regular" w:cs="Times New Roman Regular"/>
          <w:sz w:val="21"/>
          <w:szCs w:val="21"/>
          <w:u w:val="none"/>
          <w:lang w:val="en-US" w:eastAsia="zh-CN"/>
        </w:rPr>
        <w:t>三、参与分配</w:t>
      </w:r>
    </w:p>
    <w:p w14:paraId="049BE2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eastAsia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eastAsia" w:ascii="Times New Roman Regular" w:hAnsi="Times New Roman Regular" w:cs="Times New Roman Regular"/>
          <w:sz w:val="21"/>
          <w:szCs w:val="21"/>
          <w:u w:val="none"/>
          <w:lang w:val="en-US" w:eastAsia="zh-CN"/>
        </w:rPr>
        <w:t>（一）适用条件</w:t>
      </w:r>
    </w:p>
    <w:p w14:paraId="1222F1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eastAsia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eastAsia" w:ascii="Times New Roman Regular" w:hAnsi="Times New Roman Regular" w:cs="Times New Roman Regular"/>
          <w:sz w:val="21"/>
          <w:szCs w:val="21"/>
          <w:u w:val="none"/>
          <w:lang w:val="en-US" w:eastAsia="zh-CN"/>
        </w:rPr>
        <w:t>1．被执行人的财产无法清偿所有债权；</w:t>
      </w:r>
    </w:p>
    <w:p w14:paraId="3003F2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eastAsia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eastAsia" w:ascii="Times New Roman Regular" w:hAnsi="Times New Roman Regular" w:cs="Times New Roman Regular"/>
          <w:sz w:val="21"/>
          <w:szCs w:val="21"/>
          <w:u w:val="none"/>
          <w:lang w:val="en-US" w:eastAsia="zh-CN"/>
        </w:rPr>
        <w:t>2．被执行人为自然人或其他组织；</w:t>
      </w:r>
    </w:p>
    <w:p w14:paraId="0C85C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eastAsia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eastAsia" w:ascii="Times New Roman Regular" w:hAnsi="Times New Roman Regular" w:cs="Times New Roman Regular"/>
          <w:sz w:val="21"/>
          <w:szCs w:val="21"/>
          <w:u w:val="none"/>
          <w:lang w:val="en-US" w:eastAsia="zh-CN"/>
        </w:rPr>
        <w:t>3．有多个申请人对同一被申请人享有债权；</w:t>
      </w:r>
    </w:p>
    <w:p w14:paraId="753754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eastAsia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eastAsia" w:ascii="Times New Roman Regular" w:hAnsi="Times New Roman Regular" w:cs="Times New Roman Regular"/>
          <w:sz w:val="21"/>
          <w:szCs w:val="21"/>
          <w:u w:val="none"/>
          <w:lang w:val="en-US" w:eastAsia="zh-CN"/>
        </w:rPr>
        <w:t>4．申请人必须取得生效的执行根据，起诉后尚未获得生效判决的债权人不具备参与分配的资格</w:t>
      </w:r>
    </w:p>
    <w:p w14:paraId="1F5E26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eastAsia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eastAsia" w:ascii="Times New Roman Regular" w:hAnsi="Times New Roman Regular" w:cs="Times New Roman Regular"/>
          <w:sz w:val="21"/>
          <w:szCs w:val="21"/>
          <w:u w:val="none"/>
          <w:lang w:val="en-US" w:eastAsia="zh-CN"/>
        </w:rPr>
        <w:t>5．参与分配的债权只限于金钱债权；</w:t>
      </w:r>
    </w:p>
    <w:p w14:paraId="732FCF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eastAsia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eastAsia" w:ascii="Times New Roman Regular" w:hAnsi="Times New Roman Regular" w:cs="Times New Roman Regular"/>
          <w:sz w:val="21"/>
          <w:szCs w:val="21"/>
          <w:u w:val="none"/>
          <w:lang w:val="en-US" w:eastAsia="zh-CN"/>
        </w:rPr>
        <w:t>6．参与分配必须发生在执行程序开始后，被执行人的财产执行终结之前。</w:t>
      </w:r>
    </w:p>
    <w:p w14:paraId="4614E2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eastAsia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eastAsia" w:ascii="Times New Roman Regular" w:hAnsi="Times New Roman Regular" w:cs="Times New Roman Regular"/>
          <w:sz w:val="21"/>
          <w:szCs w:val="21"/>
          <w:u w:val="none"/>
          <w:lang w:val="en-US" w:eastAsia="zh-CN"/>
        </w:rPr>
        <w:t>（二）程序规则</w:t>
      </w:r>
    </w:p>
    <w:p w14:paraId="0473C4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eastAsia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eastAsia" w:ascii="Times New Roman Regular" w:hAnsi="Times New Roman Regular" w:cs="Times New Roman Regular"/>
          <w:sz w:val="21"/>
          <w:szCs w:val="21"/>
          <w:u w:val="none"/>
          <w:lang w:val="en-US" w:eastAsia="zh-CN"/>
        </w:rPr>
        <w:t>1．适用方式</w:t>
      </w:r>
    </w:p>
    <w:p w14:paraId="60582E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eastAsia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eastAsia" w:ascii="Times New Roman Regular" w:hAnsi="Times New Roman Regular" w:cs="Times New Roman Regular"/>
          <w:sz w:val="21"/>
          <w:szCs w:val="21"/>
          <w:u w:val="none"/>
          <w:lang w:val="en-US" w:eastAsia="zh-CN"/>
        </w:rPr>
        <w:t>参与分配应当由申请执行人向法院提出申请。申请人应当提交申请书。申请书应当写明参与分配和被执行人不能清偿所有债权的事实、理由，并附有执行依据。</w:t>
      </w:r>
    </w:p>
    <w:p w14:paraId="017300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eastAsia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eastAsia" w:ascii="Times New Roman Regular" w:hAnsi="Times New Roman Regular" w:cs="Times New Roman Regular"/>
          <w:sz w:val="21"/>
          <w:szCs w:val="21"/>
          <w:u w:val="none"/>
          <w:lang w:val="en-US" w:eastAsia="zh-CN"/>
        </w:rPr>
        <w:t>2．管辖法院</w:t>
      </w:r>
    </w:p>
    <w:p w14:paraId="4D9C59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rPr>
          <w:rFonts w:hint="default" w:ascii="Times New Roman Regular" w:hAnsi="Times New Roman Regular" w:cs="Times New Roman Regular"/>
          <w:sz w:val="21"/>
          <w:szCs w:val="21"/>
          <w:u w:val="none"/>
          <w:lang w:val="en-US" w:eastAsia="zh-CN"/>
        </w:rPr>
      </w:pPr>
      <w:r>
        <w:rPr>
          <w:rFonts w:hint="eastAsia" w:ascii="Times New Roman Regular" w:hAnsi="Times New Roman Regular" w:cs="Times New Roman Regular"/>
          <w:sz w:val="21"/>
          <w:szCs w:val="21"/>
          <w:u w:val="none"/>
          <w:lang w:val="en-US" w:eastAsia="zh-CN"/>
        </w:rPr>
        <w:t>主持参与分配的法院是对债务人首先采取查封、扣押或冻结措施的法院。</w:t>
      </w:r>
    </w:p>
    <w:bookmarkEnd w:id="0"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书宋二简">
    <w:altName w:val="华文宋体"/>
    <w:panose1 w:val="02010600000101010101"/>
    <w:charset w:val="86"/>
    <w:family w:val="modern"/>
    <w:pitch w:val="default"/>
    <w:sig w:usb0="00000000" w:usb1="00000000" w:usb2="00000002" w:usb3="00000000" w:csb0="00040000" w:csb1="0000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CFBDAEF9"/>
    <w:rsid w:val="0D9A55A2"/>
    <w:rsid w:val="13EF1752"/>
    <w:rsid w:val="16EFD392"/>
    <w:rsid w:val="177DA370"/>
    <w:rsid w:val="177F029F"/>
    <w:rsid w:val="17DFFA75"/>
    <w:rsid w:val="18BFC09B"/>
    <w:rsid w:val="1BEF9C01"/>
    <w:rsid w:val="1BFB8A79"/>
    <w:rsid w:val="1DFF505D"/>
    <w:rsid w:val="1FFDE82A"/>
    <w:rsid w:val="1FFE3DC8"/>
    <w:rsid w:val="25E4E361"/>
    <w:rsid w:val="2BBF84F1"/>
    <w:rsid w:val="2DEF8498"/>
    <w:rsid w:val="2FF57ABD"/>
    <w:rsid w:val="31FD34EB"/>
    <w:rsid w:val="32FB9AF4"/>
    <w:rsid w:val="35FBE841"/>
    <w:rsid w:val="37BBB7CA"/>
    <w:rsid w:val="37DBDFD5"/>
    <w:rsid w:val="37ED6C92"/>
    <w:rsid w:val="37F9300F"/>
    <w:rsid w:val="39CD9E08"/>
    <w:rsid w:val="3AA211B0"/>
    <w:rsid w:val="3DDD8785"/>
    <w:rsid w:val="3EFF2196"/>
    <w:rsid w:val="3EFFCDE3"/>
    <w:rsid w:val="3F3B7AB9"/>
    <w:rsid w:val="3F7D6D90"/>
    <w:rsid w:val="3FDF38B5"/>
    <w:rsid w:val="3FFBD59C"/>
    <w:rsid w:val="461DDECC"/>
    <w:rsid w:val="4D7AF3B1"/>
    <w:rsid w:val="4F7E5D39"/>
    <w:rsid w:val="56FDF77C"/>
    <w:rsid w:val="57FB2467"/>
    <w:rsid w:val="5A6B2353"/>
    <w:rsid w:val="5BF630B3"/>
    <w:rsid w:val="5D1E5E35"/>
    <w:rsid w:val="5D2F548A"/>
    <w:rsid w:val="5D9CC53C"/>
    <w:rsid w:val="5DBFD756"/>
    <w:rsid w:val="5DE79BA3"/>
    <w:rsid w:val="5EDF348E"/>
    <w:rsid w:val="5F67BE34"/>
    <w:rsid w:val="5FDFC522"/>
    <w:rsid w:val="61D6CCE6"/>
    <w:rsid w:val="63F79634"/>
    <w:rsid w:val="676B1FCF"/>
    <w:rsid w:val="6BBF548D"/>
    <w:rsid w:val="6BEE3C17"/>
    <w:rsid w:val="6CFC5835"/>
    <w:rsid w:val="6EBFFE06"/>
    <w:rsid w:val="6ED142C8"/>
    <w:rsid w:val="6EDC6954"/>
    <w:rsid w:val="6F7D8B2D"/>
    <w:rsid w:val="6F7EF6AA"/>
    <w:rsid w:val="6F7FD66B"/>
    <w:rsid w:val="6FB7F990"/>
    <w:rsid w:val="6FC75035"/>
    <w:rsid w:val="6FE9DFA5"/>
    <w:rsid w:val="6FEF267B"/>
    <w:rsid w:val="6FF6B73E"/>
    <w:rsid w:val="6FF7B5C8"/>
    <w:rsid w:val="72B16660"/>
    <w:rsid w:val="72FEDFAF"/>
    <w:rsid w:val="74EF0DAF"/>
    <w:rsid w:val="75FD7826"/>
    <w:rsid w:val="75FFDC8C"/>
    <w:rsid w:val="76576194"/>
    <w:rsid w:val="76DEB8FA"/>
    <w:rsid w:val="76EF0E2A"/>
    <w:rsid w:val="78FF9F1C"/>
    <w:rsid w:val="79B72732"/>
    <w:rsid w:val="79F678E1"/>
    <w:rsid w:val="7A8FECFA"/>
    <w:rsid w:val="7B3FB0F3"/>
    <w:rsid w:val="7B6D3C00"/>
    <w:rsid w:val="7B77E946"/>
    <w:rsid w:val="7BF39306"/>
    <w:rsid w:val="7BFFD2F7"/>
    <w:rsid w:val="7C7DDD51"/>
    <w:rsid w:val="7C7DF4A0"/>
    <w:rsid w:val="7CFD15B2"/>
    <w:rsid w:val="7D473A11"/>
    <w:rsid w:val="7D7FD33D"/>
    <w:rsid w:val="7D9D698B"/>
    <w:rsid w:val="7DB79BD2"/>
    <w:rsid w:val="7DBDD90E"/>
    <w:rsid w:val="7DBFEFAD"/>
    <w:rsid w:val="7DF9200D"/>
    <w:rsid w:val="7E3F6002"/>
    <w:rsid w:val="7E7FF430"/>
    <w:rsid w:val="7E9F1BC6"/>
    <w:rsid w:val="7EBEF4CF"/>
    <w:rsid w:val="7EDFEDCC"/>
    <w:rsid w:val="7EFE5D96"/>
    <w:rsid w:val="7EFFC158"/>
    <w:rsid w:val="7F3B9F4C"/>
    <w:rsid w:val="7F3C3286"/>
    <w:rsid w:val="7F695405"/>
    <w:rsid w:val="7F6B748A"/>
    <w:rsid w:val="7FB49696"/>
    <w:rsid w:val="7FBF0F91"/>
    <w:rsid w:val="7FDFD89C"/>
    <w:rsid w:val="7FE7235C"/>
    <w:rsid w:val="7FFFE420"/>
    <w:rsid w:val="8ABEE47C"/>
    <w:rsid w:val="9DAF2756"/>
    <w:rsid w:val="ADB00FA3"/>
    <w:rsid w:val="AE7B2097"/>
    <w:rsid w:val="AEAF67DC"/>
    <w:rsid w:val="AECFAD74"/>
    <w:rsid w:val="AEFFF231"/>
    <w:rsid w:val="AF7349BF"/>
    <w:rsid w:val="B1FDE468"/>
    <w:rsid w:val="B3FEA9EF"/>
    <w:rsid w:val="B7FEF551"/>
    <w:rsid w:val="BBD68691"/>
    <w:rsid w:val="BE27CCCD"/>
    <w:rsid w:val="BFD7C2A8"/>
    <w:rsid w:val="BFDF5E9D"/>
    <w:rsid w:val="BFF7E1B6"/>
    <w:rsid w:val="BFFE8217"/>
    <w:rsid w:val="BFFFC478"/>
    <w:rsid w:val="C2FF7057"/>
    <w:rsid w:val="C7F79EC9"/>
    <w:rsid w:val="C9FED888"/>
    <w:rsid w:val="CBDA46FA"/>
    <w:rsid w:val="CDF9AD73"/>
    <w:rsid w:val="CEAF22DB"/>
    <w:rsid w:val="CFABA3EB"/>
    <w:rsid w:val="CFBDAEF9"/>
    <w:rsid w:val="CFFF1593"/>
    <w:rsid w:val="D7F716BD"/>
    <w:rsid w:val="D7F8DDAE"/>
    <w:rsid w:val="D99D7B6E"/>
    <w:rsid w:val="DBF64670"/>
    <w:rsid w:val="DFBFB34A"/>
    <w:rsid w:val="DFDD6831"/>
    <w:rsid w:val="DFE64EC6"/>
    <w:rsid w:val="E5718167"/>
    <w:rsid w:val="E5AB3AAB"/>
    <w:rsid w:val="E5DD9418"/>
    <w:rsid w:val="E787CCF8"/>
    <w:rsid w:val="E7BFC123"/>
    <w:rsid w:val="E7BFCB01"/>
    <w:rsid w:val="EA3CD53D"/>
    <w:rsid w:val="EB6E8309"/>
    <w:rsid w:val="EBD730EB"/>
    <w:rsid w:val="EC2D9E1A"/>
    <w:rsid w:val="EECA7655"/>
    <w:rsid w:val="EF06E542"/>
    <w:rsid w:val="EF73E6F1"/>
    <w:rsid w:val="EF7FB042"/>
    <w:rsid w:val="EFB7ADF2"/>
    <w:rsid w:val="EFB7E0DF"/>
    <w:rsid w:val="EFCFFD3A"/>
    <w:rsid w:val="EFDF470A"/>
    <w:rsid w:val="EFDFF3E6"/>
    <w:rsid w:val="EFE712E6"/>
    <w:rsid w:val="EFF7C6A6"/>
    <w:rsid w:val="F0D7EC59"/>
    <w:rsid w:val="F1B927A4"/>
    <w:rsid w:val="F2DD3E6A"/>
    <w:rsid w:val="F3FF92B4"/>
    <w:rsid w:val="F56E2A6E"/>
    <w:rsid w:val="F5EEDA60"/>
    <w:rsid w:val="F6DFFC0C"/>
    <w:rsid w:val="F6EE96F6"/>
    <w:rsid w:val="F73F225B"/>
    <w:rsid w:val="F7B63067"/>
    <w:rsid w:val="F7D77B58"/>
    <w:rsid w:val="F7EF4D91"/>
    <w:rsid w:val="FABE4737"/>
    <w:rsid w:val="FBDB21CE"/>
    <w:rsid w:val="FBDF91EB"/>
    <w:rsid w:val="FBFF7EF4"/>
    <w:rsid w:val="FD375179"/>
    <w:rsid w:val="FD6C9E97"/>
    <w:rsid w:val="FD6EB3EE"/>
    <w:rsid w:val="FD9F8D4D"/>
    <w:rsid w:val="FDBDD900"/>
    <w:rsid w:val="FDF59568"/>
    <w:rsid w:val="FDFFF259"/>
    <w:rsid w:val="FEA64923"/>
    <w:rsid w:val="FED769C8"/>
    <w:rsid w:val="FEFD0A75"/>
    <w:rsid w:val="FF3362C6"/>
    <w:rsid w:val="FF6F6FFE"/>
    <w:rsid w:val="FF7BF13D"/>
    <w:rsid w:val="FF943FE1"/>
    <w:rsid w:val="FF9AA3D4"/>
    <w:rsid w:val="FFBFCE21"/>
    <w:rsid w:val="FFEF7CE9"/>
    <w:rsid w:val="FFEFF665"/>
    <w:rsid w:val="FFF72BE1"/>
    <w:rsid w:val="FFFBE5A1"/>
    <w:rsid w:val="FFFF283E"/>
    <w:rsid w:val="FFFF3C31"/>
    <w:rsid w:val="FFFF8129"/>
    <w:rsid w:val="FFFF9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unhideWhenUsed/>
    <w:qFormat/>
    <w:uiPriority w:val="99"/>
    <w:pPr>
      <w:widowControl/>
      <w:spacing w:before="100" w:beforeAutospacing="1" w:after="100" w:afterAutospacing="1" w:line="384" w:lineRule="exact"/>
      <w:ind w:firstLine="721" w:firstLineChars="200"/>
      <w:jc w:val="left"/>
    </w:pPr>
    <w:rPr>
      <w:rFonts w:ascii="宋体" w:hAnsi="宋体" w:eastAsia="汉仪书宋二简" w:cs="宋体"/>
      <w:color w:val="auto"/>
      <w:kern w:val="0"/>
      <w:sz w:val="24"/>
      <w:szCs w:val="24"/>
      <w:lang w:val="en-US" w:eastAsia="zh-CN" w:bidi="ar-SA"/>
    </w:rPr>
  </w:style>
  <w:style w:type="table" w:styleId="4">
    <w:name w:val="Table Grid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60</TotalTime>
  <ScaleCrop>false</ScaleCrop>
  <LinksUpToDate>false</LinksUpToDate>
  <CharactersWithSpaces>0</CharactersWithSpaces>
  <Application>WPS Office_12.1.24031.24031_F1E327BC-269C-435d-A152-05C5408002CA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2026-02-08T16:22:00Z</dcterms:created>
  <dc:creator>Arthur (Xiao) Dong</dc:creator>
  <cp:lastModifiedBy>zq</cp:lastModifiedBy>
  <dcterms:modified xsi:type="dcterms:W3CDTF">2026-03-27T22:43:45Z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3A31E5C62E8666FD53247769E1688135_41</vt:lpwstr>
  </property>
</Properties>
</file>