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sz w:val="36"/>
          <w:szCs w:val="36"/>
          <w:lang w:val="en-US" w:eastAsia="zh-CN"/>
        </w:rPr>
      </w:pPr>
      <w:r>
        <w:rPr>
          <w:rFonts w:hint="eastAsia"/>
          <w:b/>
          <w:bCs/>
          <w:sz w:val="36"/>
          <w:szCs w:val="36"/>
          <w:lang w:val="en-US" w:eastAsia="zh-CN"/>
        </w:rPr>
        <w:t>民诉第八讲课堂笔记（考点26-29）</w:t>
      </w:r>
    </w:p>
    <w:p w14:paraId="4904F42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【考点26:再审案件的审判程序】</w:t>
      </w:r>
    </w:p>
    <w:p w14:paraId="591F37B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、再审审理的审判程序</w:t>
      </w:r>
    </w:p>
    <w:p w14:paraId="1B8D876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提审或者原审是二审的，按照二审程序；原审是一审且没有提审的，按照一审程序。</w:t>
      </w:r>
    </w:p>
    <w:p w14:paraId="4B9B50C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、再审审理的特殊性</w:t>
      </w:r>
    </w:p>
    <w:p w14:paraId="02BD565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）审判组织</w:t>
      </w:r>
    </w:p>
    <w:p w14:paraId="249D11E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1．再审程序只能由合议庭审理，不适用独任制。</w:t>
      </w:r>
    </w:p>
    <w:p w14:paraId="67452B8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2．如果原审法院再审的，应当另行组成合议庭。</w:t>
      </w:r>
    </w:p>
    <w:p w14:paraId="7A9C85E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）再审审理范围</w:t>
      </w:r>
    </w:p>
    <w:p w14:paraId="1F66469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1．原则上，法院审理再审案件应当围绕再审请求进行。当事人的再审请求超出原审诉讼请求的，不予审理；符合另案诉讼条件的，告知当事人可以另行起诉。</w:t>
      </w:r>
    </w:p>
    <w:p w14:paraId="2C1EC97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2．涉及国家利益、社会公共利益，或者当事人在原审诉讼中已经依法要求增加、变更诉讼请求，原审未予审理且客观上不能形成其他诉讼的除外。</w:t>
      </w:r>
    </w:p>
    <w:p w14:paraId="77AE846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3．发回重审时当事人申请变更、增加诉讼请求或者提出反诉，符合下列情形之一的，法院应当准许：</w:t>
      </w:r>
    </w:p>
    <w:p w14:paraId="0F7B380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原审未合法传唤缺席判决，影响当事人行使诉讼权利的；（2）追加新的诉讼当事人的；（3）诉讼标的物灭失或者发生变化致使原诉讼请求无法实现的；（4）当事人申请变更、增加的诉讼请求或者提出的反诉，无法通过另诉解决的。</w:t>
      </w:r>
    </w:p>
    <w:p w14:paraId="09B33DD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三</w:t>
      </w:r>
      <w:r>
        <w:rPr>
          <w:rFonts w:hint="default" w:ascii="Times New Roman Regular" w:hAnsi="Times New Roman Regular" w:cs="Times New Roman Regular"/>
          <w:sz w:val="24"/>
          <w:szCs w:val="24"/>
          <w:u w:val="none"/>
          <w:lang w:val="en-US" w:eastAsia="zh-CN"/>
        </w:rPr>
        <w:t>）再审审理方式（《民诉解释》第401条）</w:t>
      </w:r>
    </w:p>
    <w:p w14:paraId="2A98397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原则规定：法院审理再审案件一般应当开庭审理</w:t>
      </w:r>
    </w:p>
    <w:p w14:paraId="742F4F9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例外规定：按照第二审程序审理，有特殊情况或者双方当事人已经通过其他方式充分表达意见，且书面同意不开庭审理的除外。</w:t>
      </w:r>
    </w:p>
    <w:p w14:paraId="032FB46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p>
    <w:p w14:paraId="5CEE0EA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【考点27:民事公益诉讼】</w:t>
      </w:r>
    </w:p>
    <w:p w14:paraId="4A11AED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一、普通民事公益诉讼规则</w:t>
      </w:r>
    </w:p>
    <w:p w14:paraId="6F52F44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（一）案件类型及起诉主体</w:t>
      </w:r>
    </w:p>
    <w:p w14:paraId="21A0ADC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1．污染环境、破坏生态等损害社会公共利益的行为</w:t>
      </w:r>
    </w:p>
    <w:p w14:paraId="5B63E09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依法在设区的市级以上人民政府民政部门登记、专门从事环境保护公益活动连续五年以上且无违法记录的社会组织有权提起公益诉讼。</w:t>
      </w:r>
    </w:p>
    <w:p w14:paraId="25E128E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2．侵害众多消费者合法权益的行为</w:t>
      </w:r>
    </w:p>
    <w:p w14:paraId="092058F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中国消费者协会以及在省、自治区、直辖市设立的消费者协会有权提起公益诉讼。</w:t>
      </w:r>
    </w:p>
    <w:p w14:paraId="0E08D37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w:t>
      </w:r>
      <w:r>
        <w:rPr>
          <w:rFonts w:hint="eastAsia" w:ascii="Times New Roman Regular" w:hAnsi="Times New Roman Regular" w:cs="Times New Roman Regular"/>
          <w:sz w:val="24"/>
          <w:szCs w:val="24"/>
          <w:u w:val="none"/>
          <w:lang w:val="en-US" w:eastAsia="zh-CN"/>
        </w:rPr>
        <w:t>管辖</w:t>
      </w:r>
    </w:p>
    <w:p w14:paraId="776E6D9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原则上由中级人民法院管辖。</w:t>
      </w:r>
    </w:p>
    <w:p w14:paraId="3F88718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【《最高人民法院关于审理环境民事公益诉讼案件适用法律若干问题的解释》第6条】</w:t>
      </w:r>
      <w:r>
        <w:rPr>
          <w:rFonts w:hint="eastAsia" w:ascii="Times New Roman Regular" w:hAnsi="Times New Roman Regular" w:cs="Times New Roman Regular"/>
          <w:sz w:val="24"/>
          <w:szCs w:val="24"/>
          <w:u w:val="none"/>
          <w:lang w:val="en-US" w:eastAsia="zh-CN"/>
        </w:rPr>
        <w:t xml:space="preserve"> 第一审环境民事公益诉讼案件由污染环境、破坏生态行为发生地、损害结果地或者被告住所地的中级以上人民法院管辖。中级人民法院认为确有必要的，可以在报请高级人民法院批准后，裁定将本院管辖的第一审环境民事公益诉讼案件交由基层人民法院审理。同一原告或者不同原告对同一污染环境、破坏生态行为分别向两个以上有管辖权的人民法院提起环境民事公益诉讼的，由最先立案的人民法院管辖，必要时由共同上级人民法院指定管辖。</w:t>
      </w:r>
    </w:p>
    <w:p w14:paraId="7821DAB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（三）审理程序</w:t>
      </w:r>
    </w:p>
    <w:p w14:paraId="47FB00F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1．告知行政主管部门</w:t>
      </w:r>
    </w:p>
    <w:p w14:paraId="26132A5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法院受理公益诉讼案件后，应当在10日内书面告知相关行政主管部门。</w:t>
      </w:r>
    </w:p>
    <w:p w14:paraId="1BB32602">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2．原告追加</w:t>
      </w:r>
    </w:p>
    <w:p w14:paraId="4DF817A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法院受理公益诉讼案件后，依法可以提起诉讼的其他机关和有关组织，可以在一审开庭前（环境公益诉讼的时限是公告案件受理情况之日起30日内）向法院申请参加诉讼。法院准许参加诉讼的，列为共同原告。</w:t>
      </w:r>
    </w:p>
    <w:p w14:paraId="4FAD03B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3．调解与和解</w:t>
      </w:r>
    </w:p>
    <w:p w14:paraId="7299A72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益诉讼案件，当事人可以和解，法院可以调解。但法院应当将和解或者调解协议进行公告，公告期间不得少于30日。公告期满后，法院经审查不违反社会公共利益，应当出具调解书；和解或者调解协议违反社会公共利益，不予出具调解书，继续对案件进行审理并依法作出裁判。</w:t>
      </w:r>
    </w:p>
    <w:p w14:paraId="3B0C9D2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4．撤诉</w:t>
      </w:r>
    </w:p>
    <w:p w14:paraId="3D8D8EB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公益诉讼案件的原告应在法庭辩论终结前申请撤诉。例外：负有环境保护监督管理职责的部门依法履行监管职责而使原告诉讼请求全部实现，原告申请撤诉不受上述期间限制。</w:t>
      </w:r>
    </w:p>
    <w:p w14:paraId="25F7471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5．反诉</w:t>
      </w:r>
    </w:p>
    <w:p w14:paraId="0BBE7D7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民事公益诉讼案件审理过程中，被告提出反诉，法院不予受理。</w:t>
      </w:r>
    </w:p>
    <w:p w14:paraId="13A2E33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6．自认受限</w:t>
      </w:r>
    </w:p>
    <w:p w14:paraId="29E17B0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原告在诉讼过程中承认的对己方不利的事实和认可的证据，法院认为损害社会公共利益的，应当不予确认。</w:t>
      </w:r>
    </w:p>
    <w:p w14:paraId="79D0A19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（四）裁判效力</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公益诉讼案件的裁判发生法律效力后，其他依法具有原告资格的机关和有关组织就同一侵权行为另行提起公益诉讼的，法院裁定不予受理，但法律、司法解释另有规定的除外。</w:t>
      </w:r>
    </w:p>
    <w:p w14:paraId="5A3A139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二、检察民事公益诉讼特殊规则</w:t>
      </w:r>
    </w:p>
    <w:p w14:paraId="527375D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（一）案件范围</w:t>
      </w:r>
    </w:p>
    <w:p w14:paraId="4BB2BDA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检察院在履行职责中发现破坏生态环境和资源保护、食品药品安全领域侵害众多消费者合法权益等损害社会公共利益的行为，在没有前款规定的机关和组织或者前款规定的机关和组织不提起诉讼的情况下，可以向法院提起诉讼。前款规定的机关或者组织提起诉讼的，检察院可以支持起诉。</w:t>
      </w:r>
    </w:p>
    <w:p w14:paraId="0C944F3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（二）诉前公告</w:t>
      </w:r>
    </w:p>
    <w:p w14:paraId="5BDBE55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检察院拟提起公益诉讼应当依法公告，公告期为30日；公告期满，法律规定的机关和有关组织、英雄烈士等的近亲属不提起诉讼的，检察院可以向法院提起诉讼。检察院办理侵害英雄烈士等的姓名、肖像、名誉、荣誉的民事公益诉讼案件，也可以直接征询英雄烈士等的近亲属的意见。</w:t>
      </w:r>
    </w:p>
    <w:p w14:paraId="6A9C7482">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（三）当事人地位</w:t>
      </w:r>
    </w:p>
    <w:p w14:paraId="1F5EC68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检察机关在公益诉讼中一审的诉讼地位是公益诉讼起诉人，而非原告。检察院在二审中的地位为上诉人，而非抗诉人。</w:t>
      </w:r>
    </w:p>
    <w:p w14:paraId="3E02699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（四）刑事附带民事公益诉讼</w:t>
      </w:r>
    </w:p>
    <w:p w14:paraId="6C50F08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检察院提起的刑事附带民事公益诉讼案件由审理刑事案件的法院管辖。检察院提起刑事附带民事公益诉讼，应履行诉前公告程序。对于未履行诉前公告程序的，法院应当进行释明，告知检察院公告后再行提起诉讼。因检察院履行诉前公告程序，可能影响相关刑事案件审理期限的，检察院可以另行提起民事公益诉讼。</w:t>
      </w:r>
    </w:p>
    <w:p w14:paraId="7065AEA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（五）特殊程序规则</w:t>
      </w:r>
    </w:p>
    <w:p w14:paraId="2A13CAD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1．法院审理检察院提起的第一审公益诉讼案件，适用人民陪审制。</w:t>
      </w:r>
    </w:p>
    <w:p w14:paraId="2CB52790">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2．检察院已履行诉前公告程序的，法院立案后不再进行公告。</w:t>
      </w:r>
    </w:p>
    <w:p w14:paraId="75343E5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3．检察院提起的民事公益诉讼案件中，被告以反诉方式提出诉讼请求的，法院不予受理。</w:t>
      </w:r>
    </w:p>
    <w:p w14:paraId="79D8EF1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4．法院认为检察院提出的诉讼请求不足以保护社会公共利益的，可以向其释明变更或者增加停止侵害、恢复原状等诉讼请求。</w:t>
      </w:r>
    </w:p>
    <w:p w14:paraId="2C5DE33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5．民事公益诉讼案件审理过程中，检察院诉讼请求全部实现而撤回起诉的，法院应予准许。</w:t>
      </w:r>
    </w:p>
    <w:p w14:paraId="62A1414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p>
    <w:p w14:paraId="70550F3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【考点28:第三人撤销之诉】</w:t>
      </w:r>
    </w:p>
    <w:p w14:paraId="0B14555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一、第三人撤销之诉的适用条件</w:t>
      </w:r>
    </w:p>
    <w:p w14:paraId="561A674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1．提起主体只能是有独立请求权第三人或者无独立请求权第三人；</w:t>
      </w:r>
    </w:p>
    <w:p w14:paraId="7EBA7C8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2．因不可归责于本人的事由未参加诉讼；</w:t>
      </w:r>
    </w:p>
    <w:p w14:paraId="28B31CB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3．发生法律效力的判决、裁定、调解书的全部或者部分内容错误；</w:t>
      </w:r>
    </w:p>
    <w:p w14:paraId="4FAFDBE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4．发生法律效力的判决、裁定、调解书内容错误损害其民事权益；</w:t>
      </w:r>
    </w:p>
    <w:p w14:paraId="5DB0744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5．自知道或者应当知道其民事权益受到损害之日起6个月内提出；</w:t>
      </w:r>
    </w:p>
    <w:p w14:paraId="64CD262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6．应当向作出生效判决、裁定、调解书的法院起诉。（属于专属管辖）</w:t>
      </w:r>
    </w:p>
    <w:p w14:paraId="381ADEA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二、第三人撤销之诉与审判监督程序的关系</w:t>
      </w:r>
      <w:r>
        <w:rPr>
          <w:rFonts w:hint="eastAsia" w:ascii="Times New Roman Regular" w:hAnsi="Times New Roman Regular" w:cs="Times New Roman Regular"/>
          <w:sz w:val="24"/>
          <w:szCs w:val="24"/>
          <w:u w:val="none"/>
          <w:lang w:val="en-US" w:eastAsia="zh-CN"/>
        </w:rPr>
        <w:t>：等到执行救济部分再展开讲解</w:t>
      </w:r>
    </w:p>
    <w:p w14:paraId="3704EFF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三、第三人撤销之诉的程序设置</w:t>
      </w:r>
    </w:p>
    <w:p w14:paraId="29BCCB3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（一）当事人确定</w:t>
      </w:r>
    </w:p>
    <w:p w14:paraId="3A588D1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原告</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提起撤销之诉的第三人</w:t>
      </w:r>
    </w:p>
    <w:p w14:paraId="26B88A3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被告</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生效判决、裁定、调解书的当事人</w:t>
      </w:r>
    </w:p>
    <w:p w14:paraId="7F4E2FE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第三人</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生效判决、裁定、调解书中未承担责任的无独立请求权第三人</w:t>
      </w:r>
    </w:p>
    <w:p w14:paraId="00EB1A90">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（二）诉讼客体</w:t>
      </w:r>
    </w:p>
    <w:p w14:paraId="5237428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对非讼程序、公益诉讼、涉及身份关系的裁判，都不属于第三人撤销之诉的客体。因此，离婚诉讼的判决，对解除婚姻关系、子女抚养等身份关系的判项，第三人不能提起撤销之诉，但财产分割等部分的判项，可以作为第三人撤销之诉的客体。</w:t>
      </w:r>
    </w:p>
    <w:p w14:paraId="33DF936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财产保全、管辖权异议、准许撤诉等程序性裁定，其功能是推动诉讼程序的顺利进行，即便对第三人利益有影响，也不能被撤销，否则将危害诉讼秩序的稳定。</w:t>
      </w:r>
    </w:p>
    <w:p w14:paraId="2D64EBE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（三）审理方式</w:t>
      </w:r>
    </w:p>
    <w:p w14:paraId="2A6DF7A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法院对第三人撤销之诉案件，应当组成合议庭开庭审理。</w:t>
      </w:r>
    </w:p>
    <w:p w14:paraId="17CD298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四</w:t>
      </w:r>
      <w:r>
        <w:rPr>
          <w:rFonts w:hint="default" w:ascii="Times New Roman Regular" w:hAnsi="Times New Roman Regular" w:cs="Times New Roman Regular"/>
          <w:sz w:val="24"/>
          <w:szCs w:val="24"/>
          <w:u w:val="none"/>
          <w:lang w:val="en-US" w:eastAsia="zh-CN"/>
        </w:rPr>
        <w:t>）裁判的作出</w:t>
      </w:r>
    </w:p>
    <w:p w14:paraId="159F42F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1．请求成立且确认其民事权利的主张全部或部分成立，改变原判决、裁定、调解书内容的错误部分；</w:t>
      </w:r>
    </w:p>
    <w:p w14:paraId="1BB8649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2．请求成立，但确认其全部或部分民事权利的主张不成立，或者未提出确认其民事权利请求，撤销原判决、裁定、调解书内容的错误部分；</w:t>
      </w:r>
    </w:p>
    <w:p w14:paraId="792AEDC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3．请求不成立的，驳回诉讼请求。</w:t>
      </w:r>
    </w:p>
    <w:p w14:paraId="4CD72AE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第三人撤销之诉实行两审终审，对法院裁判结果不服，当事人可以上诉。</w:t>
      </w:r>
    </w:p>
    <w:p w14:paraId="529623D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p>
    <w:p w14:paraId="605CCAA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【考点29：特别程序】</w:t>
      </w:r>
    </w:p>
    <w:p w14:paraId="6696B50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一、特别程序的特点</w:t>
      </w:r>
    </w:p>
    <w:p w14:paraId="39F27B9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）审判组织特殊</w:t>
      </w:r>
    </w:p>
    <w:p w14:paraId="313CE7F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以独任制审判为原则，以合议制审判为例外。特别程序中的合议庭只能由审判员组成，陪审员不能参加。</w:t>
      </w:r>
    </w:p>
    <w:p w14:paraId="7075A212">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）审级制度特殊</w:t>
      </w:r>
    </w:p>
    <w:p w14:paraId="4DBD010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实行一审终审制，不能上诉。</w:t>
      </w:r>
    </w:p>
    <w:p w14:paraId="13330B95">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三</w:t>
      </w:r>
      <w:r>
        <w:rPr>
          <w:rFonts w:hint="default" w:ascii="Times New Roman Regular" w:hAnsi="Times New Roman Regular" w:cs="Times New Roman Regular"/>
          <w:sz w:val="24"/>
          <w:szCs w:val="24"/>
          <w:u w:val="none"/>
          <w:lang w:val="en-US" w:eastAsia="zh-CN"/>
        </w:rPr>
        <w:t>）救济方式特殊</w:t>
      </w:r>
    </w:p>
    <w:p w14:paraId="3500C57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特别程序不适用审判监督程序</w:t>
      </w:r>
      <w:r>
        <w:rPr>
          <w:rFonts w:hint="eastAsia" w:ascii="Times New Roman Regular" w:hAnsi="Times New Roman Regular" w:cs="Times New Roman Regular"/>
          <w:sz w:val="24"/>
          <w:szCs w:val="24"/>
          <w:u w:val="none"/>
          <w:lang w:val="en-US" w:eastAsia="zh-CN"/>
        </w:rPr>
        <w:t>，直接作出新的判决、裁定即可。</w:t>
      </w:r>
    </w:p>
    <w:p w14:paraId="5AD12CC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四</w:t>
      </w:r>
      <w:r>
        <w:rPr>
          <w:rFonts w:hint="default" w:ascii="Times New Roman Regular" w:hAnsi="Times New Roman Regular" w:cs="Times New Roman Regular"/>
          <w:sz w:val="24"/>
          <w:szCs w:val="24"/>
          <w:u w:val="none"/>
          <w:lang w:val="en-US" w:eastAsia="zh-CN"/>
        </w:rPr>
        <w:t>）适用法院特殊</w:t>
      </w:r>
    </w:p>
    <w:p w14:paraId="4DDB283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审理和裁判特别程序的法院只能是基层法院（确认调解协议案件有例外）。</w:t>
      </w:r>
    </w:p>
    <w:p w14:paraId="1DDA2E62">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二、选民资格案件</w:t>
      </w:r>
    </w:p>
    <w:p w14:paraId="2F17D14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1．起诉人：只能是公民，不能是法人或其他组织。但该公民不要求与案件有直接利害关系。</w:t>
      </w:r>
    </w:p>
    <w:p w14:paraId="3B5A08A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2．前置程序：起诉人向法院起诉前，必须先向选举委员会提出申诉。</w:t>
      </w:r>
    </w:p>
    <w:p w14:paraId="78CE317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3．起诉时间：选举日的5日前。</w:t>
      </w:r>
    </w:p>
    <w:p w14:paraId="38D7FD7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4．管辖法院：选区所在地基层法院。</w:t>
      </w:r>
    </w:p>
    <w:p w14:paraId="53A64AF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5．审判组织：由审判员组成的合议庭审理。</w:t>
      </w:r>
    </w:p>
    <w:p w14:paraId="18ABBD2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6．开庭审理：审理时，起诉人、选举委员会的代表和有关公民必须参加；必须在选举日前审结。</w:t>
      </w:r>
    </w:p>
    <w:p w14:paraId="7F871DE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7．判决：法院判决书，应当在选举日前送达选举委员会和起诉人，并通知有关公民。判决书一经送达，立即生效。</w:t>
      </w:r>
    </w:p>
    <w:p w14:paraId="64B8A4C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三、宣告失踪、死亡案件</w:t>
      </w:r>
    </w:p>
    <w:p w14:paraId="64CE1550">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申请宣告失踪</w:t>
      </w:r>
    </w:p>
    <w:p w14:paraId="15606D5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适用情形</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公民下落不明已满两年公告期间</w:t>
      </w:r>
      <w:r>
        <w:rPr>
          <w:rFonts w:hint="default" w:ascii="Times New Roman Regular" w:hAnsi="Times New Roman Regular" w:cs="Times New Roman Regular"/>
          <w:sz w:val="24"/>
          <w:szCs w:val="24"/>
          <w:u w:val="none"/>
          <w:lang w:val="en-US" w:eastAsia="zh-CN"/>
        </w:rPr>
        <w:tab/>
      </w:r>
    </w:p>
    <w:p w14:paraId="5F4D1F4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2.公告期间：</w:t>
      </w:r>
      <w:r>
        <w:rPr>
          <w:rFonts w:hint="default" w:ascii="Times New Roman Regular" w:hAnsi="Times New Roman Regular" w:cs="Times New Roman Regular"/>
          <w:sz w:val="24"/>
          <w:szCs w:val="24"/>
          <w:u w:val="none"/>
          <w:lang w:val="en-US" w:eastAsia="zh-CN"/>
        </w:rPr>
        <w:t>3个月</w:t>
      </w:r>
    </w:p>
    <w:p w14:paraId="212D3072">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（二）申请宣告死亡</w:t>
      </w:r>
    </w:p>
    <w:p w14:paraId="552BED70">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1.适用情形：公民下落不明已满四年；因意外事件下落不明已满两年；因意外事件下落不明，经有关机关证明不可能生还</w:t>
      </w:r>
    </w:p>
    <w:p w14:paraId="4765E9F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2.公告期间：1年；3个月</w:t>
      </w:r>
    </w:p>
    <w:p w14:paraId="5DF60B6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（三）共性</w:t>
      </w:r>
    </w:p>
    <w:p w14:paraId="2F4BC0E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启动方式</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有利害关系人向法院提出申请</w:t>
      </w:r>
    </w:p>
    <w:p w14:paraId="15EB371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申请形式</w:t>
      </w:r>
      <w:r>
        <w:rPr>
          <w:rFonts w:hint="eastAsia" w:ascii="Times New Roman Regular" w:hAnsi="Times New Roman Regular" w:cs="Times New Roman Regular"/>
          <w:sz w:val="24"/>
          <w:szCs w:val="24"/>
          <w:u w:val="none"/>
          <w:lang w:val="en-US" w:eastAsia="zh-CN"/>
        </w:rPr>
        <w:t>：书</w:t>
      </w:r>
      <w:r>
        <w:rPr>
          <w:rFonts w:hint="default" w:ascii="Times New Roman Regular" w:hAnsi="Times New Roman Regular" w:cs="Times New Roman Regular"/>
          <w:sz w:val="24"/>
          <w:szCs w:val="24"/>
          <w:u w:val="none"/>
          <w:lang w:val="en-US" w:eastAsia="zh-CN"/>
        </w:rPr>
        <w:t>面申请</w:t>
      </w:r>
    </w:p>
    <w:p w14:paraId="29B330A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管辖法院</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下落不明公民住所地的基层法院</w:t>
      </w:r>
    </w:p>
    <w:p w14:paraId="7A1E9030">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w:t>
      </w:r>
      <w:r>
        <w:rPr>
          <w:rFonts w:hint="default" w:ascii="Times New Roman Regular" w:hAnsi="Times New Roman Regular" w:cs="Times New Roman Regular"/>
          <w:sz w:val="24"/>
          <w:szCs w:val="24"/>
          <w:u w:val="none"/>
          <w:lang w:val="en-US" w:eastAsia="zh-CN"/>
        </w:rPr>
        <w:t>重新出现的处理</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被宣告失踪人或被宣告死亡人出现后的处理，由该公民或利害关系人向作出宣告判决的法院提出申请，法院作出新判决，撤销原判决</w:t>
      </w:r>
    </w:p>
    <w:p w14:paraId="6B3CBFD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四、指定遗产管理人案件</w:t>
      </w:r>
    </w:p>
    <w:p w14:paraId="4C7B5A8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409D796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1．由利害关系人向法院提出书面申请</w:t>
      </w:r>
      <w:r>
        <w:rPr>
          <w:rFonts w:hint="eastAsia" w:ascii="Times New Roman Regular" w:hAnsi="Times New Roman Regular" w:cs="Times New Roman Regular"/>
          <w:sz w:val="24"/>
          <w:szCs w:val="24"/>
          <w:u w:val="none"/>
          <w:lang w:val="en-US" w:eastAsia="zh-CN"/>
        </w:rPr>
        <w:t>（不能依职权）</w:t>
      </w:r>
      <w:r>
        <w:rPr>
          <w:rFonts w:hint="default" w:ascii="Times New Roman Regular" w:hAnsi="Times New Roman Regular" w:cs="Times New Roman Regular"/>
          <w:sz w:val="24"/>
          <w:szCs w:val="24"/>
          <w:u w:val="none"/>
          <w:lang w:val="en-US" w:eastAsia="zh-CN"/>
        </w:rPr>
        <w:t>；</w:t>
      </w:r>
    </w:p>
    <w:p w14:paraId="15961BA0">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2．由被继承人死亡时住所地或者主要遗产所在地基层法院管辖。</w:t>
      </w:r>
    </w:p>
    <w:p w14:paraId="1C49B52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（二）处理方式</w:t>
      </w:r>
    </w:p>
    <w:p w14:paraId="2C6260A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1．法院审查核实后，判决指定遗产管理人；</w:t>
      </w:r>
    </w:p>
    <w:p w14:paraId="22CE6A92">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2．被指定的遗产管理人无法继续履职，法院可以根据利害关系人或者本人的申请另行指定遗产管理人；</w:t>
      </w:r>
    </w:p>
    <w:p w14:paraId="7AA601E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3．遗产管理人严重侵害继承人、受遗赠人或者债权人合法权益，法院可以根据利害关系人的申请，撤销其遗产管理人资格，并依法指定新的遗产管理人。</w:t>
      </w:r>
    </w:p>
    <w:p w14:paraId="6245362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五、认定公民无、限制民事行为能力案件</w:t>
      </w:r>
    </w:p>
    <w:p w14:paraId="5051940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1．由利害关系人或者有关组织向法院提出书面申请；</w:t>
      </w:r>
    </w:p>
    <w:p w14:paraId="3E558DE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2．申请事由只能是被申请人由于病理原因导致其无民事行为能力或者具有限制民事行为能力；</w:t>
      </w:r>
    </w:p>
    <w:p w14:paraId="1CB55E0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3．应由该公民住所地的基层法院管辖。</w:t>
      </w:r>
    </w:p>
    <w:p w14:paraId="467BB17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认定公民的行为能力，必须由法院指定或聘请有关专门机构进行鉴定。</w:t>
      </w:r>
    </w:p>
    <w:p w14:paraId="291DA78B">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根据被认定为无、限制民事行为能力人或他的监护人申请，证实其无、限制民事行为能力原因已消除的，应当作出新判决，撤销原判决。</w:t>
      </w:r>
    </w:p>
    <w:p w14:paraId="7C20CA06">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六、认定财产无主案件</w:t>
      </w:r>
    </w:p>
    <w:p w14:paraId="41A2155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6540EFB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1．被认定的无主财产应为有形财产</w:t>
      </w:r>
    </w:p>
    <w:p w14:paraId="66210C2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2．申请理由是被认定财产的权利主体不明</w:t>
      </w:r>
    </w:p>
    <w:p w14:paraId="0B14F98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3．财产所有权人不明的状态持续一定期间</w:t>
      </w:r>
    </w:p>
    <w:p w14:paraId="48BEF19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4．申请人向财产所在地基层法院提出书面申请</w:t>
      </w:r>
    </w:p>
    <w:p w14:paraId="0D2658B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（二）处理方式</w:t>
      </w:r>
    </w:p>
    <w:p w14:paraId="6EC82914">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法院受理案件后，应当发出财产认领公告，公告期为1年。公告期满无人认领，判决认定财产无主，收归国家或者集体所有。</w:t>
      </w:r>
    </w:p>
    <w:p w14:paraId="14BF3DA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公告期间，有人对该财产提出请求，法院应当裁定终结特别程序，告知申请人另行起诉，适用普通程序审理。</w:t>
      </w:r>
    </w:p>
    <w:p w14:paraId="623C4AE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七、确认调解协议案件的审理</w:t>
      </w:r>
    </w:p>
    <w:p w14:paraId="22ACD3D3">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（一）申请条件</w:t>
      </w:r>
    </w:p>
    <w:p w14:paraId="4F523CE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1．双方当事人提出申请。</w:t>
      </w:r>
    </w:p>
    <w:p w14:paraId="71D8995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2．在法定期限内提出申请。自调解协议生效之日起30日内提出申请。</w:t>
      </w:r>
    </w:p>
    <w:p w14:paraId="38A87EA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3．以书面或口头形式提出申请。</w:t>
      </w:r>
    </w:p>
    <w:p w14:paraId="63D5279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（二）管辖法院</w:t>
      </w:r>
    </w:p>
    <w:p w14:paraId="57F3B8AA">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1．调解组织自行开展调解：向当事人住所地、标的物所在地、调解组织所在地的基层法院提出；调解协议所涉纠纷应当由中级法院管辖的，向相应的中级法院提出。</w:t>
      </w:r>
    </w:p>
    <w:p w14:paraId="08FAE66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2．法院邀请调解组织先行调解：向作出邀请的法院提出。</w:t>
      </w:r>
    </w:p>
    <w:p w14:paraId="77FAE53C">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（三）审理与裁判</w:t>
      </w:r>
    </w:p>
    <w:p w14:paraId="70C4CC3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1．审判组织：审判员独任审理</w:t>
      </w:r>
    </w:p>
    <w:p w14:paraId="638CCB58">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2．处理结果：（1）作出确认调解协议有效的裁定（有强制执行效力）；（2）裁定驳回申请。</w:t>
      </w:r>
    </w:p>
    <w:p w14:paraId="6E863641">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3．救济方式：当事人对裁定不服的，应当自收到裁定之日起15日内提出异议；利害关系人对裁定不服的，应当自知道或者应当知道权益受损之日起6个月内提出异议。</w:t>
      </w:r>
    </w:p>
    <w:p w14:paraId="58DB8AB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八、实现担保物权案件的审理</w:t>
      </w:r>
    </w:p>
    <w:p w14:paraId="6E83FF3F">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（一）申请条件</w:t>
      </w:r>
    </w:p>
    <w:p w14:paraId="095DE4B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1．申请主体包括抵押权人、质权人、留置权人、抵押人、出质人、财产被留置的债务人或者所有权人。</w:t>
      </w:r>
    </w:p>
    <w:p w14:paraId="1154462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2．向担保财产所在地或者担保物权登记地基层法院提出书面申请。</w:t>
      </w:r>
    </w:p>
    <w:p w14:paraId="2CBAF0C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（二）审判组织</w:t>
      </w:r>
    </w:p>
    <w:p w14:paraId="23947A3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由审判员一人独任审查，但担保财产标的额超过基层法院管辖范围的，应当组成合议庭进行审查。</w:t>
      </w:r>
    </w:p>
    <w:p w14:paraId="66477547">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（三）处理方式</w:t>
      </w:r>
    </w:p>
    <w:p w14:paraId="058DF8CD">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1．当事人有实质性争议，裁定驳回申请，并告知申请人向法院起诉；</w:t>
      </w:r>
    </w:p>
    <w:p w14:paraId="58D2B2FE">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2．对于准许拍卖、变卖担保财产的裁定，当事人可以根据该裁定申请法院强制执行；</w:t>
      </w:r>
      <w:bookmarkStart w:id="0" w:name="_GoBack"/>
      <w:bookmarkEnd w:id="0"/>
    </w:p>
    <w:p w14:paraId="2243FE29">
      <w:pPr>
        <w:keepNext w:val="0"/>
        <w:keepLines w:val="0"/>
        <w:pageBreakBefore w:val="0"/>
        <w:widowControl w:val="0"/>
        <w:kinsoku/>
        <w:wordWrap/>
        <w:overflowPunct/>
        <w:topLinePunct w:val="0"/>
        <w:autoSpaceDE/>
        <w:autoSpaceDN/>
        <w:bidi w:val="0"/>
        <w:adjustRightInd/>
        <w:snapToGrid/>
        <w:spacing w:line="300" w:lineRule="exact"/>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3．当事人有异议的，应当自收到裁定之日起15日内提出异议；利害关系人对裁定不服的，自知道或者应当知道权益受损之日起6个月内提出异议。</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0FFE5D0D"/>
    <w:rsid w:val="13EF1752"/>
    <w:rsid w:val="16EFD392"/>
    <w:rsid w:val="177DA370"/>
    <w:rsid w:val="17DFFA75"/>
    <w:rsid w:val="18BFC09B"/>
    <w:rsid w:val="1BEF9C01"/>
    <w:rsid w:val="1BFB8A79"/>
    <w:rsid w:val="1DFF505D"/>
    <w:rsid w:val="1FFDE82A"/>
    <w:rsid w:val="1FFE3DC8"/>
    <w:rsid w:val="25E4E361"/>
    <w:rsid w:val="2DEF8498"/>
    <w:rsid w:val="2FF57ABD"/>
    <w:rsid w:val="31FD34EB"/>
    <w:rsid w:val="32FB9AF4"/>
    <w:rsid w:val="33FFC89A"/>
    <w:rsid w:val="35FBE841"/>
    <w:rsid w:val="37BBB7CA"/>
    <w:rsid w:val="37DBDFD5"/>
    <w:rsid w:val="37ED6C92"/>
    <w:rsid w:val="37F9300F"/>
    <w:rsid w:val="39CD9E08"/>
    <w:rsid w:val="3AA211B0"/>
    <w:rsid w:val="3DDD8785"/>
    <w:rsid w:val="3EFF2196"/>
    <w:rsid w:val="3EFFCDE3"/>
    <w:rsid w:val="3F3B7AB9"/>
    <w:rsid w:val="3F7D6D90"/>
    <w:rsid w:val="3FDF38B5"/>
    <w:rsid w:val="3FFBD59C"/>
    <w:rsid w:val="461DDECC"/>
    <w:rsid w:val="47BBBB65"/>
    <w:rsid w:val="4D7AF3B1"/>
    <w:rsid w:val="4F7E5D39"/>
    <w:rsid w:val="57FB2467"/>
    <w:rsid w:val="57FE1E11"/>
    <w:rsid w:val="5A6B2353"/>
    <w:rsid w:val="5BF630B3"/>
    <w:rsid w:val="5D1E5E35"/>
    <w:rsid w:val="5D2F548A"/>
    <w:rsid w:val="5D57C24D"/>
    <w:rsid w:val="5D9CC53C"/>
    <w:rsid w:val="5DBFD756"/>
    <w:rsid w:val="5DE79BA3"/>
    <w:rsid w:val="5F67BE34"/>
    <w:rsid w:val="5FDFC522"/>
    <w:rsid w:val="61D6CCE6"/>
    <w:rsid w:val="63F79634"/>
    <w:rsid w:val="676B1FCF"/>
    <w:rsid w:val="6BBF548D"/>
    <w:rsid w:val="6BEE3C17"/>
    <w:rsid w:val="6CFC5835"/>
    <w:rsid w:val="6D7E8747"/>
    <w:rsid w:val="6EBFFE06"/>
    <w:rsid w:val="6EDC6954"/>
    <w:rsid w:val="6EFB32FB"/>
    <w:rsid w:val="6F7D8B2D"/>
    <w:rsid w:val="6F7EF6AA"/>
    <w:rsid w:val="6F7FD66B"/>
    <w:rsid w:val="6FB7F990"/>
    <w:rsid w:val="6FC75035"/>
    <w:rsid w:val="6FE9DFA5"/>
    <w:rsid w:val="6FEF267B"/>
    <w:rsid w:val="6FF6B73E"/>
    <w:rsid w:val="6FF7B5C8"/>
    <w:rsid w:val="72B16660"/>
    <w:rsid w:val="72FEDFAF"/>
    <w:rsid w:val="74EF0DAF"/>
    <w:rsid w:val="75FD7826"/>
    <w:rsid w:val="75FFDC8C"/>
    <w:rsid w:val="76576194"/>
    <w:rsid w:val="76C25241"/>
    <w:rsid w:val="76EF0E2A"/>
    <w:rsid w:val="76FF389F"/>
    <w:rsid w:val="77EABA70"/>
    <w:rsid w:val="78FF9F1C"/>
    <w:rsid w:val="79B72732"/>
    <w:rsid w:val="79F678E1"/>
    <w:rsid w:val="7A7773A9"/>
    <w:rsid w:val="7A8FECFA"/>
    <w:rsid w:val="7B3FB0F3"/>
    <w:rsid w:val="7B6D3C00"/>
    <w:rsid w:val="7B77E946"/>
    <w:rsid w:val="7BFFD2F7"/>
    <w:rsid w:val="7C7DDD51"/>
    <w:rsid w:val="7C7DF4A0"/>
    <w:rsid w:val="7CFD15B2"/>
    <w:rsid w:val="7D473A11"/>
    <w:rsid w:val="7D6B8011"/>
    <w:rsid w:val="7D7FD33D"/>
    <w:rsid w:val="7D9D698B"/>
    <w:rsid w:val="7DBDD90E"/>
    <w:rsid w:val="7DBFEFAD"/>
    <w:rsid w:val="7DF9200D"/>
    <w:rsid w:val="7E3F6002"/>
    <w:rsid w:val="7E7FF430"/>
    <w:rsid w:val="7E9F1BC6"/>
    <w:rsid w:val="7EDFEDCC"/>
    <w:rsid w:val="7EFE5D96"/>
    <w:rsid w:val="7EFFC158"/>
    <w:rsid w:val="7F3B9F4C"/>
    <w:rsid w:val="7F3C3286"/>
    <w:rsid w:val="7F695405"/>
    <w:rsid w:val="7F6B748A"/>
    <w:rsid w:val="7FB49696"/>
    <w:rsid w:val="7FBF0F91"/>
    <w:rsid w:val="7FDFD89C"/>
    <w:rsid w:val="7FE7235C"/>
    <w:rsid w:val="7FFFE420"/>
    <w:rsid w:val="8ABEE47C"/>
    <w:rsid w:val="8EEA2CAB"/>
    <w:rsid w:val="9DAF2756"/>
    <w:rsid w:val="ADB00FA3"/>
    <w:rsid w:val="AE7B2097"/>
    <w:rsid w:val="AEAF67DC"/>
    <w:rsid w:val="AECFAD74"/>
    <w:rsid w:val="AEFFF231"/>
    <w:rsid w:val="AF7349BF"/>
    <w:rsid w:val="B1FDE468"/>
    <w:rsid w:val="B3FEA9EF"/>
    <w:rsid w:val="B7FEF551"/>
    <w:rsid w:val="B9FF2EEC"/>
    <w:rsid w:val="BAFD0EA5"/>
    <w:rsid w:val="BBD68691"/>
    <w:rsid w:val="BFD7C2A8"/>
    <w:rsid w:val="BFDF5E9D"/>
    <w:rsid w:val="BFF7E1B6"/>
    <w:rsid w:val="BFFFC478"/>
    <w:rsid w:val="C2FF7057"/>
    <w:rsid w:val="C7F79EC9"/>
    <w:rsid w:val="C9FED888"/>
    <w:rsid w:val="CBDA46FA"/>
    <w:rsid w:val="CDD5F166"/>
    <w:rsid w:val="CDF9AD73"/>
    <w:rsid w:val="CEAF22DB"/>
    <w:rsid w:val="CFABA3EB"/>
    <w:rsid w:val="CFBDAEF9"/>
    <w:rsid w:val="CFED99D5"/>
    <w:rsid w:val="CFFF1593"/>
    <w:rsid w:val="D0E2E5FF"/>
    <w:rsid w:val="D34543E6"/>
    <w:rsid w:val="D7F716BD"/>
    <w:rsid w:val="D7F8DDAE"/>
    <w:rsid w:val="D99D7B6E"/>
    <w:rsid w:val="DBF64670"/>
    <w:rsid w:val="DFBFB34A"/>
    <w:rsid w:val="DFDD6831"/>
    <w:rsid w:val="DFFDA037"/>
    <w:rsid w:val="DFFF680E"/>
    <w:rsid w:val="E5718167"/>
    <w:rsid w:val="E5AB3AAB"/>
    <w:rsid w:val="E5DD9418"/>
    <w:rsid w:val="E787CCF8"/>
    <w:rsid w:val="E7BFCB01"/>
    <w:rsid w:val="E9A6D270"/>
    <w:rsid w:val="EA3CD53D"/>
    <w:rsid w:val="EB6E8309"/>
    <w:rsid w:val="EBD730EB"/>
    <w:rsid w:val="EC2D9E1A"/>
    <w:rsid w:val="EE7A16FB"/>
    <w:rsid w:val="EECA7655"/>
    <w:rsid w:val="EF06E542"/>
    <w:rsid w:val="EF73E6F1"/>
    <w:rsid w:val="EF7FB042"/>
    <w:rsid w:val="EFB7ADF2"/>
    <w:rsid w:val="EFB7E0DF"/>
    <w:rsid w:val="EFCF9124"/>
    <w:rsid w:val="EFCFFD3A"/>
    <w:rsid w:val="EFDF470A"/>
    <w:rsid w:val="EFDFF3E6"/>
    <w:rsid w:val="EFE712E6"/>
    <w:rsid w:val="EFF7C6A6"/>
    <w:rsid w:val="F0D7EC59"/>
    <w:rsid w:val="F1B927A4"/>
    <w:rsid w:val="F2DD3E6A"/>
    <w:rsid w:val="F3FF92B4"/>
    <w:rsid w:val="F56E2A6E"/>
    <w:rsid w:val="F5EEDA60"/>
    <w:rsid w:val="F6DFFC0C"/>
    <w:rsid w:val="F6EE96F6"/>
    <w:rsid w:val="F73F225B"/>
    <w:rsid w:val="F77C8767"/>
    <w:rsid w:val="F7B63067"/>
    <w:rsid w:val="F7D77B58"/>
    <w:rsid w:val="F7EF4D91"/>
    <w:rsid w:val="FABE4737"/>
    <w:rsid w:val="FAF6F10A"/>
    <w:rsid w:val="FAFEF609"/>
    <w:rsid w:val="FB5E40DD"/>
    <w:rsid w:val="FBDB21CE"/>
    <w:rsid w:val="FBDF91EB"/>
    <w:rsid w:val="FBFF7EF4"/>
    <w:rsid w:val="FD375179"/>
    <w:rsid w:val="FD6C9E97"/>
    <w:rsid w:val="FD6EB3EE"/>
    <w:rsid w:val="FDBDD900"/>
    <w:rsid w:val="FDF59568"/>
    <w:rsid w:val="FDFFF259"/>
    <w:rsid w:val="FE6FAF3C"/>
    <w:rsid w:val="FEA64923"/>
    <w:rsid w:val="FED769C8"/>
    <w:rsid w:val="FED95718"/>
    <w:rsid w:val="FEFD0A75"/>
    <w:rsid w:val="FF3362C6"/>
    <w:rsid w:val="FF6F6FFE"/>
    <w:rsid w:val="FF7AA582"/>
    <w:rsid w:val="FF7BF13D"/>
    <w:rsid w:val="FF943FE1"/>
    <w:rsid w:val="FF9AA3D4"/>
    <w:rsid w:val="FFBEDFFF"/>
    <w:rsid w:val="FFBFCE21"/>
    <w:rsid w:val="FFEF7CE9"/>
    <w:rsid w:val="FFEFF665"/>
    <w:rsid w:val="FFF72BE1"/>
    <w:rsid w:val="FFFBE5A1"/>
    <w:rsid w:val="FFFF1AE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79</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2026-02-08T08:22:00Z</dcterms:created>
  <dc:creator>Arthur (Xiao) Dong</dc:creator>
  <cp:lastModifiedBy>zq</cp:lastModifiedBy>
  <dcterms:modified xsi:type="dcterms:W3CDTF">2026-03-26T22:40:04Z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