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4C7D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民诉第六讲课堂笔记（考点19-22）</w:t>
      </w:r>
    </w:p>
    <w:p w14:paraId="4904F4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/>
          <w:bCs/>
          <w:sz w:val="21"/>
          <w:szCs w:val="21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1"/>
          <w:szCs w:val="21"/>
          <w:lang w:val="en-US" w:eastAsia="zh-CN"/>
        </w:rPr>
        <w:t>【考点19：保全】</w:t>
      </w:r>
    </w:p>
    <w:p w14:paraId="724C76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一、保全的种类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（重点掌握诉前保全和诉讼中保全）</w:t>
      </w:r>
    </w:p>
    <w:p w14:paraId="0ED94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（一）诉前保全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（仲裁前保全）</w:t>
      </w:r>
    </w:p>
    <w:p w14:paraId="014203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1．适用情形：利害关系人因情况紧急，不立即申请保全将会使其合法权益受到难以弥补的损害。</w:t>
      </w:r>
    </w:p>
    <w:p w14:paraId="1B022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2．启动方式：必须由利害关系人提出申请。</w:t>
      </w:r>
    </w:p>
    <w:p w14:paraId="50F496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3．管辖法院：被保全财产所在地、被申请人住所地或者对案件有管辖权的法院。</w:t>
      </w:r>
    </w:p>
    <w:p w14:paraId="56D613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4．担保：利害关系人必须提供担保。</w:t>
      </w:r>
    </w:p>
    <w:p w14:paraId="6F274F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5．裁定及执行：应在48小时内作出裁定，裁定后应立即执行。</w:t>
      </w:r>
    </w:p>
    <w:p w14:paraId="047000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（二）诉讼中保全</w:t>
      </w:r>
    </w:p>
    <w:p w14:paraId="5AC2FC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1．适用情形：可能因当事人一方的行为或者其他原因，使判决难以执行或者造成当事人其他损害。</w:t>
      </w:r>
    </w:p>
    <w:p w14:paraId="450306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2．启动方式：由当事人提出申请，或者法院依职权决定适用。</w:t>
      </w:r>
    </w:p>
    <w:p w14:paraId="6105F7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3．管辖法院：一审中保全，由受理案件的法院作出裁定并实施。</w:t>
      </w:r>
    </w:p>
    <w:p w14:paraId="3B89D6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4．担保：可以责令当事人提供担保。法院责令担保，申请人不提供，裁定驳回保全申请。</w:t>
      </w:r>
    </w:p>
    <w:p w14:paraId="4A6A45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5．裁定及执行：应在接受财产保全申请5日内作出裁定；需要担保的，应在提供担保后5日内作出裁定；应在裁定后5日内开始执行。情况紧急的，必须在48小时内作出裁定，并立即开始执行。</w:t>
      </w:r>
    </w:p>
    <w:p w14:paraId="74A61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（三）执行前保全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：法院可以不要求提供担保</w:t>
      </w:r>
    </w:p>
    <w:p w14:paraId="3DDE8B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二、保全的措施</w:t>
      </w:r>
    </w:p>
    <w:p w14:paraId="44A446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需要重点掌握的内容是：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原则上由法院保管，不宜由法院保管的，法院可以指定被保全人负责保管；不宜由被保全人保管的，可以委托他人或者申请保全人保管。查封、扣押、冻结担保物权人占有的担保财产，一般由担保物权人保管；由法院保管时，质权、留置权不因采取保全措施而消灭。</w:t>
      </w:r>
    </w:p>
    <w:p w14:paraId="6A01F5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</w:p>
    <w:p w14:paraId="400FC1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  <w:t>【考点20:起诉与受理】</w:t>
      </w:r>
    </w:p>
    <w:p w14:paraId="548CA7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一、起诉</w:t>
      </w:r>
    </w:p>
    <w:p w14:paraId="702017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（一）起诉条件</w:t>
      </w:r>
    </w:p>
    <w:p w14:paraId="23465A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1．原告是与本案有直接利害关系的公民、法人和其他组织；</w:t>
      </w:r>
    </w:p>
    <w:p w14:paraId="6DC18E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2．有明确的被告；</w:t>
      </w:r>
    </w:p>
    <w:p w14:paraId="3DEF7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原告提供被告的姓名或者名称、住所等信息具体明确，足以使被告与他人相区别的，可以认定为有明确的被告。</w:t>
      </w:r>
    </w:p>
    <w:p w14:paraId="1753F6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3．有具体的诉讼请求和事实、理由；</w:t>
      </w:r>
    </w:p>
    <w:p w14:paraId="15B016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4．属于法院受理民事诉讼的范围和受诉法院管辖。</w:t>
      </w:r>
    </w:p>
    <w:p w14:paraId="33AB51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（二）起诉方式</w:t>
      </w:r>
    </w:p>
    <w:p w14:paraId="123268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以书面起诉为原则，以口头起诉为例外。</w:t>
      </w:r>
    </w:p>
    <w:p w14:paraId="387090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二、受理</w:t>
      </w:r>
    </w:p>
    <w:p w14:paraId="1BCBFD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（一）不予受理和驳回起诉的裁定可以上诉（小额诉讼程序的驳回起诉不能上诉）</w:t>
      </w:r>
    </w:p>
    <w:p w14:paraId="383E5F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二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）法院不予受理的情形</w:t>
      </w:r>
    </w:p>
    <w:p w14:paraId="4A60B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1.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行政诉讼案件；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2.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仲裁排斥诉讼；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3.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不属于法院主管范围；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4.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法院无管辖权；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5.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一事不再理，但法院准许撤诉的裁定除外；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6.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诉权受限期间起诉；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7.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判决不准离婚和调解和好的离婚案件，判决、调解维持收养关系的案件，没有新情况、新理由，原告在六个月内又起诉的，不予受理；原告撤诉或者按撤诉处理的离婚案件，没有新情况、新理由，六个月内又起诉的，法院不予受理。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8.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重复起诉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；9.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当事人提起诉讼仅请求解除同居关系，法院不予受理；已经受理的，裁定驳回起诉。</w:t>
      </w:r>
    </w:p>
    <w:p w14:paraId="3DC19B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</w:p>
    <w:p w14:paraId="47B89E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  <w:t>【考点21：审理中的特殊情形】</w:t>
      </w:r>
    </w:p>
    <w:p w14:paraId="483386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一、撤诉</w:t>
      </w:r>
    </w:p>
    <w:p w14:paraId="7E13D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（一）申请撤诉的条件</w:t>
      </w:r>
    </w:p>
    <w:p w14:paraId="4A036D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1．申请撤诉必须有合格的主体</w:t>
      </w:r>
    </w:p>
    <w:p w14:paraId="244980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原告、有独立请求权第三人和提出反诉的被告，法定代理人以及经特别授权的委托诉讼代理人。</w:t>
      </w:r>
    </w:p>
    <w:p w14:paraId="6A9A18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2．申请撤诉必须出于当事人自愿</w:t>
      </w:r>
    </w:p>
    <w:p w14:paraId="056EFF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3．撤诉应当在案件受理后，判决宣告前提出</w:t>
      </w:r>
    </w:p>
    <w:p w14:paraId="1BFDF1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4．撤诉必须法院审查同意。</w:t>
      </w:r>
    </w:p>
    <w:p w14:paraId="033FA7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当事人申请撤诉或者依法可以按撤诉处理的案件，如果当事人有违反法律的行为需要依法处理的，人民法院可以不准许撤诉或者不按撤诉处理。法庭辩论终结后原告申请撤诉，被告不同意的，人民法院可以不予准许。</w:t>
      </w:r>
    </w:p>
    <w:p w14:paraId="4ACCB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（二）按撤诉处理的情形</w:t>
      </w:r>
    </w:p>
    <w:p w14:paraId="5BC8B3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1．原告经传票传唤，无正当理由拒不到庭的，或者未经法庭许可中途退庭；</w:t>
      </w:r>
    </w:p>
    <w:p w14:paraId="6477C9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2．原告应当预交而未预交案件受理费，法院通知后仍不预交或者申请减、缓、免未获批准而仍不预交；</w:t>
      </w:r>
    </w:p>
    <w:p w14:paraId="5E3F5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3．无民事行为能力的原告的法定代理人，经传票传唤无正当理由拒不到庭。</w:t>
      </w:r>
    </w:p>
    <w:p w14:paraId="53245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三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）特别规定</w:t>
      </w:r>
    </w:p>
    <w:p w14:paraId="0B266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1．有独立请求权第三人参加诉讼后原告撤诉</w:t>
      </w:r>
    </w:p>
    <w:p w14:paraId="157CF7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有独立请求权的第三人参加诉讼后，原告申请撤诉，法院在准许原告撤诉后，有独立请求权的第三人作为另案原告，原案原告、被告作为另案被告，诉讼继续进行。</w:t>
      </w:r>
    </w:p>
    <w:p w14:paraId="671EE3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2．确认婚姻效力案件申请撤诉</w:t>
      </w:r>
    </w:p>
    <w:p w14:paraId="5216D3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法院受理请求确认婚姻无效案件后，原告申请撤诉的，不予准许。</w:t>
      </w:r>
    </w:p>
    <w:p w14:paraId="69482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二、缺席判决</w:t>
      </w:r>
    </w:p>
    <w:p w14:paraId="3E88A9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1．被告经传票传唤，无正当理由拒不到庭的，或者未经法庭许可中途退庭；</w:t>
      </w:r>
    </w:p>
    <w:p w14:paraId="7C1DF4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2．法院裁定不准许撤诉，原告经传票传唤，无正当理由拒不到庭；</w:t>
      </w:r>
    </w:p>
    <w:p w14:paraId="48D3BB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3．被告提出反诉后，原告无正当理由拒不到庭的，或者未经法庭许可中途退庭；</w:t>
      </w:r>
    </w:p>
    <w:p w14:paraId="19E44D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4．无民事行为能力的被告的法定代理人，经传票传唤无正当理由拒不到庭。</w:t>
      </w:r>
    </w:p>
    <w:p w14:paraId="68C6E5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三、延期审理</w:t>
      </w:r>
    </w:p>
    <w:p w14:paraId="59293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1．必须到庭的当事人和其他诉讼参与人有正当理由没有到庭的；</w:t>
      </w:r>
    </w:p>
    <w:p w14:paraId="38CE8B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2．当事人临时提出回避申请的；</w:t>
      </w:r>
    </w:p>
    <w:p w14:paraId="551107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3．需要通知新的证人到庭，调取新的证据，重新鉴定、勘验，或者需要补充调查的；</w:t>
      </w:r>
    </w:p>
    <w:p w14:paraId="4FD731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4．其他应当延期的情形</w:t>
      </w:r>
    </w:p>
    <w:p w14:paraId="4ED19A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四、诉讼中止</w:t>
      </w:r>
    </w:p>
    <w:p w14:paraId="322F9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1．一方当事人死亡，需要等待继承人表明是否参加诉讼的；</w:t>
      </w:r>
    </w:p>
    <w:p w14:paraId="52C9C5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2．一方当事人丧失诉讼行为能力，尚未确定法定代理人的；</w:t>
      </w:r>
    </w:p>
    <w:p w14:paraId="2B30C3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3．作为一方当事人的法人或者其他组织终止，尚未确定权利义务承受人的；</w:t>
      </w:r>
    </w:p>
    <w:p w14:paraId="12CCB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4．一方当事人因不可抗拒的事由，不能参加诉讼的；</w:t>
      </w:r>
    </w:p>
    <w:p w14:paraId="171EB0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5．本案必须以另一案的审理结果为依据，而另一案尚未审结的；</w:t>
      </w:r>
    </w:p>
    <w:p w14:paraId="35ECC8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6．其他应当中止诉讼的情形。</w:t>
      </w:r>
    </w:p>
    <w:p w14:paraId="5BACF6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五、诉讼终结</w:t>
      </w:r>
    </w:p>
    <w:p w14:paraId="1D2874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1．原告死亡，没有继承人，或者继承人放弃诉讼权利的；</w:t>
      </w:r>
    </w:p>
    <w:p w14:paraId="321C87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2．被告死亡，没有遗产，也没有应当承担义务的人的；</w:t>
      </w:r>
    </w:p>
    <w:p w14:paraId="75BECE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3．离婚案件一方当事人死亡的；</w:t>
      </w:r>
    </w:p>
    <w:p w14:paraId="0F7296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4．追索赡养费、扶养费、抚养费以及解除收养关系案件的一方当事人死亡的。</w:t>
      </w:r>
    </w:p>
    <w:p w14:paraId="1623D5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</w:p>
    <w:p w14:paraId="6EB044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  <w:t>【考点22:简易程序】</w:t>
      </w:r>
    </w:p>
    <w:p w14:paraId="51BEF2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一、简易程序的适用范围</w:t>
      </w:r>
    </w:p>
    <w:p w14:paraId="1F01D0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（一）适用法院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基层法院及其派出法庭。由审判员独任审理。</w:t>
      </w:r>
    </w:p>
    <w:p w14:paraId="1CB083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（二）适用审级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仅适用于第一审民事案件。</w:t>
      </w:r>
    </w:p>
    <w:p w14:paraId="3A370A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（三）适用案件</w:t>
      </w:r>
    </w:p>
    <w:p w14:paraId="51389D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1．事实清楚、权利义务关系明确、争议不大的简单的民事案件</w:t>
      </w:r>
    </w:p>
    <w:p w14:paraId="5FF7F0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2．本应适用普通程序审理的民事案件，当事人双方也可以约定适用简易程序（应当在开庭前提出）。已经按照普通程序审理的案件，在开庭后不得转为简易程序审理。</w:t>
      </w:r>
    </w:p>
    <w:p w14:paraId="516D0B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3．禁用案件类型（《民诉解释》第257条）</w:t>
      </w:r>
    </w:p>
    <w:p w14:paraId="393FBC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起诉时被告下落不明的；（2）发回重审的；（3）当事人一方人数众多的；（4）适用审判监督程序的；（5）涉及国家利益、社会公共利益的；（6）第三人起诉请求改变或者撤销生效判决、裁定、调解书的（第三人撤销之诉）；（7）其他不宜适用简易程序的案件。</w:t>
      </w:r>
    </w:p>
    <w:p w14:paraId="14C13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（四）简易程序转为普通程序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：包括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法院依职权转化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和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当事人申请转化</w:t>
      </w:r>
    </w:p>
    <w:p w14:paraId="2452B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二、起诉与答辩</w:t>
      </w:r>
    </w:p>
    <w:p w14:paraId="60999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原告可以口头起诉。双方当事人到庭后，被告同意口头答辩，法院可以当即开庭审理。即简易程序可以不确定答辩期。</w:t>
      </w:r>
    </w:p>
    <w:p w14:paraId="5893EE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三、审理前的准备</w:t>
      </w:r>
    </w:p>
    <w:p w14:paraId="1E8EB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一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）举证期限的特别规定</w:t>
      </w:r>
    </w:p>
    <w:p w14:paraId="671ADD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适用简易程序审理的民事案件，举证期限由法院确定，也可以由当事人双方协商一致并经法院批准，但不得超过15日。</w:t>
      </w:r>
    </w:p>
    <w:p w14:paraId="4C165B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二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）开庭方式的选择</w:t>
      </w:r>
    </w:p>
    <w:p w14:paraId="5D810B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当事人双方可以就开庭方式进行选择并向法院提出申请，由法院决定是否准许。经当事人同意，可以采用视听传输技术等方式开庭。</w:t>
      </w:r>
    </w:p>
    <w:p w14:paraId="0ABEC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四、开庭审理</w:t>
      </w:r>
    </w:p>
    <w:p w14:paraId="034471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（一）传唤和送达方式</w:t>
      </w:r>
    </w:p>
    <w:p w14:paraId="1460DA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法院可以采取捎口信、电话、短信、传真、电子邮件等简便方式传唤双方当事人、通知证人和送达诉讼文书。</w:t>
      </w:r>
    </w:p>
    <w:p w14:paraId="47F77E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以简便方式送达的开庭通知，未经当事人确认或者没有其他证据证明当事人已经收到的，法院不得将其作为按撤诉处理和缺席判决的根据。</w:t>
      </w:r>
    </w:p>
    <w:p w14:paraId="1F2D5F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（二）告知当事人诉讼权利义务</w:t>
      </w:r>
    </w:p>
    <w:p w14:paraId="09080F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开庭前已经书面或者口头告知当事人诉讼权利义务，或者当事人各方均委托律师代理诉讼的，审判人员除告知当事人申请回避的权利外，可以不再告知当事人其他的诉讼权利义务。</w:t>
      </w:r>
    </w:p>
    <w:p w14:paraId="268888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对没有委托律师、基层法律服务工作者代理诉讼的当事人，法院在庭审过程中可以对回避、自认、举证证明责任等相关内容向其作必要的解释或者说明，并在庭审过程中适当提示当事人正确行使诉讼权利、履行诉讼义务。</w:t>
      </w:r>
    </w:p>
    <w:p w14:paraId="71AAE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（三）法庭调查和辩论</w:t>
      </w:r>
    </w:p>
    <w:p w14:paraId="4930F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法院在进行法庭调查、法庭辩论时，可以不按法定顺序进行。</w:t>
      </w:r>
    </w:p>
    <w:p w14:paraId="056466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当事人对案件事实无争议的，审判人员可以在听取当事人就适用法律方面的辩论意见后径行判决、裁定。</w:t>
      </w:r>
    </w:p>
    <w:p w14:paraId="681693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适用简易程序审理民事案件，应当一次开庭审结，但法院认为确有必要再次开庭的除外。</w:t>
      </w:r>
    </w:p>
    <w:p w14:paraId="761F29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简化庭审程序审理案件，应当保障当事人答辩、举证、质证、陈述、辩论等诉讼权利。</w:t>
      </w:r>
    </w:p>
    <w:p w14:paraId="0BD97A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（四）审理期限</w:t>
      </w:r>
    </w:p>
    <w:p w14:paraId="234A85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法院适用简易程序审理案件，应当在立案之日起3个月内审结。有特殊情况需要延长的，经本院院长批准，可以延长1个月。</w:t>
      </w:r>
    </w:p>
    <w:p w14:paraId="062E0B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五、宣判</w:t>
      </w:r>
    </w:p>
    <w:p w14:paraId="4C662A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（一）宣判方式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简易程序以当庭宣判为原则，以定期宣判为例外。</w:t>
      </w:r>
    </w:p>
    <w:p w14:paraId="4D3E05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（二）判决书的送达</w:t>
      </w: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适用简易程序的案件，不适用公告送达。</w:t>
      </w:r>
    </w:p>
    <w:p w14:paraId="244918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（三）判决书的简化</w:t>
      </w:r>
    </w:p>
    <w:p w14:paraId="109BDA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1．适用情形</w:t>
      </w:r>
    </w:p>
    <w:p w14:paraId="1E57AE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（1）当事人达成调解协议并需要制作民事调解书的；</w:t>
      </w:r>
    </w:p>
    <w:p w14:paraId="1A37A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（2）一方当事人明确表示承认对方全部或者部分诉讼请求的；</w:t>
      </w:r>
    </w:p>
    <w:p w14:paraId="04431A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（3）涉及自然人的隐私、个人信息或者商业秘密的案件，当事人一方要求简化裁判文书中的相关内容，法院认为理由正当的；</w:t>
      </w:r>
    </w:p>
    <w:p w14:paraId="750A86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（4）当事人双方同意简化的。</w:t>
      </w:r>
      <w:bookmarkStart w:id="0" w:name="_GoBack"/>
      <w:bookmarkEnd w:id="0"/>
    </w:p>
    <w:p w14:paraId="440E10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2．简化内容：认定事实或者裁判理由部分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书宋二简">
    <w:altName w:val="华文宋体"/>
    <w:panose1 w:val="02010600000101010101"/>
    <w:charset w:val="86"/>
    <w:family w:val="modern"/>
    <w:pitch w:val="default"/>
    <w:sig w:usb0="00000000" w:usb1="00000000" w:usb2="0000000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Times New Roman Regular">
    <w:panose1 w:val="02020503050405090304"/>
    <w:charset w:val="00"/>
    <w:family w:val="auto"/>
    <w:pitch w:val="default"/>
    <w:sig w:usb0="E0000AFF" w:usb1="00007843" w:usb2="00000001" w:usb3="00000000" w:csb0="400001BF" w:csb1="DFF7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FBDAEF9"/>
    <w:rsid w:val="0D9A55A2"/>
    <w:rsid w:val="13EF1752"/>
    <w:rsid w:val="16EFD392"/>
    <w:rsid w:val="177DA370"/>
    <w:rsid w:val="17DFFA75"/>
    <w:rsid w:val="18BFC09B"/>
    <w:rsid w:val="1BEF9C01"/>
    <w:rsid w:val="1BFB8A79"/>
    <w:rsid w:val="1DFF505D"/>
    <w:rsid w:val="1FFDE82A"/>
    <w:rsid w:val="1FFE3DC8"/>
    <w:rsid w:val="25E4E361"/>
    <w:rsid w:val="2DEF8498"/>
    <w:rsid w:val="2FF57ABD"/>
    <w:rsid w:val="31FD34EB"/>
    <w:rsid w:val="32FB9AF4"/>
    <w:rsid w:val="37BBB7CA"/>
    <w:rsid w:val="37F9300F"/>
    <w:rsid w:val="39CD9E08"/>
    <w:rsid w:val="3AA211B0"/>
    <w:rsid w:val="3DDD8785"/>
    <w:rsid w:val="3EFF2196"/>
    <w:rsid w:val="3EFFCDE3"/>
    <w:rsid w:val="3F3B7AB9"/>
    <w:rsid w:val="3F7D6D90"/>
    <w:rsid w:val="3FDF38B5"/>
    <w:rsid w:val="3FFBD59C"/>
    <w:rsid w:val="461DDECC"/>
    <w:rsid w:val="4D7AF3B1"/>
    <w:rsid w:val="4F7E5D39"/>
    <w:rsid w:val="57FB2467"/>
    <w:rsid w:val="5A6B2353"/>
    <w:rsid w:val="5BF630B3"/>
    <w:rsid w:val="5D1E5E35"/>
    <w:rsid w:val="5D2F548A"/>
    <w:rsid w:val="5D9CC53C"/>
    <w:rsid w:val="5DBFD756"/>
    <w:rsid w:val="5F67BE34"/>
    <w:rsid w:val="5FAFAF5E"/>
    <w:rsid w:val="5FDFC522"/>
    <w:rsid w:val="61D6CCE6"/>
    <w:rsid w:val="63F79634"/>
    <w:rsid w:val="676B1FCF"/>
    <w:rsid w:val="6BBF548D"/>
    <w:rsid w:val="6BEE3C17"/>
    <w:rsid w:val="6CFC5835"/>
    <w:rsid w:val="6EBFFE06"/>
    <w:rsid w:val="6EDC6954"/>
    <w:rsid w:val="6F7EF6AA"/>
    <w:rsid w:val="6F7FD66B"/>
    <w:rsid w:val="6FB7F990"/>
    <w:rsid w:val="6FC75035"/>
    <w:rsid w:val="6FE9DFA5"/>
    <w:rsid w:val="6FF6B73E"/>
    <w:rsid w:val="6FF7B5C8"/>
    <w:rsid w:val="72B16660"/>
    <w:rsid w:val="72FEDFAF"/>
    <w:rsid w:val="74EF0DAF"/>
    <w:rsid w:val="75FD7826"/>
    <w:rsid w:val="75FFDC8C"/>
    <w:rsid w:val="76576194"/>
    <w:rsid w:val="78FF9F1C"/>
    <w:rsid w:val="79B72732"/>
    <w:rsid w:val="79F678E1"/>
    <w:rsid w:val="7A8FECFA"/>
    <w:rsid w:val="7B3FB0F3"/>
    <w:rsid w:val="7B6D3C00"/>
    <w:rsid w:val="7B77E946"/>
    <w:rsid w:val="7BFFD2F7"/>
    <w:rsid w:val="7C7DDD51"/>
    <w:rsid w:val="7C7DF4A0"/>
    <w:rsid w:val="7D473A11"/>
    <w:rsid w:val="7D7FD33D"/>
    <w:rsid w:val="7D9D698B"/>
    <w:rsid w:val="7DBDD90E"/>
    <w:rsid w:val="7DBFEFAD"/>
    <w:rsid w:val="7DF9200D"/>
    <w:rsid w:val="7E3F6002"/>
    <w:rsid w:val="7E7FF430"/>
    <w:rsid w:val="7E9F1BC6"/>
    <w:rsid w:val="7EFE5D96"/>
    <w:rsid w:val="7EFFC158"/>
    <w:rsid w:val="7F3B9F4C"/>
    <w:rsid w:val="7F3C3286"/>
    <w:rsid w:val="7F695405"/>
    <w:rsid w:val="7F6B748A"/>
    <w:rsid w:val="7FB49696"/>
    <w:rsid w:val="7FBF0F91"/>
    <w:rsid w:val="7FDFD89C"/>
    <w:rsid w:val="7FE7235C"/>
    <w:rsid w:val="7FFFE420"/>
    <w:rsid w:val="8ABEE47C"/>
    <w:rsid w:val="ADB00FA3"/>
    <w:rsid w:val="AE7B2097"/>
    <w:rsid w:val="AEAF67DC"/>
    <w:rsid w:val="AECFAD74"/>
    <w:rsid w:val="AEFFF231"/>
    <w:rsid w:val="AF7349BF"/>
    <w:rsid w:val="B1FDE468"/>
    <w:rsid w:val="B3FEA9EF"/>
    <w:rsid w:val="B7FEF551"/>
    <w:rsid w:val="BBD68691"/>
    <w:rsid w:val="BFD7C2A8"/>
    <w:rsid w:val="BFDF5E9D"/>
    <w:rsid w:val="BFFFC478"/>
    <w:rsid w:val="C2FF7057"/>
    <w:rsid w:val="C7F79EC9"/>
    <w:rsid w:val="C9FED888"/>
    <w:rsid w:val="CBDA46FA"/>
    <w:rsid w:val="CDF9AD73"/>
    <w:rsid w:val="CEAF22DB"/>
    <w:rsid w:val="CFABA3EB"/>
    <w:rsid w:val="CFBDAEF9"/>
    <w:rsid w:val="CFFF1593"/>
    <w:rsid w:val="D7F716BD"/>
    <w:rsid w:val="D7F8DDAE"/>
    <w:rsid w:val="D99D7B6E"/>
    <w:rsid w:val="DBF64670"/>
    <w:rsid w:val="DFBFB34A"/>
    <w:rsid w:val="DFDD6831"/>
    <w:rsid w:val="E5718167"/>
    <w:rsid w:val="E5AB3AAB"/>
    <w:rsid w:val="E5DD9418"/>
    <w:rsid w:val="E787CCF8"/>
    <w:rsid w:val="E7BFCB01"/>
    <w:rsid w:val="EA3CD53D"/>
    <w:rsid w:val="EB6E8309"/>
    <w:rsid w:val="EBD730EB"/>
    <w:rsid w:val="EC2D9E1A"/>
    <w:rsid w:val="EECA7655"/>
    <w:rsid w:val="EF06E542"/>
    <w:rsid w:val="EF73E6F1"/>
    <w:rsid w:val="EF7FB042"/>
    <w:rsid w:val="EFB7ADF2"/>
    <w:rsid w:val="EFB7E0DF"/>
    <w:rsid w:val="EFCFFD3A"/>
    <w:rsid w:val="EFDF470A"/>
    <w:rsid w:val="EFDFF3E6"/>
    <w:rsid w:val="EFE712E6"/>
    <w:rsid w:val="EFF7C6A6"/>
    <w:rsid w:val="F0D7EC59"/>
    <w:rsid w:val="F1B927A4"/>
    <w:rsid w:val="F2DD3E6A"/>
    <w:rsid w:val="F3FF92B4"/>
    <w:rsid w:val="F56E2A6E"/>
    <w:rsid w:val="F5EEDA60"/>
    <w:rsid w:val="F6DFFC0C"/>
    <w:rsid w:val="F6EE96F6"/>
    <w:rsid w:val="F73F225B"/>
    <w:rsid w:val="F7B63067"/>
    <w:rsid w:val="F7EF4D91"/>
    <w:rsid w:val="FABE4737"/>
    <w:rsid w:val="FBDB21CE"/>
    <w:rsid w:val="FBDF91EB"/>
    <w:rsid w:val="FBFF7EF4"/>
    <w:rsid w:val="FD375179"/>
    <w:rsid w:val="FD6C9E97"/>
    <w:rsid w:val="FD6EB3EE"/>
    <w:rsid w:val="FDBDD900"/>
    <w:rsid w:val="FDF59568"/>
    <w:rsid w:val="FEA64923"/>
    <w:rsid w:val="FED769C8"/>
    <w:rsid w:val="FEFD0A75"/>
    <w:rsid w:val="FF3362C6"/>
    <w:rsid w:val="FF6F6FFE"/>
    <w:rsid w:val="FF7BF13D"/>
    <w:rsid w:val="FF943FE1"/>
    <w:rsid w:val="FFBFCE21"/>
    <w:rsid w:val="FFEF7CE9"/>
    <w:rsid w:val="FFEFF665"/>
    <w:rsid w:val="FFF72BE1"/>
    <w:rsid w:val="FFFBE5A1"/>
    <w:rsid w:val="FFFF283E"/>
    <w:rsid w:val="FFFF3C31"/>
    <w:rsid w:val="FFFF8129"/>
    <w:rsid w:val="FFFF9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/>
      <w:spacing w:before="100" w:beforeAutospacing="1" w:after="100" w:afterAutospacing="1" w:line="384" w:lineRule="exact"/>
      <w:ind w:firstLine="721" w:firstLineChars="200"/>
      <w:jc w:val="left"/>
    </w:pPr>
    <w:rPr>
      <w:rFonts w:ascii="宋体" w:hAnsi="宋体" w:eastAsia="汉仪书宋二简" w:cs="宋体"/>
      <w:color w:val="auto"/>
      <w:kern w:val="0"/>
      <w:sz w:val="24"/>
      <w:szCs w:val="24"/>
      <w:lang w:val="en-US" w:eastAsia="zh-CN" w:bidi="ar-SA"/>
    </w:rPr>
  </w:style>
  <w:style w:type="table" w:styleId="4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57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2026-02-07T16:22:00Z</dcterms:created>
  <dc:creator>Arthur (Xiao) Dong</dc:creator>
  <cp:lastModifiedBy>zq</cp:lastModifiedBy>
  <dcterms:modified xsi:type="dcterms:W3CDTF">2026-03-24T22:46:51Z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3A31E5C62E8666FD53247769E1688135_41</vt:lpwstr>
  </property>
</Properties>
</file>