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2"/>
          <w:szCs w:val="32"/>
          <w:lang w:val="en-US" w:eastAsia="zh-CN"/>
        </w:rPr>
      </w:pPr>
      <w:r>
        <w:rPr>
          <w:rFonts w:hint="eastAsia"/>
          <w:b/>
          <w:bCs/>
          <w:sz w:val="32"/>
          <w:szCs w:val="32"/>
          <w:lang w:val="en-US" w:eastAsia="zh-CN"/>
        </w:rPr>
        <w:t>民诉第五讲课堂笔记（考点15-18）</w:t>
      </w: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2"/>
          <w:szCs w:val="22"/>
          <w:lang w:val="en-US" w:eastAsia="zh-CN"/>
        </w:rPr>
      </w:pPr>
      <w:r>
        <w:rPr>
          <w:rFonts w:hint="eastAsia" w:ascii="Times New Roman Regular" w:hAnsi="Times New Roman Regular" w:cs="Times New Roman Regular"/>
          <w:b/>
          <w:bCs/>
          <w:sz w:val="22"/>
          <w:szCs w:val="22"/>
          <w:lang w:val="en-US" w:eastAsia="zh-CN"/>
        </w:rPr>
        <w:t>【考点15：证明责任及其分配】</w:t>
      </w:r>
    </w:p>
    <w:p w14:paraId="2C1F8D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w:t>
      </w:r>
      <w:r>
        <w:rPr>
          <w:rFonts w:hint="eastAsia" w:ascii="Times New Roman Regular" w:hAnsi="Times New Roman Regular" w:cs="Times New Roman Regular"/>
          <w:sz w:val="22"/>
          <w:szCs w:val="22"/>
          <w:u w:val="none"/>
          <w:lang w:val="en-US" w:eastAsia="zh-CN"/>
        </w:rPr>
        <w:t>证明责任基本原理</w:t>
      </w:r>
    </w:p>
    <w:p w14:paraId="024A136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1．要件事实真伪不明是适用证明责任的前提；</w:t>
      </w:r>
    </w:p>
    <w:p w14:paraId="52DFDC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2．证明责任是一种拟制或假定；</w:t>
      </w:r>
    </w:p>
    <w:p w14:paraId="48F4E8D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3．证明责任的承担主体是一方当事人；</w:t>
      </w:r>
    </w:p>
    <w:p w14:paraId="6F0897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4．证明责任由法律、司法解释等预先确定；</w:t>
      </w:r>
    </w:p>
    <w:p w14:paraId="68EDE0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5．证明责任分配不会在诉讼过程中移转。</w:t>
      </w:r>
    </w:p>
    <w:p w14:paraId="3D74240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二、证明责任分配的一般规则</w:t>
      </w:r>
    </w:p>
    <w:p w14:paraId="18C6A6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（一）证明责任分配一般原理</w:t>
      </w:r>
    </w:p>
    <w:p w14:paraId="11E0501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1．主张法律关系存在的当事人，应对产生该法律关系的基本事实承担举证证明责任；</w:t>
      </w:r>
    </w:p>
    <w:p w14:paraId="0C19DC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2．主张法律关系变更、消灭或者权利受到妨害的当事人，应当对该法律关系变更、消灭或者权利受到妨害的基本事实承担举证证明责任。</w:t>
      </w:r>
    </w:p>
    <w:p w14:paraId="59A6656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（二）侵权纠纷案件证明责任分配</w:t>
      </w:r>
    </w:p>
    <w:p w14:paraId="496372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根据证明责任分配的一般原理，主张侵权行为成立和存在免责事由均属于积极事实，相关主张者应承担证明责任。具体而言，受害方应当就存在侵权行为、侵权造成的损害后果、行为和结果之间存在因果关系以及加害方有过错（无过错原则除外）等要件事实承担证明责任；而加害方则应当就存在免责事由承担证明责任。</w:t>
      </w:r>
    </w:p>
    <w:p w14:paraId="6B8BC2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三</w:t>
      </w:r>
      <w:r>
        <w:rPr>
          <w:rFonts w:hint="default" w:ascii="Times New Roman Regular" w:hAnsi="Times New Roman Regular" w:cs="Times New Roman Regular"/>
          <w:sz w:val="22"/>
          <w:szCs w:val="22"/>
          <w:u w:val="none"/>
          <w:lang w:val="en-US" w:eastAsia="zh-CN"/>
        </w:rPr>
        <w:t>）与《民法典合同编通则解释》有关的证明责任分配</w:t>
      </w:r>
    </w:p>
    <w:p w14:paraId="6D89BB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1．对于交易习惯，由提出主张的当事人一方承担举证责任。</w:t>
      </w:r>
    </w:p>
    <w:p w14:paraId="321728A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2．提供格式条款的一方对其已经尽到提示义务或者说明义务承担举证责任。</w:t>
      </w:r>
    </w:p>
    <w:p w14:paraId="18B8F1B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3．违约方主张约定的违约金过分高于违约造成的损失，请求予以适当减少，应当承担举证责任。</w:t>
      </w:r>
    </w:p>
    <w:p w14:paraId="7B468F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三、证明责任的特殊分配规则</w:t>
      </w:r>
    </w:p>
    <w:p w14:paraId="608E6F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（一）过错推定：《民法典》第1222条、第1248条、第1253条、第1255-1258条</w:t>
      </w:r>
    </w:p>
    <w:p w14:paraId="50C8BF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（二）因果关系推定：环境侵权</w:t>
      </w:r>
    </w:p>
    <w:p w14:paraId="65C569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p>
    <w:p w14:paraId="6ADF54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【考点16:证明程序】</w:t>
      </w:r>
    </w:p>
    <w:p w14:paraId="7E33EA6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一、举证时限</w:t>
      </w:r>
    </w:p>
    <w:p w14:paraId="7B6A40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（一）确定方式</w:t>
      </w:r>
    </w:p>
    <w:p w14:paraId="4F8E38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1．法院在审理前的准备阶段确定举证时限；</w:t>
      </w:r>
    </w:p>
    <w:p w14:paraId="21C365B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2．当事人协商后经法院许可。</w:t>
      </w:r>
    </w:p>
    <w:p w14:paraId="158079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法院确定举证时限，第一审普通程序≥15日；</w:t>
      </w:r>
    </w:p>
    <w:p w14:paraId="1BBD05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当事人提供新的证据的第二审案件≥10日。（《民事证据规定》第51条）</w:t>
      </w:r>
    </w:p>
    <w:p w14:paraId="38F28A1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（二）举证时限的延长</w:t>
      </w:r>
    </w:p>
    <w:p w14:paraId="502510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1．适用情形</w:t>
      </w:r>
    </w:p>
    <w:p w14:paraId="72D386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当事人在举证期限内提供证据确有困难（存在客观障碍）法院应当根据当事人的举证能力、不能在举证期限内提供证据的原因等因素综合判断。必要时，可以听取对方当事人的意见。（《民事证据规定》第52条）</w:t>
      </w:r>
    </w:p>
    <w:p w14:paraId="4B92C0B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2．申请时间和方式</w:t>
      </w:r>
    </w:p>
    <w:p w14:paraId="1B545B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申请延长举证期限的，应当在举证期限届满前向法院提出书面申请。申请理由成立的，法院应当准许，适当延长举证期限，并通知其他当事人。延长的举证期限适用于其他当事人。申请理由不成立的，法院不予准许，并通知申请人。（《民事证据规定》第54条）</w:t>
      </w:r>
    </w:p>
    <w:p w14:paraId="744D6B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（三）逾期举证的法律后果</w:t>
      </w:r>
    </w:p>
    <w:p w14:paraId="6722D87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客观原因或对方未异议</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视为未逾期</w:t>
      </w:r>
    </w:p>
    <w:p w14:paraId="2BFCA2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主观原因</w:t>
      </w:r>
      <w:r>
        <w:rPr>
          <w:rFonts w:hint="default" w:ascii="Times New Roman Regular" w:hAnsi="Times New Roman Regular" w:cs="Times New Roman Regular"/>
          <w:sz w:val="22"/>
          <w:szCs w:val="22"/>
          <w:u w:val="none"/>
          <w:lang w:val="en-US" w:eastAsia="zh-CN"/>
        </w:rPr>
        <w:tab/>
      </w:r>
    </w:p>
    <w:p w14:paraId="3000C6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故意或重大过失</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与案件基本事实有关</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采纳后训诫、罚款</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与案件基本事实无关</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不予采纳</w:t>
      </w:r>
    </w:p>
    <w:p w14:paraId="3B1E871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非故意或重大过失</w:t>
      </w:r>
      <w:r>
        <w:rPr>
          <w:rFonts w:hint="eastAsia" w:ascii="Times New Roman Regular" w:hAnsi="Times New Roman Regular" w:cs="Times New Roman Regular"/>
          <w:sz w:val="22"/>
          <w:szCs w:val="22"/>
          <w:u w:val="none"/>
          <w:lang w:val="en-US" w:eastAsia="zh-CN"/>
        </w:rPr>
        <w:t>的，</w:t>
      </w:r>
      <w:r>
        <w:rPr>
          <w:rFonts w:hint="default" w:ascii="Times New Roman Regular" w:hAnsi="Times New Roman Regular" w:cs="Times New Roman Regular"/>
          <w:sz w:val="22"/>
          <w:szCs w:val="22"/>
          <w:u w:val="none"/>
          <w:lang w:val="en-US" w:eastAsia="zh-CN"/>
        </w:rPr>
        <w:t>采纳后训诫</w:t>
      </w:r>
    </w:p>
    <w:p w14:paraId="48C67B6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二</w:t>
      </w:r>
      <w:r>
        <w:rPr>
          <w:rFonts w:hint="default" w:ascii="Times New Roman Regular" w:hAnsi="Times New Roman Regular" w:cs="Times New Roman Regular"/>
          <w:sz w:val="22"/>
          <w:szCs w:val="22"/>
          <w:u w:val="none"/>
          <w:lang w:val="en-US" w:eastAsia="zh-CN"/>
        </w:rPr>
        <w:t>、法院调查收集证据</w:t>
      </w:r>
    </w:p>
    <w:p w14:paraId="6E6433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（一）依职权调查收集证据</w:t>
      </w:r>
    </w:p>
    <w:p w14:paraId="494B24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涉及可能损害国家利益、社会公共利益的；2．涉及身份关系的；3．涉及民事公益诉讼的；4．当事人有恶意串通损害他人合法权益可能的；5．涉及依职权追加当事人、中止诉讼、终结诉讼、回避等程序性事项的。</w:t>
      </w:r>
    </w:p>
    <w:p w14:paraId="78C66EA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（二）依申请调查收集证据</w:t>
      </w:r>
    </w:p>
    <w:p w14:paraId="50E4ED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1．适用情形（《民诉解释》第94条）</w:t>
      </w:r>
    </w:p>
    <w:p w14:paraId="048D167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（1）证据由国家有关部门保存，当事人及其诉讼代理人无权查阅调取的；</w:t>
      </w:r>
    </w:p>
    <w:p w14:paraId="5D300A5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（2）涉及国家秘密、商业秘密或者个人隐私的；</w:t>
      </w:r>
    </w:p>
    <w:p w14:paraId="72ACD0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（3）当事人及其诉讼代理人因客观原因不能自行收集的其他证据。</w:t>
      </w:r>
    </w:p>
    <w:p w14:paraId="6DF1EF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2．申请主体：当事人本人或者代理人</w:t>
      </w:r>
    </w:p>
    <w:p w14:paraId="2ADD10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3．申请期限：举证期限届满前</w:t>
      </w:r>
    </w:p>
    <w:p w14:paraId="172AA05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4．申请形式：提交申请书</w:t>
      </w:r>
    </w:p>
    <w:p w14:paraId="649D6B8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5．不予准许情形：当事人申请调查收集的证据，与待证事实无关联、对证明待证事实无意义或者其他无调查收集必要，法院不予准许。</w:t>
      </w:r>
    </w:p>
    <w:p w14:paraId="70783D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6．不予准许处理程序：应当向当事人或其诉讼代理人送达通知书</w:t>
      </w:r>
    </w:p>
    <w:p w14:paraId="4E5B5F1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四、质证</w:t>
      </w:r>
    </w:p>
    <w:p w14:paraId="4DCCFAE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1．公开质证原则</w:t>
      </w:r>
    </w:p>
    <w:p w14:paraId="6F36EB2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证据应当在法庭上出示，由当事人互相质证。未经当事人质证的证据，不得作为认定案件事实的根据。</w:t>
      </w:r>
    </w:p>
    <w:p w14:paraId="488E0B1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2．例外规定</w:t>
      </w:r>
    </w:p>
    <w:p w14:paraId="6A366F9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（1）当事人在审理前的准备阶段或者法院调查、询问过程中发表过质证意见的证据，视为质证过的证据。</w:t>
      </w:r>
    </w:p>
    <w:p w14:paraId="6349C4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（2）涉及国家秘密、商业秘密、个人隐私或者法律规定应当保密的证据，不得公开质证。</w:t>
      </w:r>
    </w:p>
    <w:p w14:paraId="773D304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5E7B8E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【考点17:法院调解】</w:t>
      </w:r>
    </w:p>
    <w:p w14:paraId="7BD3FC5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一、法院调解程序</w:t>
      </w:r>
    </w:p>
    <w:p w14:paraId="38585A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（一）调解的启动</w:t>
      </w:r>
    </w:p>
    <w:p w14:paraId="64D927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1．征得当事人双方同意，法院在立案之前、一审、二审和再审的各个阶段均可以进行调解。</w:t>
      </w:r>
    </w:p>
    <w:p w14:paraId="60A7939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2．不适用调解的情形</w:t>
      </w:r>
    </w:p>
    <w:p w14:paraId="16756DA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特别程序、督促程序、公示催告程序、破产还债程序案件、婚姻等身份关系确认案件以及执行程序不能调解。（《民诉解释》第143条）</w:t>
      </w:r>
    </w:p>
    <w:p w14:paraId="2CEADE8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（二）调解的进行</w:t>
      </w:r>
    </w:p>
    <w:p w14:paraId="024C52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调解协议可以超出原告诉讼请求。</w:t>
      </w:r>
    </w:p>
    <w:p w14:paraId="6F711CF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调解过程不公开，但当事人同意公开的除外。</w:t>
      </w:r>
    </w:p>
    <w:p w14:paraId="1B28D4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3.</w:t>
      </w:r>
      <w:r>
        <w:rPr>
          <w:rFonts w:hint="default" w:ascii="Times New Roman Regular" w:hAnsi="Times New Roman Regular" w:cs="Times New Roman Regular"/>
          <w:sz w:val="22"/>
          <w:szCs w:val="22"/>
          <w:u w:val="none"/>
          <w:lang w:val="en-US" w:eastAsia="zh-CN"/>
        </w:rPr>
        <w:t>调解协议内容不公开，但为保护国家利益、社会公共利益、他人合法权益，法院认为确有必要公开的除外。</w:t>
      </w:r>
    </w:p>
    <w:p w14:paraId="6D6B71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二、调解书及调解的效力</w:t>
      </w:r>
    </w:p>
    <w:p w14:paraId="7410E0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（一）调解书的制作</w:t>
      </w:r>
    </w:p>
    <w:p w14:paraId="1F6F4F0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1．调解达成协议，法院原则上应当制作调解书。</w:t>
      </w:r>
    </w:p>
    <w:p w14:paraId="386233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生效时间：以最后收到调解书的当事人签收的日期为调解书生效时间。</w:t>
      </w:r>
    </w:p>
    <w:p w14:paraId="55F5AC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2．不需要制作调解书的情形（《民事诉讼法》第101条）</w:t>
      </w:r>
    </w:p>
    <w:p w14:paraId="5AA92A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（1）调解和好的离婚案件；</w:t>
      </w:r>
    </w:p>
    <w:p w14:paraId="14A2ED6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（2）调解维持收养关系的案件；</w:t>
      </w:r>
    </w:p>
    <w:p w14:paraId="73865E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（3）能够即时履行的案件；</w:t>
      </w:r>
    </w:p>
    <w:p w14:paraId="7121E9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（4）其他不需要制作调解书的案件。</w:t>
      </w:r>
    </w:p>
    <w:p w14:paraId="2C3F57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生效时间：双方当事人、审判人员、书记员在调解协议上签名或盖章后，调解即具有法律效力。</w:t>
      </w:r>
    </w:p>
    <w:p w14:paraId="2048365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3．当事人调解达成协议后，请求法院按照和解协议或者调解协议的内容制作判决书的，法院不予准许。但无民事行为能力人的离婚案件和涉外民事诉讼除外。</w:t>
      </w:r>
    </w:p>
    <w:p w14:paraId="4EC9611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（二）调解书签收的特殊规定</w:t>
      </w:r>
    </w:p>
    <w:p w14:paraId="1367424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1．对调解书的内容既不享有权利又不承担义务的当事人不签收调解书的，不影响调解书的效力。（《关于人民法院民事调解工作若干问题的规定》第12条）</w:t>
      </w:r>
    </w:p>
    <w:p w14:paraId="73145B9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2．法院调解民事案件，需由无独立请求权第三人承担责任的，应当经其同意，该第三人在调解书送达前反悔的，法院应当及时裁判。</w:t>
      </w:r>
    </w:p>
    <w:p w14:paraId="2048AC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3．担保人拒不签收调解书不影响调解书生效，担保的效力在符合民法典规定的条件时生效。（《关于人民法院民事调解工作若干问题的规定》第9条）</w:t>
      </w:r>
    </w:p>
    <w:p w14:paraId="6925CE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（三）调解的效力</w:t>
      </w:r>
    </w:p>
    <w:p w14:paraId="39191B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1．诉讼结束后，当事人不得以同一事实和理由再行起诉；</w:t>
      </w:r>
    </w:p>
    <w:p w14:paraId="2D0570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2．调解协议或调解书发生效力后，当事人不得上诉；</w:t>
      </w:r>
    </w:p>
    <w:p w14:paraId="44F5CD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3．当事人在诉讼中争议的法律关系中的争议归于消灭，当事人之间实体上的权利义务关系依调解协议的内容予以确定；</w:t>
      </w:r>
    </w:p>
    <w:p w14:paraId="5B407E7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4．具有给付内容的调解书，具有强制执行力。</w:t>
      </w:r>
    </w:p>
    <w:p w14:paraId="3F0CE3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3E30C1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【考点18：送达方式】</w:t>
      </w:r>
    </w:p>
    <w:p w14:paraId="2E9B73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一、直接送达</w:t>
      </w:r>
    </w:p>
    <w:p w14:paraId="26EF8D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二、留置送达</w:t>
      </w:r>
    </w:p>
    <w:p w14:paraId="630666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适用情形：受送达人或者有资格接受送达的人拒绝接收诉讼文书；定期宣判时当事人拒绝签收判决书、裁定书。</w:t>
      </w:r>
    </w:p>
    <w:p w14:paraId="1ABAD7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送达程序：（1）邀请有关基层组织或者受送达人所在单位的代表到场，说明情况，在送达回证上记明拒收事由和日期，由送达人、见证人签名或者盖章，把诉讼文书留在受送达人的住所；（2）把诉讼文书留在受送达人的住所，并采用拍照、录像等方式记录送达过程。</w:t>
      </w:r>
    </w:p>
    <w:p w14:paraId="081869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【注意】</w:t>
      </w:r>
      <w:r>
        <w:rPr>
          <w:rFonts w:hint="default" w:ascii="Times New Roman Regular" w:hAnsi="Times New Roman Regular" w:cs="Times New Roman Regular"/>
          <w:sz w:val="22"/>
          <w:szCs w:val="22"/>
          <w:u w:val="none"/>
          <w:lang w:val="en-US" w:eastAsia="zh-CN"/>
        </w:rPr>
        <w:t>调解书不适用留置送达，但并非只能直接送达当事人本人；支付令可以留置送达。</w:t>
      </w:r>
    </w:p>
    <w:p w14:paraId="4E98501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三、电子送达</w:t>
      </w:r>
    </w:p>
    <w:p w14:paraId="342E64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适用条件：受送达人同意（应在送达地址确认书中确认）。</w:t>
      </w:r>
    </w:p>
    <w:p w14:paraId="7CBC738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四、委托送达</w:t>
      </w:r>
    </w:p>
    <w:p w14:paraId="45C340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适用条件：直接送达有困难。</w:t>
      </w:r>
    </w:p>
    <w:p w14:paraId="54D2F5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委托对象：只能是其他法院。</w:t>
      </w:r>
    </w:p>
    <w:p w14:paraId="3E8409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时限要求：应当自收到委托函及相关诉讼文书之日起10日内代为送达。</w:t>
      </w:r>
    </w:p>
    <w:p w14:paraId="670E01E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五、邮寄送达</w:t>
      </w:r>
    </w:p>
    <w:p w14:paraId="7C3257E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适用情形：直接送达诉讼文书有困难。</w:t>
      </w:r>
    </w:p>
    <w:p w14:paraId="079FE7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送达日期确定：以邮件回执的收件日期为送达日期</w:t>
      </w:r>
      <w:bookmarkStart w:id="0" w:name="_GoBack"/>
      <w:bookmarkEnd w:id="0"/>
    </w:p>
    <w:p w14:paraId="261AB6B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六、转交送达</w:t>
      </w:r>
    </w:p>
    <w:p w14:paraId="65D98F5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军人</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所在部队团以上政治机关</w:t>
      </w:r>
    </w:p>
    <w:p w14:paraId="4EC8268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被监禁的人</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所在监所</w:t>
      </w:r>
    </w:p>
    <w:p w14:paraId="43EC19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3.</w:t>
      </w:r>
      <w:r>
        <w:rPr>
          <w:rFonts w:hint="default" w:ascii="Times New Roman Regular" w:hAnsi="Times New Roman Regular" w:cs="Times New Roman Regular"/>
          <w:sz w:val="22"/>
          <w:szCs w:val="22"/>
          <w:u w:val="none"/>
          <w:lang w:val="en-US" w:eastAsia="zh-CN"/>
        </w:rPr>
        <w:t>被采取强制性教育措施的人</w:t>
      </w:r>
      <w:r>
        <w:rPr>
          <w:rFonts w:hint="eastAsia" w:ascii="Times New Roman Regular" w:hAnsi="Times New Roman Regular" w:cs="Times New Roman Regular"/>
          <w:sz w:val="22"/>
          <w:szCs w:val="22"/>
          <w:u w:val="none"/>
          <w:lang w:val="en-US" w:eastAsia="zh-CN"/>
        </w:rPr>
        <w:t>：</w:t>
      </w:r>
      <w:r>
        <w:rPr>
          <w:rFonts w:hint="default" w:ascii="Times New Roman Regular" w:hAnsi="Times New Roman Regular" w:cs="Times New Roman Regular"/>
          <w:sz w:val="22"/>
          <w:szCs w:val="22"/>
          <w:u w:val="none"/>
          <w:lang w:val="en-US" w:eastAsia="zh-CN"/>
        </w:rPr>
        <w:t>所在强制教育机构</w:t>
      </w:r>
    </w:p>
    <w:p w14:paraId="324660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七、公告送达</w:t>
      </w:r>
    </w:p>
    <w:p w14:paraId="37FEC0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适用情形：（1）受送达人下落不明；（2）其他送达方法均无法送达。</w:t>
      </w:r>
    </w:p>
    <w:p w14:paraId="49ECDE0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公告期限：（1）国内诉讼发出公告之日起经过30日；（2）涉外诉讼发出公告之日起经过60日。</w:t>
      </w:r>
    </w:p>
    <w:p w14:paraId="1B19EE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【注意】</w:t>
      </w:r>
    </w:p>
    <w:p w14:paraId="50E081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1．适用简易程序案件，不适用公告送达（互联网法院除外）；</w:t>
      </w:r>
    </w:p>
    <w:p w14:paraId="250D42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2．支付令不适用公告送达。</w:t>
      </w:r>
    </w:p>
    <w:p w14:paraId="74A618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3．若调解书签收才能生效，不适用公告送达。</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DEF8498"/>
    <w:rsid w:val="2FF57ABD"/>
    <w:rsid w:val="31FD34EB"/>
    <w:rsid w:val="32FB9AF4"/>
    <w:rsid w:val="37BBB7CA"/>
    <w:rsid w:val="37F9300F"/>
    <w:rsid w:val="39CD9E08"/>
    <w:rsid w:val="3AA211B0"/>
    <w:rsid w:val="3DDD8785"/>
    <w:rsid w:val="3EFF2196"/>
    <w:rsid w:val="3EFFCDE3"/>
    <w:rsid w:val="3F3B7AB9"/>
    <w:rsid w:val="3F7D6D90"/>
    <w:rsid w:val="3FDF38B5"/>
    <w:rsid w:val="3FFBD59C"/>
    <w:rsid w:val="461DDECC"/>
    <w:rsid w:val="4D7AF3B1"/>
    <w:rsid w:val="4F7E5D39"/>
    <w:rsid w:val="57FB2467"/>
    <w:rsid w:val="5A6B2353"/>
    <w:rsid w:val="5BF630B3"/>
    <w:rsid w:val="5D1E5E35"/>
    <w:rsid w:val="5D2F548A"/>
    <w:rsid w:val="5D9CC53C"/>
    <w:rsid w:val="5DBFD756"/>
    <w:rsid w:val="5F67BE34"/>
    <w:rsid w:val="5FDFC522"/>
    <w:rsid w:val="61D6CCE6"/>
    <w:rsid w:val="63F79634"/>
    <w:rsid w:val="676B1FCF"/>
    <w:rsid w:val="6BBF548D"/>
    <w:rsid w:val="6BEE3C17"/>
    <w:rsid w:val="6CFC5835"/>
    <w:rsid w:val="6EBFFE06"/>
    <w:rsid w:val="6EDC6954"/>
    <w:rsid w:val="6F7EF6AA"/>
    <w:rsid w:val="6F7FD66B"/>
    <w:rsid w:val="6FB7F990"/>
    <w:rsid w:val="6FC75035"/>
    <w:rsid w:val="6FE9DFA5"/>
    <w:rsid w:val="6FF6B73E"/>
    <w:rsid w:val="6FF7B5C8"/>
    <w:rsid w:val="72B16660"/>
    <w:rsid w:val="72FEDFAF"/>
    <w:rsid w:val="74EF0DAF"/>
    <w:rsid w:val="75FD7826"/>
    <w:rsid w:val="75FFDC8C"/>
    <w:rsid w:val="76576194"/>
    <w:rsid w:val="78FF9F1C"/>
    <w:rsid w:val="79B72732"/>
    <w:rsid w:val="79F678E1"/>
    <w:rsid w:val="7A8FECFA"/>
    <w:rsid w:val="7B3FB0F3"/>
    <w:rsid w:val="7B6D3C00"/>
    <w:rsid w:val="7B77E946"/>
    <w:rsid w:val="7BFFD2F7"/>
    <w:rsid w:val="7C7DDD51"/>
    <w:rsid w:val="7C7DF4A0"/>
    <w:rsid w:val="7D473A11"/>
    <w:rsid w:val="7D7FD33D"/>
    <w:rsid w:val="7D9D698B"/>
    <w:rsid w:val="7DBDD90E"/>
    <w:rsid w:val="7DBFEFAD"/>
    <w:rsid w:val="7DF9200D"/>
    <w:rsid w:val="7E3F6002"/>
    <w:rsid w:val="7E7FF430"/>
    <w:rsid w:val="7E9F1BC6"/>
    <w:rsid w:val="7EFE5D96"/>
    <w:rsid w:val="7EFFC158"/>
    <w:rsid w:val="7F3B9F4C"/>
    <w:rsid w:val="7F3C3286"/>
    <w:rsid w:val="7F695405"/>
    <w:rsid w:val="7F6B748A"/>
    <w:rsid w:val="7FB49696"/>
    <w:rsid w:val="7FBF0F91"/>
    <w:rsid w:val="7FDFD89C"/>
    <w:rsid w:val="7FE7235C"/>
    <w:rsid w:val="7FFFE420"/>
    <w:rsid w:val="8ABEE47C"/>
    <w:rsid w:val="ADB00FA3"/>
    <w:rsid w:val="AE7B2097"/>
    <w:rsid w:val="AEAF67DC"/>
    <w:rsid w:val="AECFAD74"/>
    <w:rsid w:val="AEFFF231"/>
    <w:rsid w:val="AF7349BF"/>
    <w:rsid w:val="B1FDE468"/>
    <w:rsid w:val="B3FEA9EF"/>
    <w:rsid w:val="B7FEF551"/>
    <w:rsid w:val="BBD68691"/>
    <w:rsid w:val="BFD7C2A8"/>
    <w:rsid w:val="BFDF5E9D"/>
    <w:rsid w:val="BFFFC478"/>
    <w:rsid w:val="C2FF7057"/>
    <w:rsid w:val="C7F79EC9"/>
    <w:rsid w:val="C9FED888"/>
    <w:rsid w:val="CBDA46FA"/>
    <w:rsid w:val="CDF9AD73"/>
    <w:rsid w:val="CEAF22DB"/>
    <w:rsid w:val="CFABA3EB"/>
    <w:rsid w:val="CFBDAEF9"/>
    <w:rsid w:val="CFFF1593"/>
    <w:rsid w:val="D7F716BD"/>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B7E0DF"/>
    <w:rsid w:val="EFCFFD3A"/>
    <w:rsid w:val="EFDF470A"/>
    <w:rsid w:val="EFDFF3E6"/>
    <w:rsid w:val="EFE712E6"/>
    <w:rsid w:val="EFF7C6A6"/>
    <w:rsid w:val="F0D7EC59"/>
    <w:rsid w:val="F1B927A4"/>
    <w:rsid w:val="F2DD3E6A"/>
    <w:rsid w:val="F3FF92B4"/>
    <w:rsid w:val="F56E2A6E"/>
    <w:rsid w:val="F5EEDA60"/>
    <w:rsid w:val="F6DFFC0C"/>
    <w:rsid w:val="F6EE96F6"/>
    <w:rsid w:val="F73F225B"/>
    <w:rsid w:val="F7B63067"/>
    <w:rsid w:val="F7EF4D91"/>
    <w:rsid w:val="FABE4737"/>
    <w:rsid w:val="FBDB21CE"/>
    <w:rsid w:val="FBDF91EB"/>
    <w:rsid w:val="FBFF7EF4"/>
    <w:rsid w:val="FD375179"/>
    <w:rsid w:val="FD6C9E97"/>
    <w:rsid w:val="FD6EB3EE"/>
    <w:rsid w:val="FDBDD900"/>
    <w:rsid w:val="FDF59568"/>
    <w:rsid w:val="FEA64923"/>
    <w:rsid w:val="FED769C8"/>
    <w:rsid w:val="FEFD0A75"/>
    <w:rsid w:val="FF3362C6"/>
    <w:rsid w:val="FF6F6FFE"/>
    <w:rsid w:val="FF7BF13D"/>
    <w:rsid w:val="FF943FE1"/>
    <w:rsid w:val="FFBFCE21"/>
    <w:rsid w:val="FFEF7CE9"/>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49</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2026-02-06T16:22:00Z</dcterms:created>
  <dc:creator>Arthur (Xiao) Dong</dc:creator>
  <cp:lastModifiedBy>Arthur (Xiao）Dong</cp:lastModifiedBy>
  <dcterms:modified xsi:type="dcterms:W3CDTF">2026-03-18T23:48:27Z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