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民诉第五讲课堂笔记（考点15-18）</w:t>
      </w:r>
    </w:p>
    <w:p w14:paraId="4904F4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【考点15：证明责任及其分配】</w:t>
      </w:r>
    </w:p>
    <w:p w14:paraId="2C1F8D9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w:t>
      </w:r>
      <w:r>
        <w:rPr>
          <w:rFonts w:hint="eastAsia" w:ascii="Times New Roman Regular" w:hAnsi="Times New Roman Regular" w:cs="Times New Roman Regular"/>
          <w:sz w:val="22"/>
          <w:szCs w:val="22"/>
          <w:u w:val="none"/>
          <w:lang w:val="en-US" w:eastAsia="zh-CN"/>
        </w:rPr>
        <w:t>证明责任基本原理</w:t>
      </w:r>
    </w:p>
    <w:p w14:paraId="024A13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1．要件事实真伪不明是适用证明责任的前提；</w:t>
      </w:r>
    </w:p>
    <w:p w14:paraId="52DFDC7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2．证明责任是一种拟制或假定；</w:t>
      </w:r>
    </w:p>
    <w:p w14:paraId="48F4E8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3．证明责任的承担主体是一方当事人；</w:t>
      </w:r>
    </w:p>
    <w:p w14:paraId="6F0897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4．证明责任由法律、司法解释等预先确定；</w:t>
      </w:r>
    </w:p>
    <w:p w14:paraId="68EDE09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5．证明责任分配不会在诉讼过程中移转。</w:t>
      </w:r>
    </w:p>
    <w:p w14:paraId="3D74240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二、证明责任分配的一般规则</w:t>
      </w:r>
    </w:p>
    <w:p w14:paraId="18C6A6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（一）证明责任分配一般原理</w:t>
      </w:r>
    </w:p>
    <w:p w14:paraId="11E050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1．主张法律关系存在的当事人，应对产生该法律关系的基本事实承担举证证明责任；</w:t>
      </w:r>
    </w:p>
    <w:p w14:paraId="0C19DC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2．主张法律关系变更、消灭或者权利受到妨害的当事人，应当对该法律关系变更、消灭或者权利受到妨害的基本事实承担举证证明责任。</w:t>
      </w:r>
    </w:p>
    <w:p w14:paraId="59A665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（二）侵权纠纷案件证明责任分配</w:t>
      </w:r>
    </w:p>
    <w:p w14:paraId="496372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根据证明责任分配的一般原理，主张侵权行为成立和存在免责事由均属于积极事实，相关主张者应承担证明责任。具体而言，受害方应当就存在侵权行为、侵权造成的损害后果、行为和结果之间存在因果关系以及加害方有过错（无过错原则除外）等要件事实承担证明责任；而加害方则应当就存在免责事由承担证明责任。</w:t>
      </w:r>
    </w:p>
    <w:p w14:paraId="6B8BC2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三</w:t>
      </w:r>
      <w:r>
        <w:rPr>
          <w:rFonts w:hint="default" w:ascii="Times New Roman Regular" w:hAnsi="Times New Roman Regular" w:cs="Times New Roman Regular"/>
          <w:sz w:val="22"/>
          <w:szCs w:val="22"/>
          <w:u w:val="none"/>
          <w:lang w:val="en-US" w:eastAsia="zh-CN"/>
        </w:rPr>
        <w:t>）与《民法典合同编通则解释》有关的证明责任分配</w:t>
      </w:r>
    </w:p>
    <w:p w14:paraId="6D89BB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1．对于交易习惯，由提出主张的当事人一方承担举证责任。</w:t>
      </w:r>
    </w:p>
    <w:p w14:paraId="321728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2．提供格式条款的一方对其已经尽到提示义务或者说明义务承担举证责任。</w:t>
      </w:r>
    </w:p>
    <w:p w14:paraId="18B8F1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3．违约方主张约定的违约金过分高于违约造成的损失，请求予以适当减少，应当承担举证责任。</w:t>
      </w:r>
    </w:p>
    <w:p w14:paraId="7B468F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三、证明责任的特殊分配规则</w:t>
      </w:r>
    </w:p>
    <w:p w14:paraId="608E6F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（一）过错推定：《民法典》第1222条、第1248条、第1253条、第1255-1258条</w:t>
      </w:r>
    </w:p>
    <w:p w14:paraId="50C8BF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（二）因果关系推定：环境侵权</w:t>
      </w:r>
    </w:p>
    <w:p w14:paraId="65C569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p>
    <w:p w14:paraId="6ADF54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【考点16:证明程序】</w:t>
      </w:r>
    </w:p>
    <w:p w14:paraId="7E33EA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一、举证时限</w:t>
      </w:r>
    </w:p>
    <w:p w14:paraId="7B6A40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（一）确定方式</w:t>
      </w:r>
    </w:p>
    <w:p w14:paraId="4F8E38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1．法院在审理前的准备阶段确定举证时限；</w:t>
      </w:r>
    </w:p>
    <w:p w14:paraId="21C365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2．当事人协商后经法院许可。</w:t>
      </w:r>
    </w:p>
    <w:p w14:paraId="158079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法院确定举证时限，第一审普通程序≥15日；</w:t>
      </w:r>
    </w:p>
    <w:p w14:paraId="1BBD05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当事人提供新的证据的第二审案件≥10日。（《民事证据规定》第51条）</w:t>
      </w:r>
    </w:p>
    <w:p w14:paraId="38F28A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（二）举证时限的延长</w:t>
      </w:r>
    </w:p>
    <w:p w14:paraId="502510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1．适用情形</w:t>
      </w:r>
    </w:p>
    <w:p w14:paraId="72D386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当事人在举证期限内提供证据确有困难（存在客观障碍）法院应当根据当事人的举证能力、不能在举证期限内提供证据的原因等因素综合判断。必要时，可以听取对方当事人的意见。（《民事证据规定》第52条）</w:t>
      </w:r>
    </w:p>
    <w:p w14:paraId="4B92C0B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2．申请时间和方式</w:t>
      </w:r>
    </w:p>
    <w:p w14:paraId="1B545B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申请延长举证期限的，应当在举证期限届满前向法院提出书面申请。申请理由成立的，法院应当准许，适当延长举证期限，并通知其他当事人。延长的举证期限适用于其他当事人。申请理由不成立的，法院不予准许，并通知申请人。（《民事证据规定》第54条）</w:t>
      </w:r>
    </w:p>
    <w:p w14:paraId="744D6B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（三）逾期举证的法律后果</w:t>
      </w:r>
    </w:p>
    <w:p w14:paraId="6722D87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客观原因或对方未异议</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视为未逾期</w:t>
      </w:r>
    </w:p>
    <w:p w14:paraId="2BFCA2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主观原因</w:t>
      </w:r>
      <w:r>
        <w:rPr>
          <w:rFonts w:hint="default" w:ascii="Times New Roman Regular" w:hAnsi="Times New Roman Regular" w:cs="Times New Roman Regular"/>
          <w:sz w:val="22"/>
          <w:szCs w:val="22"/>
          <w:u w:val="none"/>
          <w:lang w:val="en-US" w:eastAsia="zh-CN"/>
        </w:rPr>
        <w:tab/>
      </w:r>
    </w:p>
    <w:p w14:paraId="3000C6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故意或重大过失</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与案件基本事实有关</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采纳后训诫、罚款</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与案件基本事实无关</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不予采纳</w:t>
      </w:r>
    </w:p>
    <w:p w14:paraId="3B1E87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非故意或重大过失</w:t>
      </w:r>
      <w:r>
        <w:rPr>
          <w:rFonts w:hint="eastAsia" w:ascii="Times New Roman Regular" w:hAnsi="Times New Roman Regular" w:cs="Times New Roman Regular"/>
          <w:sz w:val="22"/>
          <w:szCs w:val="22"/>
          <w:u w:val="none"/>
          <w:lang w:val="en-US" w:eastAsia="zh-CN"/>
        </w:rPr>
        <w:t>的，</w:t>
      </w:r>
      <w:r>
        <w:rPr>
          <w:rFonts w:hint="default" w:ascii="Times New Roman Regular" w:hAnsi="Times New Roman Regular" w:cs="Times New Roman Regular"/>
          <w:sz w:val="22"/>
          <w:szCs w:val="22"/>
          <w:u w:val="none"/>
          <w:lang w:val="en-US" w:eastAsia="zh-CN"/>
        </w:rPr>
        <w:t>采纳后训诫</w:t>
      </w:r>
    </w:p>
    <w:p w14:paraId="48C67B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、法院调查收集证据</w:t>
      </w:r>
    </w:p>
    <w:p w14:paraId="6E6433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（一）依职权调查收集证据</w:t>
      </w:r>
    </w:p>
    <w:p w14:paraId="494B243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涉及可能损害国家利益、社会公共利益的；2．涉及身份关系的；3．涉及民事公益诉讼的；4．当事人有恶意串通损害他人合法权益可能的；5．涉及依职权追加当事人、中止诉讼、终结诉讼、回避等程序性事项的。</w:t>
      </w:r>
    </w:p>
    <w:p w14:paraId="78C66E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（二）依申请调查收集证据</w:t>
      </w:r>
    </w:p>
    <w:p w14:paraId="50E4ED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1．适用情形（《民诉解释》第94条）</w:t>
      </w:r>
    </w:p>
    <w:p w14:paraId="048D16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（1）证据由国家有关部门保存，当事人及其诉讼代理人无权查阅调取的；</w:t>
      </w:r>
    </w:p>
    <w:p w14:paraId="5D300A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（2）涉及国家秘密、商业秘密或者个人隐私的；</w:t>
      </w:r>
    </w:p>
    <w:p w14:paraId="72ACD0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（3）当事人及其诉讼代理人因客观原因不能自行收集的其他证据。</w:t>
      </w:r>
    </w:p>
    <w:p w14:paraId="6DF1EF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2．申请主体：当事人本人或者代理人</w:t>
      </w:r>
    </w:p>
    <w:p w14:paraId="2ADD10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3．申请期限：举证期限届满前</w:t>
      </w:r>
    </w:p>
    <w:p w14:paraId="172AA0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4．申请形式：提交申请书</w:t>
      </w:r>
    </w:p>
    <w:p w14:paraId="649D6B8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5．不予准许情形：当事人申请调查收集的证据，与待证事实无关联、对证明待证事实无意义或者其他无调查收集必要，法院不予准许。</w:t>
      </w:r>
    </w:p>
    <w:p w14:paraId="70783D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6．不予准许处理程序：应当向当事人或其诉讼代理人送达通知书</w:t>
      </w:r>
    </w:p>
    <w:p w14:paraId="4E5B5F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四、质证</w:t>
      </w:r>
    </w:p>
    <w:p w14:paraId="4DCCFA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1．公开质证原则</w:t>
      </w:r>
    </w:p>
    <w:p w14:paraId="6F36EB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证据应当在法庭上出示，由当事人互相质证。未经当事人质证的证据，不得作为认定案件事实的根据。</w:t>
      </w:r>
    </w:p>
    <w:p w14:paraId="488E0B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2．例外规定</w:t>
      </w:r>
    </w:p>
    <w:p w14:paraId="6A366F9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（1）当事人在审理前的准备阶段或者法院调查、询问过程中发表过质证意见的证据，视为质证过的证据。</w:t>
      </w:r>
    </w:p>
    <w:p w14:paraId="6349C4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（2）涉及国家秘密、商业秘密、个人隐私或者法律规定应当保密的证据，不得公开质证。</w:t>
      </w:r>
    </w:p>
    <w:p w14:paraId="773D304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5E7B8E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【考点17:法院调解】</w:t>
      </w:r>
    </w:p>
    <w:p w14:paraId="7BD3FC5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一、法院调解程序</w:t>
      </w:r>
    </w:p>
    <w:p w14:paraId="38585A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（一）调解的启动</w:t>
      </w:r>
    </w:p>
    <w:p w14:paraId="64D927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1．征得当事人双方同意，法院在立案之前、一审、二审和再审的各个阶段均可以进行调解。</w:t>
      </w:r>
    </w:p>
    <w:p w14:paraId="60A793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2．不适用调解的情形</w:t>
      </w:r>
    </w:p>
    <w:p w14:paraId="16756DA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特别程序、督促程序、公示催告程序、破产还债程序案件、婚姻等身份关系确认案件以及执行程序不能调解。（《民诉解释》第143条）</w:t>
      </w:r>
    </w:p>
    <w:p w14:paraId="2CEADE8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（二）调解的进行</w:t>
      </w:r>
    </w:p>
    <w:p w14:paraId="024C52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调解协议可以超出原告诉讼请求。</w:t>
      </w:r>
    </w:p>
    <w:p w14:paraId="6F711CF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调解过程不公开，但当事人同意公开的除外。</w:t>
      </w:r>
    </w:p>
    <w:p w14:paraId="1B28D4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调解协议内容不公开，但为保护国家利益、社会公共利益、他人合法权益，法院认为确有必要公开的除外。</w:t>
      </w:r>
    </w:p>
    <w:p w14:paraId="6D6B71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二、调解书及调解的效力</w:t>
      </w:r>
    </w:p>
    <w:p w14:paraId="7410E0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（一）调解书的制作</w:t>
      </w:r>
    </w:p>
    <w:p w14:paraId="1F6F4F0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1．调解达成协议，法院原则上应当制作调解书。</w:t>
      </w:r>
    </w:p>
    <w:p w14:paraId="386233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生效时间：以最后收到调解书的当事人签收的日期为调解书生效时间。</w:t>
      </w:r>
    </w:p>
    <w:p w14:paraId="55F5AC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2．不需要制作调解书的情形（《民事诉讼法》第101条）</w:t>
      </w:r>
    </w:p>
    <w:p w14:paraId="5AA92A3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（1）调解和好的离婚案件；</w:t>
      </w:r>
    </w:p>
    <w:p w14:paraId="14A2ED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（2）调解维持收养关系的案件；</w:t>
      </w:r>
    </w:p>
    <w:p w14:paraId="73865E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（3）能够即时履行的案件；</w:t>
      </w:r>
    </w:p>
    <w:p w14:paraId="7121E9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（4）其他不需要制作调解书的案件。</w:t>
      </w:r>
    </w:p>
    <w:p w14:paraId="2C3F57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生效时间：双方当事人、审判人员、书记员在调解协议上签名或盖章后，调解即具有法律效力。</w:t>
      </w:r>
    </w:p>
    <w:p w14:paraId="2048365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3．当事人调解达成协议后，请求法院按照和解协议或者调解协议的内容制作判决书的，法院不予准许。但无民事行为能力人的离婚案件和涉外民事诉讼除外。</w:t>
      </w:r>
    </w:p>
    <w:p w14:paraId="4EC961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（二）调解书签收的特殊规定</w:t>
      </w:r>
    </w:p>
    <w:p w14:paraId="136742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1．对调解书的内容既不享有权利又不承担义务的当事人不签收调解书的，不影响调解书的效力。（《关于人民法院民事调解工作若干问题的规定》第12条）</w:t>
      </w:r>
    </w:p>
    <w:p w14:paraId="73145B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2．法院调解民事案件，需由无独立请求权第三人承担责任的，应当经其同意，该第三人在调解书送达前反悔的，法院应当及时裁判。</w:t>
      </w:r>
    </w:p>
    <w:p w14:paraId="2048AC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3．担保人拒不签收调解书不影响调解书生效，担保的效力在符合民法典规定的条件时生效。（《关于人民法院民事调解工作若干问题的规定》第9条）</w:t>
      </w:r>
    </w:p>
    <w:p w14:paraId="6925CE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（三）调解的效力</w:t>
      </w:r>
    </w:p>
    <w:p w14:paraId="39191B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1．诉讼结束后，当事人不得以同一事实和理由再行起诉；</w:t>
      </w:r>
    </w:p>
    <w:p w14:paraId="2D0570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2．调解协议或调解书发生效力后，当事人不得上诉；</w:t>
      </w:r>
    </w:p>
    <w:p w14:paraId="44F5CD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3．当事人在诉讼中争议的法律关系中的争议归于消灭，当事人之间实体上的权利义务关系依调解协议的内容予以确定；</w:t>
      </w:r>
    </w:p>
    <w:p w14:paraId="5B407E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4．具有给付内容的调解书，具有强制执行力。</w:t>
      </w:r>
    </w:p>
    <w:p w14:paraId="3F0CE3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3E30C1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【考点18：送达方式】</w:t>
      </w:r>
    </w:p>
    <w:p w14:paraId="2E9B73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一、直接送达</w:t>
      </w:r>
    </w:p>
    <w:p w14:paraId="26EF8D4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二、留置送达</w:t>
      </w:r>
    </w:p>
    <w:p w14:paraId="630666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适用情形：受送达人或者有资格接受送达的人拒绝接收诉讼文书；定期宣判时当事人拒绝签收判决书、裁定书。</w:t>
      </w:r>
    </w:p>
    <w:p w14:paraId="1ABAD77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送达程序：（1）邀请有关基层组织或者受送达人所在单位的代表到场，说明情况，在送达回证上记明拒收事由和日期，由送达人、见证人签名或者盖章，把诉讼文书留在受送达人的住所；（2）把诉讼文书留在受送达人的住所，并采用拍照、录像等方式记录送达过程。</w:t>
      </w:r>
    </w:p>
    <w:p w14:paraId="0818696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【注意】</w:t>
      </w:r>
      <w:r>
        <w:rPr>
          <w:rFonts w:hint="default" w:ascii="Times New Roman Regular" w:hAnsi="Times New Roman Regular" w:cs="Times New Roman Regular"/>
          <w:sz w:val="22"/>
          <w:szCs w:val="22"/>
          <w:u w:val="none"/>
          <w:lang w:val="en-US" w:eastAsia="zh-CN"/>
        </w:rPr>
        <w:t>调解书不适用留置送达，但并非只能直接送达当事人本人；支付令可以留置送达。</w:t>
      </w:r>
    </w:p>
    <w:p w14:paraId="4E9850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三、电子送达</w:t>
      </w:r>
    </w:p>
    <w:p w14:paraId="342E64C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适用条件：受送达人同意（应在送达地址确认书中确认）。</w:t>
      </w:r>
    </w:p>
    <w:p w14:paraId="7CBC738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四、委托送达</w:t>
      </w:r>
    </w:p>
    <w:p w14:paraId="45C340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适用条件：直接送达有困难。</w:t>
      </w:r>
    </w:p>
    <w:p w14:paraId="54D2F5C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委托对象：只能是其他法院。</w:t>
      </w:r>
    </w:p>
    <w:p w14:paraId="3E8409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时限要求：应当自收到委托函及相关诉讼文书之日起10日内代为送达。</w:t>
      </w:r>
    </w:p>
    <w:p w14:paraId="670E01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五、邮寄送达</w:t>
      </w:r>
    </w:p>
    <w:p w14:paraId="7C3257E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适用情形：直接送达诉讼文书有困难。</w:t>
      </w:r>
    </w:p>
    <w:p w14:paraId="079FE7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送达日期确定：以邮件回执的收件日期为送达日期</w:t>
      </w:r>
      <w:bookmarkStart w:id="0" w:name="_GoBack"/>
      <w:bookmarkEnd w:id="0"/>
    </w:p>
    <w:p w14:paraId="261AB6B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六、转交送达</w:t>
      </w:r>
    </w:p>
    <w:p w14:paraId="65D98F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军人</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所在部队团以上政治机关</w:t>
      </w:r>
    </w:p>
    <w:p w14:paraId="4EC8268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被监禁的人</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所在监所</w:t>
      </w:r>
    </w:p>
    <w:p w14:paraId="43EC19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被采取强制性教育措施的人</w:t>
      </w:r>
      <w:r>
        <w:rPr>
          <w:rFonts w:hint="eastAsia" w:ascii="Times New Roman Regular" w:hAnsi="Times New Roman Regular" w:cs="Times New Roman Regular"/>
          <w:sz w:val="22"/>
          <w:szCs w:val="22"/>
          <w:u w:val="none"/>
          <w:lang w:val="en-US" w:eastAsia="zh-CN"/>
        </w:rPr>
        <w:t>：</w:t>
      </w:r>
      <w:r>
        <w:rPr>
          <w:rFonts w:hint="default" w:ascii="Times New Roman Regular" w:hAnsi="Times New Roman Regular" w:cs="Times New Roman Regular"/>
          <w:sz w:val="22"/>
          <w:szCs w:val="22"/>
          <w:u w:val="none"/>
          <w:lang w:val="en-US" w:eastAsia="zh-CN"/>
        </w:rPr>
        <w:t>所在强制教育机构</w:t>
      </w:r>
    </w:p>
    <w:p w14:paraId="324660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七、公告送达</w:t>
      </w:r>
    </w:p>
    <w:p w14:paraId="37FEC0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适用情形：（1）受送达人下落不明；（2）其他送达方法均无法送达。</w:t>
      </w:r>
    </w:p>
    <w:p w14:paraId="49ECDE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公告期限：（1）国内诉讼发出公告之日起经过30日；（2）涉外诉讼发出公告之日起经过60日。</w:t>
      </w:r>
    </w:p>
    <w:p w14:paraId="1B19EE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【注意】</w:t>
      </w:r>
    </w:p>
    <w:p w14:paraId="50E081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1．适用简易程序案件，不适用公告送达（互联网法院除外）；</w:t>
      </w:r>
    </w:p>
    <w:p w14:paraId="250D42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2．支付令不适用公告送达。</w:t>
      </w:r>
    </w:p>
    <w:p w14:paraId="74A618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3．若调解书签收才能生效，不适用公告送达。</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FFDE82A"/>
    <w:rsid w:val="1FFE3DC8"/>
    <w:rsid w:val="25E4E361"/>
    <w:rsid w:val="2DEF8498"/>
    <w:rsid w:val="2FF57ABD"/>
    <w:rsid w:val="31FD34EB"/>
    <w:rsid w:val="32FB9AF4"/>
    <w:rsid w:val="37BBB7CA"/>
    <w:rsid w:val="37F9300F"/>
    <w:rsid w:val="39CD9E08"/>
    <w:rsid w:val="3AA211B0"/>
    <w:rsid w:val="3DDD8785"/>
    <w:rsid w:val="3EFF2196"/>
    <w:rsid w:val="3EFFCDE3"/>
    <w:rsid w:val="3F3B7AB9"/>
    <w:rsid w:val="3F7D6D90"/>
    <w:rsid w:val="3FDF38B5"/>
    <w:rsid w:val="3FFBD59C"/>
    <w:rsid w:val="461DDECC"/>
    <w:rsid w:val="4D7AF3B1"/>
    <w:rsid w:val="4F7E5D39"/>
    <w:rsid w:val="57FB2467"/>
    <w:rsid w:val="5A6B2353"/>
    <w:rsid w:val="5BF630B3"/>
    <w:rsid w:val="5D1E5E35"/>
    <w:rsid w:val="5D2F548A"/>
    <w:rsid w:val="5D9CC53C"/>
    <w:rsid w:val="5DBFD756"/>
    <w:rsid w:val="5F67BE34"/>
    <w:rsid w:val="5FDFC522"/>
    <w:rsid w:val="61D6CCE6"/>
    <w:rsid w:val="63F79634"/>
    <w:rsid w:val="676B1FCF"/>
    <w:rsid w:val="6BBF548D"/>
    <w:rsid w:val="6BEE3C17"/>
    <w:rsid w:val="6CFC5835"/>
    <w:rsid w:val="6EBFFE06"/>
    <w:rsid w:val="6EDC6954"/>
    <w:rsid w:val="6F7EF6AA"/>
    <w:rsid w:val="6F7FD66B"/>
    <w:rsid w:val="6FB7F990"/>
    <w:rsid w:val="6FC75035"/>
    <w:rsid w:val="6FE9DFA5"/>
    <w:rsid w:val="6FF6B73E"/>
    <w:rsid w:val="6FF7B5C8"/>
    <w:rsid w:val="72B16660"/>
    <w:rsid w:val="72FEDFAF"/>
    <w:rsid w:val="74EF0DAF"/>
    <w:rsid w:val="75FD7826"/>
    <w:rsid w:val="75FFDC8C"/>
    <w:rsid w:val="76576194"/>
    <w:rsid w:val="78FF9F1C"/>
    <w:rsid w:val="79B72732"/>
    <w:rsid w:val="79F678E1"/>
    <w:rsid w:val="7A8FECFA"/>
    <w:rsid w:val="7B3FB0F3"/>
    <w:rsid w:val="7B6D3C00"/>
    <w:rsid w:val="7B77E946"/>
    <w:rsid w:val="7BFFD2F7"/>
    <w:rsid w:val="7C7DDD51"/>
    <w:rsid w:val="7C7DF4A0"/>
    <w:rsid w:val="7D473A11"/>
    <w:rsid w:val="7D7FD33D"/>
    <w:rsid w:val="7D9D698B"/>
    <w:rsid w:val="7DBDD90E"/>
    <w:rsid w:val="7DBFEFAD"/>
    <w:rsid w:val="7DF9200D"/>
    <w:rsid w:val="7E3F6002"/>
    <w:rsid w:val="7E7FF430"/>
    <w:rsid w:val="7E9F1BC6"/>
    <w:rsid w:val="7EFE5D96"/>
    <w:rsid w:val="7EFFC158"/>
    <w:rsid w:val="7F3B9F4C"/>
    <w:rsid w:val="7F3C3286"/>
    <w:rsid w:val="7F695405"/>
    <w:rsid w:val="7F6B748A"/>
    <w:rsid w:val="7FB49696"/>
    <w:rsid w:val="7FBF0F91"/>
    <w:rsid w:val="7FDFD89C"/>
    <w:rsid w:val="7FE7235C"/>
    <w:rsid w:val="7FFFE420"/>
    <w:rsid w:val="8ABEE47C"/>
    <w:rsid w:val="ADB00FA3"/>
    <w:rsid w:val="AE7B2097"/>
    <w:rsid w:val="AEAF67DC"/>
    <w:rsid w:val="AECFAD74"/>
    <w:rsid w:val="AEFFF231"/>
    <w:rsid w:val="AF7349BF"/>
    <w:rsid w:val="B1FDE468"/>
    <w:rsid w:val="B3FEA9EF"/>
    <w:rsid w:val="B7FEF551"/>
    <w:rsid w:val="BBD68691"/>
    <w:rsid w:val="BFD7C2A8"/>
    <w:rsid w:val="BFDF5E9D"/>
    <w:rsid w:val="BFFFC478"/>
    <w:rsid w:val="C2FF7057"/>
    <w:rsid w:val="C7F79EC9"/>
    <w:rsid w:val="C9FED888"/>
    <w:rsid w:val="CBDA46FA"/>
    <w:rsid w:val="CDF9AD73"/>
    <w:rsid w:val="CEAF22DB"/>
    <w:rsid w:val="CFABA3EB"/>
    <w:rsid w:val="CFBDAEF9"/>
    <w:rsid w:val="CFFF1593"/>
    <w:rsid w:val="D7F716BD"/>
    <w:rsid w:val="D7F8DDAE"/>
    <w:rsid w:val="D99D7B6E"/>
    <w:rsid w:val="DBF64670"/>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B7E0DF"/>
    <w:rsid w:val="EFCFFD3A"/>
    <w:rsid w:val="EFDF470A"/>
    <w:rsid w:val="EFDFF3E6"/>
    <w:rsid w:val="EFE712E6"/>
    <w:rsid w:val="EFF7C6A6"/>
    <w:rsid w:val="F0D7EC59"/>
    <w:rsid w:val="F1B927A4"/>
    <w:rsid w:val="F2DD3E6A"/>
    <w:rsid w:val="F3FF92B4"/>
    <w:rsid w:val="F56E2A6E"/>
    <w:rsid w:val="F5EEDA60"/>
    <w:rsid w:val="F6DFFC0C"/>
    <w:rsid w:val="F6EE96F6"/>
    <w:rsid w:val="F73F225B"/>
    <w:rsid w:val="F7B63067"/>
    <w:rsid w:val="F7EF4D91"/>
    <w:rsid w:val="FABE4737"/>
    <w:rsid w:val="FBDB21CE"/>
    <w:rsid w:val="FBDF91EB"/>
    <w:rsid w:val="FBFF7EF4"/>
    <w:rsid w:val="FD375179"/>
    <w:rsid w:val="FD6C9E97"/>
    <w:rsid w:val="FD6EB3EE"/>
    <w:rsid w:val="FDBDD900"/>
    <w:rsid w:val="FDF59568"/>
    <w:rsid w:val="FEA64923"/>
    <w:rsid w:val="FED769C8"/>
    <w:rsid w:val="FEFD0A75"/>
    <w:rsid w:val="FF3362C6"/>
    <w:rsid w:val="FF6F6FFE"/>
    <w:rsid w:val="FF7BF13D"/>
    <w:rsid w:val="FF943FE1"/>
    <w:rsid w:val="FFBFCE21"/>
    <w:rsid w:val="FFEF7CE9"/>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2026-02-06T16:22:00Z</dcterms:created>
  <dc:creator>Arthur (Xiao) Dong</dc:creator>
  <cp:lastModifiedBy>Arthur (Xiao）Dong</cp:lastModifiedBy>
  <dcterms:modified xsi:type="dcterms:W3CDTF">2026-03-18T23:48:27Z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