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32"/>
          <w:szCs w:val="32"/>
          <w:lang w:val="en-US" w:eastAsia="zh-CN"/>
        </w:rPr>
      </w:pPr>
      <w:r>
        <w:rPr>
          <w:rFonts w:hint="eastAsia"/>
          <w:b/>
          <w:bCs/>
          <w:sz w:val="32"/>
          <w:szCs w:val="32"/>
          <w:lang w:val="en-US" w:eastAsia="zh-CN"/>
        </w:rPr>
        <w:t>民诉第四讲课堂笔记（考点12-14）</w:t>
      </w:r>
    </w:p>
    <w:p w14:paraId="4904F42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bCs/>
          <w:sz w:val="22"/>
          <w:szCs w:val="22"/>
          <w:lang w:val="en-US" w:eastAsia="zh-CN"/>
        </w:rPr>
      </w:pPr>
      <w:r>
        <w:rPr>
          <w:rFonts w:hint="eastAsia" w:ascii="Times New Roman Regular" w:hAnsi="Times New Roman Regular" w:cs="Times New Roman Regular"/>
          <w:b/>
          <w:bCs/>
          <w:sz w:val="22"/>
          <w:szCs w:val="22"/>
          <w:lang w:val="en-US" w:eastAsia="zh-CN"/>
        </w:rPr>
        <w:t>【考点12:民事证据的种类】</w:t>
      </w:r>
    </w:p>
    <w:p w14:paraId="406C96C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一、书证</w:t>
      </w:r>
    </w:p>
    <w:p w14:paraId="2A8254D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w:t>
      </w:r>
      <w:r>
        <w:rPr>
          <w:rFonts w:hint="eastAsia" w:ascii="Times New Roman Regular" w:hAnsi="Times New Roman Regular" w:cs="Times New Roman Regular"/>
          <w:sz w:val="22"/>
          <w:szCs w:val="22"/>
          <w:u w:val="none"/>
          <w:lang w:val="en-US" w:eastAsia="zh-CN"/>
        </w:rPr>
        <w:t>一</w:t>
      </w:r>
      <w:r>
        <w:rPr>
          <w:rFonts w:hint="default" w:ascii="Times New Roman Regular" w:hAnsi="Times New Roman Regular" w:cs="Times New Roman Regular"/>
          <w:sz w:val="22"/>
          <w:szCs w:val="22"/>
          <w:u w:val="none"/>
          <w:lang w:val="en-US" w:eastAsia="zh-CN"/>
        </w:rPr>
        <w:t>）文书提出命令</w:t>
      </w:r>
    </w:p>
    <w:p w14:paraId="4767F21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1</w:t>
      </w:r>
      <w:r>
        <w:rPr>
          <w:rFonts w:hint="default" w:ascii="Times New Roman Regular" w:hAnsi="Times New Roman Regular" w:cs="Times New Roman Regular"/>
          <w:sz w:val="22"/>
          <w:szCs w:val="22"/>
          <w:u w:val="none"/>
          <w:lang w:val="en-US" w:eastAsia="zh-CN"/>
        </w:rPr>
        <w:t>．申请主体：承担证明责任的当事人</w:t>
      </w:r>
    </w:p>
    <w:p w14:paraId="3F993D4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2</w:t>
      </w:r>
      <w:r>
        <w:rPr>
          <w:rFonts w:hint="default" w:ascii="Times New Roman Regular" w:hAnsi="Times New Roman Regular" w:cs="Times New Roman Regular"/>
          <w:sz w:val="22"/>
          <w:szCs w:val="22"/>
          <w:u w:val="none"/>
          <w:lang w:val="en-US" w:eastAsia="zh-CN"/>
        </w:rPr>
        <w:t>．申请时间：举证时限届满前</w:t>
      </w:r>
    </w:p>
    <w:p w14:paraId="50090CA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3</w:t>
      </w:r>
      <w:r>
        <w:rPr>
          <w:rFonts w:hint="default" w:ascii="Times New Roman Regular" w:hAnsi="Times New Roman Regular" w:cs="Times New Roman Regular"/>
          <w:sz w:val="22"/>
          <w:szCs w:val="22"/>
          <w:u w:val="none"/>
          <w:lang w:val="en-US" w:eastAsia="zh-CN"/>
        </w:rPr>
        <w:t>．法律效力：（1）理由成立，法院应当责令对方当事人提交，因提交书证所产生的费用，由申请人负担；（2）对方当事人无正当理由拒不提交，法院可以认定申请人所主张的书证内容为真实；（3）控制书证的当事人存在毁灭书证等妨害证明行为，法院可以认定对方当事人主张以该书证证明的事实为真实。（《民事证据规定》第48条）</w:t>
      </w:r>
    </w:p>
    <w:p w14:paraId="3EB53C2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w:t>
      </w:r>
      <w:r>
        <w:rPr>
          <w:rFonts w:hint="eastAsia" w:ascii="Times New Roman Regular" w:hAnsi="Times New Roman Regular" w:cs="Times New Roman Regular"/>
          <w:sz w:val="22"/>
          <w:szCs w:val="22"/>
          <w:u w:val="none"/>
          <w:lang w:val="en-US" w:eastAsia="zh-CN"/>
        </w:rPr>
        <w:t>二</w:t>
      </w:r>
      <w:r>
        <w:rPr>
          <w:rFonts w:hint="default" w:ascii="Times New Roman Regular" w:hAnsi="Times New Roman Regular" w:cs="Times New Roman Regular"/>
          <w:sz w:val="22"/>
          <w:szCs w:val="22"/>
          <w:u w:val="none"/>
          <w:lang w:val="en-US" w:eastAsia="zh-CN"/>
        </w:rPr>
        <w:t>）妨害证明行为的处理</w:t>
      </w:r>
    </w:p>
    <w:p w14:paraId="2449C35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1</w:t>
      </w:r>
      <w:r>
        <w:rPr>
          <w:rFonts w:hint="default" w:ascii="Times New Roman Regular" w:hAnsi="Times New Roman Regular" w:cs="Times New Roman Regular"/>
          <w:sz w:val="22"/>
          <w:szCs w:val="22"/>
          <w:u w:val="none"/>
          <w:lang w:val="en-US" w:eastAsia="zh-CN"/>
        </w:rPr>
        <w:t>.适用情形：以妨碍对方当事人使用为目的，毁灭有关书证或者实施其他致使书证不能使用的行为</w:t>
      </w:r>
    </w:p>
    <w:p w14:paraId="2E4118A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2.适用对象：持有书证的当事人</w:t>
      </w:r>
    </w:p>
    <w:p w14:paraId="37234CA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3.处理措施：法院可以决定罚款、拘留</w:t>
      </w:r>
    </w:p>
    <w:p w14:paraId="5D9D65B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二、电子数据</w:t>
      </w:r>
    </w:p>
    <w:p w14:paraId="7DBCACF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当事人以电子数据作为证据的，应当提供原件。电子数据的制作者制作的与原件一致的副本，或者直接来源于电子数据的打印件或其他可以显示、识别的输出介质，视为电子数据的原件。（《民事证据规定》第15条）</w:t>
      </w:r>
    </w:p>
    <w:p w14:paraId="7B88013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三、视听资料</w:t>
      </w:r>
    </w:p>
    <w:p w14:paraId="2F707F9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存储于传统介质中的录音资料、录像资料应为视听资料，如录音磁带、录像带等；而存储于电子介质中的录音资料、录像资料则为电子数据，如存储于内存卡里的图片、录像等。</w:t>
      </w:r>
    </w:p>
    <w:p w14:paraId="2A28487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四、证人证言</w:t>
      </w:r>
    </w:p>
    <w:p w14:paraId="3297E9C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（一）证人资格</w:t>
      </w:r>
    </w:p>
    <w:p w14:paraId="4BA2EA2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不能正确表达意思的人，不能作证。待证事实与其年龄、智力状况或者精神健康状况相适应的无民事行为能力人和限制民事行为能力人，可以作为证人。</w:t>
      </w:r>
    </w:p>
    <w:p w14:paraId="42D8266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（二）证人证言的提出</w:t>
      </w:r>
    </w:p>
    <w:p w14:paraId="0BFC30D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1．证人出庭作证方式（《民诉解释》第117条）</w:t>
      </w:r>
    </w:p>
    <w:p w14:paraId="3317E85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（1）当事人在举证期限届满前书面申请证人出庭作证</w:t>
      </w:r>
    </w:p>
    <w:p w14:paraId="02E7C33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当事人申请证人出庭作证的事项与待证事实无关，或者没有通知证人出庭作证必要的，法院不予准许当事人的申请。</w:t>
      </w:r>
    </w:p>
    <w:p w14:paraId="158C16C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（2）法院依职权通知证人出庭作证</w:t>
      </w:r>
    </w:p>
    <w:p w14:paraId="36B7F5D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具体情形包括：涉及可能损害国家利益、社会公共利益；涉及身份关系；涉及民事公益诉讼；当事人有恶意串通损害他人合法权益可能；涉及依职权追加当事人、中止诉讼、终结诉讼、回避等程序性事项。</w:t>
      </w:r>
      <w:r>
        <w:rPr>
          <w:rFonts w:hint="eastAsia" w:ascii="Times New Roman Regular" w:hAnsi="Times New Roman Regular" w:cs="Times New Roman Regular"/>
          <w:sz w:val="22"/>
          <w:szCs w:val="22"/>
          <w:u w:val="none"/>
          <w:lang w:val="en-US" w:eastAsia="zh-CN"/>
        </w:rPr>
        <w:t>（依职权鉴定亦同）</w:t>
      </w:r>
    </w:p>
    <w:p w14:paraId="27DFE92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2．证人作证形式</w:t>
      </w:r>
    </w:p>
    <w:p w14:paraId="4B0FECB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双方当事人同意证人以其他方式作证并经法院准许，证人可以不出庭作证。符合下列情形的，法院应当准许：（1）因健康原因不能出庭；（2）因路途遥远，交通不便不能出庭；（3）因自然灾害等不可抗力不能出庭；（4）其他有正当理由不能出庭。</w:t>
      </w:r>
    </w:p>
    <w:p w14:paraId="7F1A014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3．证人出庭作证的费用（《民诉解释》第118条、《民事证据规定》第75条）</w:t>
      </w:r>
    </w:p>
    <w:p w14:paraId="7E7DBEC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w:t>
      </w:r>
      <w:r>
        <w:rPr>
          <w:rFonts w:hint="eastAsia" w:ascii="Times New Roman Regular" w:hAnsi="Times New Roman Regular" w:cs="Times New Roman Regular"/>
          <w:sz w:val="22"/>
          <w:szCs w:val="22"/>
          <w:u w:val="none"/>
          <w:lang w:val="en-US" w:eastAsia="zh-CN"/>
        </w:rPr>
        <w:t>1</w:t>
      </w:r>
      <w:r>
        <w:rPr>
          <w:rFonts w:hint="default" w:ascii="Times New Roman Regular" w:hAnsi="Times New Roman Regular" w:cs="Times New Roman Regular"/>
          <w:sz w:val="22"/>
          <w:szCs w:val="22"/>
          <w:u w:val="none"/>
          <w:lang w:val="en-US" w:eastAsia="zh-CN"/>
        </w:rPr>
        <w:t>）负担主体：败诉方负担</w:t>
      </w:r>
    </w:p>
    <w:p w14:paraId="15959EA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w:t>
      </w:r>
      <w:r>
        <w:rPr>
          <w:rFonts w:hint="eastAsia" w:ascii="Times New Roman Regular" w:hAnsi="Times New Roman Regular" w:cs="Times New Roman Regular"/>
          <w:sz w:val="22"/>
          <w:szCs w:val="22"/>
          <w:u w:val="none"/>
          <w:lang w:val="en-US" w:eastAsia="zh-CN"/>
        </w:rPr>
        <w:t>2</w:t>
      </w:r>
      <w:r>
        <w:rPr>
          <w:rFonts w:hint="default" w:ascii="Times New Roman Regular" w:hAnsi="Times New Roman Regular" w:cs="Times New Roman Regular"/>
          <w:sz w:val="22"/>
          <w:szCs w:val="22"/>
          <w:u w:val="none"/>
          <w:lang w:val="en-US" w:eastAsia="zh-CN"/>
        </w:rPr>
        <w:t>）垫付主体：当事人申请证人作证，由申请人垫付；法院依职权通知证人作证，由法院垫付</w:t>
      </w:r>
    </w:p>
    <w:p w14:paraId="06EF4D7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（三）证人证言的证明力规则</w:t>
      </w:r>
    </w:p>
    <w:p w14:paraId="54612FD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无正当理由未出庭的证人以书面等方式提供的证言，不得作为认定案件事实的根据。</w:t>
      </w:r>
    </w:p>
    <w:p w14:paraId="3BAC421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五、当事人陈述</w:t>
      </w:r>
    </w:p>
    <w:p w14:paraId="1B59625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（一）基本要求</w:t>
      </w:r>
    </w:p>
    <w:p w14:paraId="64BEC28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当事人的陈述与此前陈述不一致的，法院应当责令其说明理由，并结合当事人的诉讼能力、证据和案件具体情况进行审查认定。当事人故意作虚假陈述妨碍法院审理的，法院应当根据情节予以罚款、拘留，构成犯罪的，依法追究刑事责任。</w:t>
      </w:r>
    </w:p>
    <w:p w14:paraId="7A837F0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（二）法律效力</w:t>
      </w:r>
    </w:p>
    <w:p w14:paraId="50347B7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当事人的陈述不能单独作为认定案件事实的根据。</w:t>
      </w:r>
    </w:p>
    <w:p w14:paraId="029A537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（三）专家辅助人</w:t>
      </w:r>
    </w:p>
    <w:p w14:paraId="1B7D3B2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1.</w:t>
      </w:r>
      <w:r>
        <w:rPr>
          <w:rFonts w:hint="default" w:ascii="Times New Roman Regular" w:hAnsi="Times New Roman Regular" w:cs="Times New Roman Regular"/>
          <w:sz w:val="22"/>
          <w:szCs w:val="22"/>
          <w:u w:val="none"/>
          <w:lang w:val="en-US" w:eastAsia="zh-CN"/>
        </w:rPr>
        <w:t>证据类型：视为当事人陈述</w:t>
      </w:r>
    </w:p>
    <w:p w14:paraId="0ECACD5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2.</w:t>
      </w:r>
      <w:r>
        <w:rPr>
          <w:rFonts w:hint="default" w:ascii="Times New Roman Regular" w:hAnsi="Times New Roman Regular" w:cs="Times New Roman Regular"/>
          <w:sz w:val="22"/>
          <w:szCs w:val="22"/>
          <w:u w:val="none"/>
          <w:lang w:val="en-US" w:eastAsia="zh-CN"/>
        </w:rPr>
        <w:t>参诉方式：当事人书面提出申请，法院不能职权追加</w:t>
      </w:r>
    </w:p>
    <w:p w14:paraId="099C944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3.</w:t>
      </w:r>
      <w:r>
        <w:rPr>
          <w:rFonts w:hint="default" w:ascii="Times New Roman Regular" w:hAnsi="Times New Roman Regular" w:cs="Times New Roman Regular"/>
          <w:sz w:val="22"/>
          <w:szCs w:val="22"/>
          <w:u w:val="none"/>
          <w:lang w:val="en-US" w:eastAsia="zh-CN"/>
        </w:rPr>
        <w:t>费用负担：申请方承担</w:t>
      </w:r>
    </w:p>
    <w:p w14:paraId="2E2B3FC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4.</w:t>
      </w:r>
      <w:r>
        <w:rPr>
          <w:rFonts w:hint="default" w:ascii="Times New Roman Regular" w:hAnsi="Times New Roman Regular" w:cs="Times New Roman Regular"/>
          <w:sz w:val="22"/>
          <w:szCs w:val="22"/>
          <w:u w:val="none"/>
          <w:lang w:val="en-US" w:eastAsia="zh-CN"/>
        </w:rPr>
        <w:t>回避：专家辅助人一般不适用回避制度。</w:t>
      </w:r>
    </w:p>
    <w:p w14:paraId="775BB9A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六、鉴定意见</w:t>
      </w:r>
    </w:p>
    <w:p w14:paraId="7E55196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（一）鉴定的启动</w:t>
      </w:r>
    </w:p>
    <w:p w14:paraId="7B6FD4D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1</w:t>
      </w:r>
      <w:r>
        <w:rPr>
          <w:rFonts w:hint="default" w:ascii="Times New Roman Regular" w:hAnsi="Times New Roman Regular" w:cs="Times New Roman Regular"/>
          <w:sz w:val="22"/>
          <w:szCs w:val="22"/>
          <w:u w:val="none"/>
          <w:lang w:val="en-US" w:eastAsia="zh-CN"/>
        </w:rPr>
        <w:t>．当事人申请鉴定</w:t>
      </w:r>
    </w:p>
    <w:p w14:paraId="7223210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应当在法院指定期间内提出，并预交鉴定费用。逾期不提出申请或者不预交鉴定费用，视为放弃申请。（《民事证据规定》第31条）</w:t>
      </w:r>
    </w:p>
    <w:p w14:paraId="73E98B0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2</w:t>
      </w:r>
      <w:r>
        <w:rPr>
          <w:rFonts w:hint="default" w:ascii="Times New Roman Regular" w:hAnsi="Times New Roman Regular" w:cs="Times New Roman Regular"/>
          <w:sz w:val="22"/>
          <w:szCs w:val="22"/>
          <w:u w:val="none"/>
          <w:lang w:val="en-US" w:eastAsia="zh-CN"/>
        </w:rPr>
        <w:t>．法院依职权委托鉴定</w:t>
      </w:r>
      <w:r>
        <w:rPr>
          <w:rFonts w:hint="eastAsia" w:ascii="Times New Roman Regular" w:hAnsi="Times New Roman Regular" w:cs="Times New Roman Regular"/>
          <w:sz w:val="22"/>
          <w:szCs w:val="22"/>
          <w:u w:val="none"/>
          <w:lang w:val="en-US" w:eastAsia="zh-CN"/>
        </w:rPr>
        <w:t>（同依职权通知证人出庭作证）</w:t>
      </w:r>
    </w:p>
    <w:p w14:paraId="4EE3877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（二）鉴材</w:t>
      </w:r>
    </w:p>
    <w:p w14:paraId="0EC1897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法院应当组织当事人对鉴定材料进行质证。未经质证的材料，不得作为鉴定的根据。</w:t>
      </w:r>
    </w:p>
    <w:p w14:paraId="058E552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w:t>
      </w:r>
      <w:r>
        <w:rPr>
          <w:rFonts w:hint="eastAsia" w:ascii="Times New Roman Regular" w:hAnsi="Times New Roman Regular" w:cs="Times New Roman Regular"/>
          <w:sz w:val="22"/>
          <w:szCs w:val="22"/>
          <w:u w:val="none"/>
          <w:lang w:val="en-US" w:eastAsia="zh-CN"/>
        </w:rPr>
        <w:t>三</w:t>
      </w:r>
      <w:r>
        <w:rPr>
          <w:rFonts w:hint="default" w:ascii="Times New Roman Regular" w:hAnsi="Times New Roman Regular" w:cs="Times New Roman Regular"/>
          <w:sz w:val="22"/>
          <w:szCs w:val="22"/>
          <w:u w:val="none"/>
          <w:lang w:val="en-US" w:eastAsia="zh-CN"/>
        </w:rPr>
        <w:t>）当事人鉴定异议的处理</w:t>
      </w:r>
    </w:p>
    <w:p w14:paraId="1CA596A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当事人对鉴定书的内容有异议的，应当在法院指定期间内以书面方式提出。对于当事人的异议，法院应当要求鉴定人作出解释、说明或者补充。法院认为有必要的，可以要求鉴定人对当事人未提出异议的内容进行解释、说明或者补充。</w:t>
      </w:r>
    </w:p>
    <w:p w14:paraId="550F39A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当事人在收到鉴定人的书面答复后仍有异议的，法院应当通知有异议的当事人预交鉴定人出庭费用，并通知鉴定人出庭。不预交鉴定人出庭费用的，视为放弃异议。</w:t>
      </w:r>
    </w:p>
    <w:p w14:paraId="06B9F75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w:t>
      </w:r>
      <w:r>
        <w:rPr>
          <w:rFonts w:hint="eastAsia" w:ascii="Times New Roman Regular" w:hAnsi="Times New Roman Regular" w:cs="Times New Roman Regular"/>
          <w:sz w:val="22"/>
          <w:szCs w:val="22"/>
          <w:u w:val="none"/>
          <w:lang w:val="en-US" w:eastAsia="zh-CN"/>
        </w:rPr>
        <w:t>四</w:t>
      </w:r>
      <w:r>
        <w:rPr>
          <w:rFonts w:hint="default" w:ascii="Times New Roman Regular" w:hAnsi="Times New Roman Regular" w:cs="Times New Roman Regular"/>
          <w:sz w:val="22"/>
          <w:szCs w:val="22"/>
          <w:u w:val="none"/>
          <w:lang w:val="en-US" w:eastAsia="zh-CN"/>
        </w:rPr>
        <w:t>）鉴定人出庭</w:t>
      </w:r>
    </w:p>
    <w:p w14:paraId="6744FC9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鉴定人拒不出庭作证，鉴定意见不得作为认定案件事实的根据。</w:t>
      </w:r>
      <w:bookmarkStart w:id="0" w:name="_GoBack"/>
      <w:bookmarkEnd w:id="0"/>
    </w:p>
    <w:p w14:paraId="1036056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七、勘验笔录</w:t>
      </w:r>
    </w:p>
    <w:p w14:paraId="24DBD03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勘验主体：法院工作人员</w:t>
      </w:r>
    </w:p>
    <w:p w14:paraId="5122501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p>
    <w:p w14:paraId="3BC5CE4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2"/>
          <w:szCs w:val="22"/>
          <w:u w:val="none"/>
          <w:lang w:val="en-US" w:eastAsia="zh-CN"/>
        </w:rPr>
      </w:pPr>
      <w:r>
        <w:rPr>
          <w:rFonts w:hint="eastAsia" w:ascii="Times New Roman Regular" w:hAnsi="Times New Roman Regular" w:cs="Times New Roman Regular"/>
          <w:b/>
          <w:bCs/>
          <w:sz w:val="22"/>
          <w:szCs w:val="22"/>
          <w:u w:val="none"/>
          <w:lang w:val="en-US" w:eastAsia="zh-CN"/>
        </w:rPr>
        <w:t>【考点13：民事证据的分类】</w:t>
      </w:r>
    </w:p>
    <w:p w14:paraId="43C1E6A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一、本证与反证</w:t>
      </w:r>
    </w:p>
    <w:p w14:paraId="4667A7F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本证，是指对待证事实负有证明责任的一方当事人提出的、用以证明其主张事实存在的证据。</w:t>
      </w:r>
    </w:p>
    <w:p w14:paraId="5F71E4F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反证，是指不负证明责任的当事人提出的证明对方主张的事实不真实的证据。</w:t>
      </w:r>
    </w:p>
    <w:p w14:paraId="118011B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二、直接证据与间接证据</w:t>
      </w:r>
    </w:p>
    <w:p w14:paraId="2F3C32F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直接证据，是指能够单独地、直接地证明待证事实的证据。例如，借款合同可以直接证明合同双方之间存在借贷法律关系。</w:t>
      </w:r>
    </w:p>
    <w:p w14:paraId="318A8BD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间接证据，是指不能单独、直接证明案件的待证事实，必须与其他证据结合起来才能证明该待证事实的证据。</w:t>
      </w:r>
    </w:p>
    <w:p w14:paraId="61C82CE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三、原始证据与传来证据</w:t>
      </w:r>
    </w:p>
    <w:p w14:paraId="6DCC8AA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原始证据，是指直接来源于案件事实的证据，即所谓的第一手资料。如合同原件、遗嘱原件。</w:t>
      </w:r>
    </w:p>
    <w:p w14:paraId="3CBF122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传来证据，是指从原始证据中派生出来的证据，又称派生证据。如合同复印件、文件的抄本。</w:t>
      </w:r>
    </w:p>
    <w:p w14:paraId="30A6855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p>
    <w:p w14:paraId="5E23674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2"/>
          <w:szCs w:val="22"/>
          <w:u w:val="none"/>
          <w:lang w:val="en-US" w:eastAsia="zh-CN"/>
        </w:rPr>
      </w:pPr>
      <w:r>
        <w:rPr>
          <w:rFonts w:hint="eastAsia" w:ascii="Times New Roman Regular" w:hAnsi="Times New Roman Regular" w:cs="Times New Roman Regular"/>
          <w:b/>
          <w:bCs/>
          <w:sz w:val="22"/>
          <w:szCs w:val="22"/>
          <w:u w:val="none"/>
          <w:lang w:val="en-US" w:eastAsia="zh-CN"/>
        </w:rPr>
        <w:t>【考点14:证明对象】</w:t>
      </w:r>
    </w:p>
    <w:p w14:paraId="0003A09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一</w:t>
      </w:r>
      <w:r>
        <w:rPr>
          <w:rFonts w:hint="default" w:ascii="Times New Roman Regular" w:hAnsi="Times New Roman Regular" w:cs="Times New Roman Regular"/>
          <w:sz w:val="22"/>
          <w:szCs w:val="22"/>
          <w:u w:val="none"/>
          <w:lang w:val="en-US" w:eastAsia="zh-CN"/>
        </w:rPr>
        <w:t>、免于证明的事实</w:t>
      </w:r>
    </w:p>
    <w:p w14:paraId="70FF12F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1．自然规律以及定理、定律；</w:t>
      </w:r>
    </w:p>
    <w:p w14:paraId="4EBA319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2．众所周知的事实；</w:t>
      </w:r>
    </w:p>
    <w:p w14:paraId="4EBFF4E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3．根据法律规定推定的事实；</w:t>
      </w:r>
    </w:p>
    <w:p w14:paraId="55B7979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4．根据已知的事实和日常生活经验法则推定出的另一事实；</w:t>
      </w:r>
    </w:p>
    <w:p w14:paraId="4DCB270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5．已为仲裁机构生效裁决所确认的事实；</w:t>
      </w:r>
    </w:p>
    <w:p w14:paraId="3313B5D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6．已为人民法院发生法律效力的裁判所确认的基本事实；</w:t>
      </w:r>
    </w:p>
    <w:p w14:paraId="127C2AE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7．已为有效公证文书所证明的事实。</w:t>
      </w:r>
    </w:p>
    <w:p w14:paraId="7B7F385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eastAsia" w:ascii="Times New Roman Regular" w:hAnsi="Times New Roman Regular" w:cs="Times New Roman Regular"/>
          <w:sz w:val="22"/>
          <w:szCs w:val="22"/>
          <w:u w:val="none"/>
          <w:lang w:val="en-US" w:eastAsia="zh-CN"/>
        </w:rPr>
        <w:t>二</w:t>
      </w:r>
      <w:r>
        <w:rPr>
          <w:rFonts w:hint="default" w:ascii="Times New Roman Regular" w:hAnsi="Times New Roman Regular" w:cs="Times New Roman Regular"/>
          <w:sz w:val="22"/>
          <w:szCs w:val="22"/>
          <w:u w:val="none"/>
          <w:lang w:val="en-US" w:eastAsia="zh-CN"/>
        </w:rPr>
        <w:t>、诉讼中的自认（以下简称自认）</w:t>
      </w:r>
    </w:p>
    <w:p w14:paraId="7DA83A6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（一）自认与认诺的区别</w:t>
      </w:r>
    </w:p>
    <w:p w14:paraId="61BA701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1．内涵不同。自认是对对方主张于己不利案件事实的承认；认诺则是对对方提出诉讼请求的承认。</w:t>
      </w:r>
    </w:p>
    <w:p w14:paraId="5012AFA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2．法律后果不同。自认免除对方当事人对该事实的举证责任，但并不必然会导致败诉；认诺则会导致认诺人败诉。</w:t>
      </w:r>
    </w:p>
    <w:p w14:paraId="6635D07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（二）自认的适用条件</w:t>
      </w:r>
    </w:p>
    <w:p w14:paraId="6F4F8BC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1．适用主体</w:t>
      </w:r>
    </w:p>
    <w:p w14:paraId="56FB5CB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当事人是最常见的自认作出主体；法定代理人具有类似于当事人的地位，也有权作出自认。</w:t>
      </w:r>
    </w:p>
    <w:p w14:paraId="19A5A40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委托代理人的自认：除授权委托书明确排除的事项外，诉讼代理人的自认视为当事人的自认。当事人在场对诉讼代理人的自认明确否认，不视为自认。</w:t>
      </w:r>
    </w:p>
    <w:p w14:paraId="79BB2A3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2．适用形式</w:t>
      </w:r>
    </w:p>
    <w:p w14:paraId="0D6A4BF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（1）明示自认：当事人明确承认对方提出的于己不利事实。</w:t>
      </w:r>
    </w:p>
    <w:p w14:paraId="5AE74A0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默示自认：又称为拟制自认。一方当事人对于另一方当事人主张的于己不利的事实既不承认也不否认，经审判人员说明并询问后，其仍然不明确表示肯定或者否定的，视为对该事实的承认。（《民事证据规定》第4条）</w:t>
      </w:r>
    </w:p>
    <w:p w14:paraId="64A53D3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（3）附条件自认（限制自认）：一方当事人对于另一方当事人主张的于己不利的事实有所限制或者附加条件予以承认的，由人民法院综合案件情况决定是否构成自认。（《民事证据规定》第7条）</w:t>
      </w:r>
    </w:p>
    <w:p w14:paraId="4D18F19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3．适用时间</w:t>
      </w:r>
    </w:p>
    <w:p w14:paraId="554C7BC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从起诉到判决作出的整个时间段。除此之外的自认均为诉讼外的自认，诉讼外的自认不会产生诉讼中自认的法律效果。</w:t>
      </w:r>
    </w:p>
    <w:p w14:paraId="0431124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具体时间包括：当事人在法庭审理中，在证据交换、询问、调查过程中，或者在起诉状、答辩状、代理词等书面材料中，均可作出自认。</w:t>
      </w:r>
    </w:p>
    <w:p w14:paraId="4F44923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（三）自认的法律效力</w:t>
      </w:r>
    </w:p>
    <w:p w14:paraId="268E859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1．对当事人的效力</w:t>
      </w:r>
    </w:p>
    <w:p w14:paraId="73F4FC8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对方当事人无需举证证明。同时，作出自认的当事人不得随意撤销自认。</w:t>
      </w:r>
    </w:p>
    <w:p w14:paraId="0F4E682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2．对法院的效力</w:t>
      </w:r>
    </w:p>
    <w:p w14:paraId="32F558C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根据约束性辩论原则的要求，法院应当将当事人自认的事实作为认定案件事实的依据。但如果自认与法院已经查明的事实不一致，可以不受自认效力的约束。</w:t>
      </w:r>
    </w:p>
    <w:p w14:paraId="2037865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（四）自认的撤销</w:t>
      </w:r>
    </w:p>
    <w:p w14:paraId="1616183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1．允许撤销自认的情形：时间（法庭辩论终结前）+条件（对方当事人同意/受胁迫或者重大误解情况下作出）</w:t>
      </w:r>
    </w:p>
    <w:p w14:paraId="609B7FF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2．法院处理方式：作出口头或者书面裁定。</w:t>
      </w:r>
    </w:p>
    <w:p w14:paraId="0F423D5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（五）不适用自认（不产生自认效力）的情形</w:t>
      </w:r>
    </w:p>
    <w:p w14:paraId="26A87E2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1．涉及可能损害国家利益、社会公共利益；</w:t>
      </w:r>
    </w:p>
    <w:p w14:paraId="78245B0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2．涉及身份关系；</w:t>
      </w:r>
    </w:p>
    <w:p w14:paraId="6F53364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3．涉及民事公益诉讼；</w:t>
      </w:r>
    </w:p>
    <w:p w14:paraId="05C25DD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4．当事人有恶意串通损害他人合法权益可能；</w:t>
      </w:r>
    </w:p>
    <w:p w14:paraId="4715DF5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5．涉及依职权追加当事人、中止诉讼、终结诉讼、回避等程序性事项；</w:t>
      </w:r>
    </w:p>
    <w:p w14:paraId="5B7125B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6．与法院已经查明的事实不符的自认的事实。（《民事证据规定》第8条）</w:t>
      </w:r>
    </w:p>
    <w:p w14:paraId="31142EC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2"/>
          <w:szCs w:val="22"/>
          <w:u w:val="none"/>
          <w:lang w:val="en-US" w:eastAsia="zh-CN"/>
        </w:rPr>
      </w:pPr>
      <w:r>
        <w:rPr>
          <w:rFonts w:hint="default" w:ascii="Times New Roman Regular" w:hAnsi="Times New Roman Regular" w:cs="Times New Roman Regular"/>
          <w:sz w:val="22"/>
          <w:szCs w:val="22"/>
          <w:u w:val="none"/>
          <w:lang w:val="en-US" w:eastAsia="zh-CN"/>
        </w:rPr>
        <w:t>7．在诉讼中，当事人为达成调解协议或者和解协议作出妥协而认可的事实，不得在后续的诉讼中作为对其不利的根据，但法律另有规定或者当事人均同意的除外。（《民诉解释》第107条）</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EF9C01"/>
    <w:rsid w:val="1BFB8A79"/>
    <w:rsid w:val="1FFDE82A"/>
    <w:rsid w:val="1FFE3DC8"/>
    <w:rsid w:val="25E4E361"/>
    <w:rsid w:val="2DEF8498"/>
    <w:rsid w:val="2FF57ABD"/>
    <w:rsid w:val="31FD34EB"/>
    <w:rsid w:val="32FB9AF4"/>
    <w:rsid w:val="37BBB7CA"/>
    <w:rsid w:val="37F9300F"/>
    <w:rsid w:val="39CD9E08"/>
    <w:rsid w:val="3AA211B0"/>
    <w:rsid w:val="3DDD8785"/>
    <w:rsid w:val="3EFF2196"/>
    <w:rsid w:val="3EFFCDE3"/>
    <w:rsid w:val="3F3B7AB9"/>
    <w:rsid w:val="3F7D6D90"/>
    <w:rsid w:val="3FDF38B5"/>
    <w:rsid w:val="3FFBD59C"/>
    <w:rsid w:val="4D7AF3B1"/>
    <w:rsid w:val="4F7E5D39"/>
    <w:rsid w:val="57FB2467"/>
    <w:rsid w:val="5A6B2353"/>
    <w:rsid w:val="5BF630B3"/>
    <w:rsid w:val="5D1E5E35"/>
    <w:rsid w:val="5D2F548A"/>
    <w:rsid w:val="5D9CC53C"/>
    <w:rsid w:val="5DBFD756"/>
    <w:rsid w:val="5F67BE34"/>
    <w:rsid w:val="5FDFC522"/>
    <w:rsid w:val="61D6CCE6"/>
    <w:rsid w:val="63F79634"/>
    <w:rsid w:val="676B1FCF"/>
    <w:rsid w:val="6BBF548D"/>
    <w:rsid w:val="6BEE3C17"/>
    <w:rsid w:val="6CFC5835"/>
    <w:rsid w:val="6EBFFE06"/>
    <w:rsid w:val="6EDC6954"/>
    <w:rsid w:val="6F7EF6AA"/>
    <w:rsid w:val="6F7FD66B"/>
    <w:rsid w:val="6FB7F990"/>
    <w:rsid w:val="6FC75035"/>
    <w:rsid w:val="6FE9DFA5"/>
    <w:rsid w:val="6FF6B73E"/>
    <w:rsid w:val="6FF7B5C8"/>
    <w:rsid w:val="72B16660"/>
    <w:rsid w:val="72FEDFAF"/>
    <w:rsid w:val="74EF0DAF"/>
    <w:rsid w:val="75FD7826"/>
    <w:rsid w:val="75FFDC8C"/>
    <w:rsid w:val="76576194"/>
    <w:rsid w:val="78FF9F1C"/>
    <w:rsid w:val="79B72732"/>
    <w:rsid w:val="79F678E1"/>
    <w:rsid w:val="7A8FECFA"/>
    <w:rsid w:val="7B3FB0F3"/>
    <w:rsid w:val="7B6D3C00"/>
    <w:rsid w:val="7B77E946"/>
    <w:rsid w:val="7BFFD2F7"/>
    <w:rsid w:val="7C7DDD51"/>
    <w:rsid w:val="7D473A11"/>
    <w:rsid w:val="7D7FD33D"/>
    <w:rsid w:val="7D9D698B"/>
    <w:rsid w:val="7DBDD90E"/>
    <w:rsid w:val="7DBFEFAD"/>
    <w:rsid w:val="7DF9200D"/>
    <w:rsid w:val="7E3F6002"/>
    <w:rsid w:val="7E7FF430"/>
    <w:rsid w:val="7E9F1BC6"/>
    <w:rsid w:val="7EFE5D96"/>
    <w:rsid w:val="7EFFC158"/>
    <w:rsid w:val="7F3B9F4C"/>
    <w:rsid w:val="7F3C3286"/>
    <w:rsid w:val="7F695405"/>
    <w:rsid w:val="7F6B748A"/>
    <w:rsid w:val="7FB49696"/>
    <w:rsid w:val="7FBF0F91"/>
    <w:rsid w:val="7FDFD89C"/>
    <w:rsid w:val="7FE7235C"/>
    <w:rsid w:val="7FFFE420"/>
    <w:rsid w:val="8ABEE47C"/>
    <w:rsid w:val="ADB00FA3"/>
    <w:rsid w:val="AE7B2097"/>
    <w:rsid w:val="AEAF67DC"/>
    <w:rsid w:val="AECFAD74"/>
    <w:rsid w:val="AEFFF231"/>
    <w:rsid w:val="AF7349BF"/>
    <w:rsid w:val="B1FDE468"/>
    <w:rsid w:val="B3FEA9EF"/>
    <w:rsid w:val="B7FEF551"/>
    <w:rsid w:val="BBD68691"/>
    <w:rsid w:val="BFD7C2A8"/>
    <w:rsid w:val="BFDF5E9D"/>
    <w:rsid w:val="BFFFC478"/>
    <w:rsid w:val="C2FF7057"/>
    <w:rsid w:val="C7F79EC9"/>
    <w:rsid w:val="C9FED888"/>
    <w:rsid w:val="CBDA46FA"/>
    <w:rsid w:val="CDF9AD73"/>
    <w:rsid w:val="CEAF22DB"/>
    <w:rsid w:val="CFABA3EB"/>
    <w:rsid w:val="CFBDAEF9"/>
    <w:rsid w:val="CFFF1593"/>
    <w:rsid w:val="D7F716BD"/>
    <w:rsid w:val="D7F8DDAE"/>
    <w:rsid w:val="D99D7B6E"/>
    <w:rsid w:val="DBF64670"/>
    <w:rsid w:val="DFDD6831"/>
    <w:rsid w:val="E5718167"/>
    <w:rsid w:val="E5AB3AAB"/>
    <w:rsid w:val="E5DD9418"/>
    <w:rsid w:val="E787CCF8"/>
    <w:rsid w:val="E7BFCB01"/>
    <w:rsid w:val="EA3CD53D"/>
    <w:rsid w:val="EB6E8309"/>
    <w:rsid w:val="EBD730EB"/>
    <w:rsid w:val="EC2D9E1A"/>
    <w:rsid w:val="EECA7655"/>
    <w:rsid w:val="EF06E542"/>
    <w:rsid w:val="EF73E6F1"/>
    <w:rsid w:val="EF7FB042"/>
    <w:rsid w:val="EFB7ADF2"/>
    <w:rsid w:val="EFB7E0DF"/>
    <w:rsid w:val="EFCFFD3A"/>
    <w:rsid w:val="EFDF470A"/>
    <w:rsid w:val="EFDFF3E6"/>
    <w:rsid w:val="EFE712E6"/>
    <w:rsid w:val="EFF7C6A6"/>
    <w:rsid w:val="F0D7EC59"/>
    <w:rsid w:val="F1B927A4"/>
    <w:rsid w:val="F3FF92B4"/>
    <w:rsid w:val="F56E2A6E"/>
    <w:rsid w:val="F5EEDA60"/>
    <w:rsid w:val="F6DFFC0C"/>
    <w:rsid w:val="F6EE96F6"/>
    <w:rsid w:val="F73F225B"/>
    <w:rsid w:val="F7EF4D91"/>
    <w:rsid w:val="FABE4737"/>
    <w:rsid w:val="FBDF91EB"/>
    <w:rsid w:val="FBFF7EF4"/>
    <w:rsid w:val="FD375179"/>
    <w:rsid w:val="FD6C9E97"/>
    <w:rsid w:val="FD6EB3EE"/>
    <w:rsid w:val="FDBDD900"/>
    <w:rsid w:val="FDF59568"/>
    <w:rsid w:val="FEA64923"/>
    <w:rsid w:val="FED769C8"/>
    <w:rsid w:val="FF3362C6"/>
    <w:rsid w:val="FF6F6FFE"/>
    <w:rsid w:val="FF7BF13D"/>
    <w:rsid w:val="FF943FE1"/>
    <w:rsid w:val="FFBFCE21"/>
    <w:rsid w:val="FFEF7CE9"/>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47</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2026-02-05T16:22:00Z</dcterms:created>
  <dc:creator>Arthur (Xiao) Dong</dc:creator>
  <cp:lastModifiedBy>Arthur (Xiao）Dong</cp:lastModifiedBy>
  <dcterms:modified xsi:type="dcterms:W3CDTF">2026-03-18T10:51:12Z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3A31E5C62E8666FD53247769E1688135_41</vt:lpwstr>
  </property>
</Properties>
</file>