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12" w:lineRule="auto"/>
        <w:jc w:val="center"/>
        <w:textAlignment w:val="auto"/>
        <w:rPr>
          <w:rFonts w:hint="default"/>
          <w:sz w:val="32"/>
          <w:szCs w:val="32"/>
          <w:lang w:val="en-US" w:eastAsia="zh-CN"/>
        </w:rPr>
      </w:pPr>
      <w:r>
        <w:rPr>
          <w:rFonts w:hint="eastAsia"/>
          <w:b/>
          <w:bCs/>
          <w:sz w:val="32"/>
          <w:szCs w:val="32"/>
          <w:lang w:val="en-US" w:eastAsia="zh-CN"/>
        </w:rPr>
        <w:t>民诉第三讲课堂笔记（考点6-11）</w:t>
      </w:r>
    </w:p>
    <w:p w14:paraId="6EED7240">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b/>
          <w:bCs/>
          <w:sz w:val="24"/>
          <w:szCs w:val="24"/>
          <w:lang w:val="en-US" w:eastAsia="zh-CN"/>
        </w:rPr>
        <w:t>【考点6：裁定管辖】</w:t>
      </w:r>
    </w:p>
    <w:p w14:paraId="7C73A669">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二、指定管辖</w:t>
      </w:r>
    </w:p>
    <w:p w14:paraId="6E935704">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1．受移送法院认为自己对移送来的案件无管辖权，报上级法院指定管辖。</w:t>
      </w:r>
    </w:p>
    <w:p w14:paraId="334ED5A4">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2．有管辖权的法院由于特殊原因不能行使管辖权，报上级法院指定管辖。</w:t>
      </w:r>
    </w:p>
    <w:p w14:paraId="49FB3D2C">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可能有两种原因：一是法院全体法官均须回避；二是有管辖权之法院所在地发生了严重自然灾害等不可抗力情形。</w:t>
      </w:r>
    </w:p>
    <w:p w14:paraId="2B8D2CAE">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3．对于管辖权发生争议，通过协商未能解决管辖争议，逐级报共同的上级法院指定管辖。</w:t>
      </w:r>
    </w:p>
    <w:p w14:paraId="2BD36F85">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三、管辖权转移</w:t>
      </w:r>
    </w:p>
    <w:p w14:paraId="758596AC">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（一）性质</w:t>
      </w:r>
    </w:p>
    <w:p w14:paraId="1625C949">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管辖权转移在上下级法院之间进行，是对级别管辖的变通和个别调整。</w:t>
      </w:r>
    </w:p>
    <w:p w14:paraId="60B37B3C">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（二）适用情形</w:t>
      </w:r>
    </w:p>
    <w:p w14:paraId="1D027B50">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1．向上转移</w:t>
      </w:r>
    </w:p>
    <w:p w14:paraId="0FA82539">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（1）上级法院决定自己审理</w:t>
      </w:r>
    </w:p>
    <w:p w14:paraId="25228949">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（2）下级法院报请上级法院审理</w:t>
      </w:r>
    </w:p>
    <w:p w14:paraId="27A26C9A">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2．向下转移</w:t>
      </w:r>
    </w:p>
    <w:p w14:paraId="17C5667F">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上级法院认为确有必要将本院管辖的第一审民事案件交下级法院审理的，应当报请其上级法院批准。上级法院批准后，法院应当裁定将案件交下级法院审理。</w:t>
      </w:r>
    </w:p>
    <w:p w14:paraId="336F118A">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b/>
          <w:bCs/>
          <w:sz w:val="22"/>
          <w:szCs w:val="22"/>
          <w:lang w:val="en-US" w:eastAsia="zh-CN"/>
        </w:rPr>
      </w:pPr>
      <w:r>
        <w:rPr>
          <w:rFonts w:hint="default" w:ascii="Times New Roman Regular" w:hAnsi="Times New Roman Regular" w:cs="Times New Roman Regular"/>
          <w:sz w:val="24"/>
          <w:szCs w:val="24"/>
          <w:u w:val="none"/>
          <w:lang w:val="en-US" w:eastAsia="zh-CN"/>
        </w:rPr>
        <w:t>破产程序中有关债务人的诉讼案件、当事人人数众多且不方便诉讼的案件，法院可以在开庭前交下级法院审理。（《民诉解释》第42条）</w:t>
      </w:r>
    </w:p>
    <w:p w14:paraId="20AAAB93">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b/>
          <w:bCs/>
          <w:sz w:val="22"/>
          <w:szCs w:val="22"/>
          <w:lang w:val="en-US" w:eastAsia="zh-CN"/>
        </w:rPr>
      </w:pPr>
    </w:p>
    <w:p w14:paraId="4904F423">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b/>
          <w:bCs/>
          <w:sz w:val="22"/>
          <w:szCs w:val="22"/>
          <w:lang w:val="en-US" w:eastAsia="zh-CN"/>
        </w:rPr>
      </w:pPr>
      <w:r>
        <w:rPr>
          <w:rFonts w:hint="eastAsia" w:ascii="Times New Roman Regular" w:hAnsi="Times New Roman Regular" w:cs="Times New Roman Regular"/>
          <w:b/>
          <w:bCs/>
          <w:sz w:val="22"/>
          <w:szCs w:val="22"/>
          <w:lang w:val="en-US" w:eastAsia="zh-CN"/>
        </w:rPr>
        <w:t>【考点7：管辖权异议】</w:t>
      </w:r>
    </w:p>
    <w:p w14:paraId="47B39226">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一、管辖权异议的条件</w:t>
      </w:r>
    </w:p>
    <w:p w14:paraId="24A6A85A">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1．主体：通常为被告</w:t>
      </w:r>
    </w:p>
    <w:p w14:paraId="2EE10859">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特殊情况下，原告也可提出管辖权异议，但是有独立请求权第三人和无独立请求权第三人无权提出管辖权异议。</w:t>
      </w:r>
    </w:p>
    <w:p w14:paraId="60E0C991">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2．客体：第一审民事案件的管辖权（级别、地域）</w:t>
      </w:r>
    </w:p>
    <w:p w14:paraId="4F0F100C">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被告以受诉人民法院同时违反级别管辖和地域管辖规定为由提出管辖权异议的，受诉人民法院应当一并作出裁定。</w:t>
      </w:r>
    </w:p>
    <w:p w14:paraId="6E57800B">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3．时间：提交答辩状期间</w:t>
      </w:r>
    </w:p>
    <w:p w14:paraId="07062A72">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例外规定：因原告增加或变更诉讼请求，可能引起级别管辖变更，允许被告在原告提出相关请求后对管辖权提出异议。</w:t>
      </w:r>
    </w:p>
    <w:p w14:paraId="3EE97C1B">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二、法院对管辖权异议的处理</w:t>
      </w:r>
    </w:p>
    <w:p w14:paraId="1585FFDE">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审查后异议理由成立的，裁定将案件移送有管辖权的法院审理；异议不成立，裁定驳回异议。当事人不服该裁定，可以在10日内向上一级法院提起上诉。</w:t>
      </w:r>
    </w:p>
    <w:p w14:paraId="1E780838">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p>
    <w:p w14:paraId="5C28B96F">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b/>
          <w:bCs/>
          <w:sz w:val="22"/>
          <w:szCs w:val="22"/>
          <w:u w:val="none"/>
          <w:lang w:val="en-US" w:eastAsia="zh-CN"/>
        </w:rPr>
      </w:pPr>
      <w:r>
        <w:rPr>
          <w:rFonts w:hint="eastAsia" w:ascii="Times New Roman Regular" w:hAnsi="Times New Roman Regular" w:cs="Times New Roman Regular"/>
          <w:b/>
          <w:bCs/>
          <w:sz w:val="22"/>
          <w:szCs w:val="22"/>
          <w:u w:val="none"/>
          <w:lang w:val="en-US" w:eastAsia="zh-CN"/>
        </w:rPr>
        <w:t>【考点8:原告与被告】</w:t>
      </w:r>
    </w:p>
    <w:p w14:paraId="68228121">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法人非依法设立的分支机构</w:t>
      </w:r>
      <w:r>
        <w:rPr>
          <w:rFonts w:hint="eastAsia" w:ascii="Times New Roman Regular" w:hAnsi="Times New Roman Regular" w:cs="Times New Roman Regular"/>
          <w:sz w:val="22"/>
          <w:szCs w:val="22"/>
          <w:u w:val="none"/>
          <w:lang w:val="en-US" w:eastAsia="zh-CN"/>
        </w:rPr>
        <w:t>，或者</w:t>
      </w:r>
      <w:r>
        <w:rPr>
          <w:rFonts w:hint="default" w:ascii="Times New Roman Regular" w:hAnsi="Times New Roman Regular" w:cs="Times New Roman Regular"/>
          <w:sz w:val="22"/>
          <w:szCs w:val="22"/>
          <w:u w:val="none"/>
          <w:lang w:val="en-US" w:eastAsia="zh-CN"/>
        </w:rPr>
        <w:t>法人分支机构虽依法设立，但未领取营业执照</w:t>
      </w:r>
      <w:r>
        <w:rPr>
          <w:rFonts w:hint="eastAsia" w:ascii="Times New Roman Regular" w:hAnsi="Times New Roman Regular" w:cs="Times New Roman Regular"/>
          <w:sz w:val="22"/>
          <w:szCs w:val="22"/>
          <w:u w:val="none"/>
          <w:lang w:val="en-US" w:eastAsia="zh-CN"/>
        </w:rPr>
        <w:t>的，设立该分支机构的法人为当事人；</w:t>
      </w:r>
    </w:p>
    <w:p w14:paraId="11B426A2">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职务侵权纠纷</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法人或者其他组织</w:t>
      </w:r>
      <w:r>
        <w:rPr>
          <w:rFonts w:hint="eastAsia" w:ascii="Times New Roman Regular" w:hAnsi="Times New Roman Regular" w:cs="Times New Roman Regular"/>
          <w:sz w:val="22"/>
          <w:szCs w:val="22"/>
          <w:u w:val="none"/>
          <w:lang w:val="en-US" w:eastAsia="zh-CN"/>
        </w:rPr>
        <w:t>为当事人</w:t>
      </w:r>
    </w:p>
    <w:p w14:paraId="48525728">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3.</w:t>
      </w:r>
      <w:r>
        <w:rPr>
          <w:rFonts w:hint="default" w:ascii="Times New Roman Regular" w:hAnsi="Times New Roman Regular" w:cs="Times New Roman Regular"/>
          <w:sz w:val="22"/>
          <w:szCs w:val="22"/>
          <w:u w:val="none"/>
          <w:lang w:val="en-US" w:eastAsia="zh-CN"/>
        </w:rPr>
        <w:t>劳务侵权纠纷</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接受劳务一方</w:t>
      </w:r>
      <w:r>
        <w:rPr>
          <w:rFonts w:hint="eastAsia" w:ascii="Times New Roman Regular" w:hAnsi="Times New Roman Regular" w:cs="Times New Roman Regular"/>
          <w:sz w:val="22"/>
          <w:szCs w:val="22"/>
          <w:u w:val="none"/>
          <w:lang w:val="en-US" w:eastAsia="zh-CN"/>
        </w:rPr>
        <w:t>为当事人</w:t>
      </w:r>
    </w:p>
    <w:p w14:paraId="4190D667">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4.</w:t>
      </w:r>
      <w:r>
        <w:rPr>
          <w:rFonts w:hint="default" w:ascii="Times New Roman Regular" w:hAnsi="Times New Roman Regular" w:cs="Times New Roman Regular"/>
          <w:sz w:val="22"/>
          <w:szCs w:val="22"/>
          <w:u w:val="none"/>
          <w:lang w:val="en-US" w:eastAsia="zh-CN"/>
        </w:rPr>
        <w:t>个体工商户有字号</w:t>
      </w:r>
      <w:r>
        <w:rPr>
          <w:rFonts w:hint="eastAsia" w:ascii="Times New Roman Regular" w:hAnsi="Times New Roman Regular" w:cs="Times New Roman Regular"/>
          <w:sz w:val="22"/>
          <w:szCs w:val="22"/>
          <w:u w:val="none"/>
          <w:lang w:val="en-US" w:eastAsia="zh-CN"/>
        </w:rPr>
        <w:t>的，</w:t>
      </w:r>
      <w:r>
        <w:rPr>
          <w:rFonts w:hint="default" w:ascii="Times New Roman Regular" w:hAnsi="Times New Roman Regular" w:cs="Times New Roman Regular"/>
          <w:sz w:val="22"/>
          <w:szCs w:val="22"/>
          <w:u w:val="none"/>
          <w:lang w:val="en-US" w:eastAsia="zh-CN"/>
        </w:rPr>
        <w:t>营业执照上登记的字号</w:t>
      </w:r>
      <w:r>
        <w:rPr>
          <w:rFonts w:hint="eastAsia" w:ascii="Times New Roman Regular" w:hAnsi="Times New Roman Regular" w:cs="Times New Roman Regular"/>
          <w:sz w:val="22"/>
          <w:szCs w:val="22"/>
          <w:u w:val="none"/>
          <w:lang w:val="en-US" w:eastAsia="zh-CN"/>
        </w:rPr>
        <w:t>为当事人；</w:t>
      </w:r>
      <w:r>
        <w:rPr>
          <w:rFonts w:hint="default" w:ascii="Times New Roman Regular" w:hAnsi="Times New Roman Regular" w:cs="Times New Roman Regular"/>
          <w:sz w:val="22"/>
          <w:szCs w:val="22"/>
          <w:u w:val="none"/>
          <w:lang w:val="en-US" w:eastAsia="zh-CN"/>
        </w:rPr>
        <w:t>无字号</w:t>
      </w:r>
      <w:r>
        <w:rPr>
          <w:rFonts w:hint="eastAsia" w:ascii="Times New Roman Regular" w:hAnsi="Times New Roman Regular" w:cs="Times New Roman Regular"/>
          <w:sz w:val="22"/>
          <w:szCs w:val="22"/>
          <w:u w:val="none"/>
          <w:lang w:val="en-US" w:eastAsia="zh-CN"/>
        </w:rPr>
        <w:t>的，</w:t>
      </w:r>
      <w:r>
        <w:rPr>
          <w:rFonts w:hint="default" w:ascii="Times New Roman Regular" w:hAnsi="Times New Roman Regular" w:cs="Times New Roman Regular"/>
          <w:sz w:val="22"/>
          <w:szCs w:val="22"/>
          <w:u w:val="none"/>
          <w:lang w:val="en-US" w:eastAsia="zh-CN"/>
        </w:rPr>
        <w:t>营业执照上登记的经营者</w:t>
      </w:r>
      <w:r>
        <w:rPr>
          <w:rFonts w:hint="eastAsia" w:ascii="Times New Roman Regular" w:hAnsi="Times New Roman Regular" w:cs="Times New Roman Regular"/>
          <w:sz w:val="22"/>
          <w:szCs w:val="22"/>
          <w:u w:val="none"/>
          <w:lang w:val="en-US" w:eastAsia="zh-CN"/>
        </w:rPr>
        <w:t>为当事人。</w:t>
      </w:r>
    </w:p>
    <w:p w14:paraId="391DDB72">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5.</w:t>
      </w:r>
      <w:r>
        <w:rPr>
          <w:rFonts w:hint="default" w:ascii="Times New Roman Regular" w:hAnsi="Times New Roman Regular" w:cs="Times New Roman Regular"/>
          <w:sz w:val="22"/>
          <w:szCs w:val="22"/>
          <w:u w:val="none"/>
          <w:lang w:val="en-US" w:eastAsia="zh-CN"/>
        </w:rPr>
        <w:t>当事人不履行调解协议</w:t>
      </w:r>
      <w:r>
        <w:rPr>
          <w:rFonts w:hint="eastAsia" w:ascii="Times New Roman Regular" w:hAnsi="Times New Roman Regular" w:cs="Times New Roman Regular"/>
          <w:sz w:val="22"/>
          <w:szCs w:val="22"/>
          <w:u w:val="none"/>
          <w:lang w:val="en-US" w:eastAsia="zh-CN"/>
        </w:rPr>
        <w:t>的，</w:t>
      </w:r>
      <w:r>
        <w:rPr>
          <w:rFonts w:hint="default" w:ascii="Times New Roman Regular" w:hAnsi="Times New Roman Regular" w:cs="Times New Roman Regular"/>
          <w:sz w:val="22"/>
          <w:szCs w:val="22"/>
          <w:u w:val="none"/>
          <w:lang w:val="en-US" w:eastAsia="zh-CN"/>
        </w:rPr>
        <w:t>不履行协议的当事人为被告</w:t>
      </w:r>
    </w:p>
    <w:p w14:paraId="6AEFFFC3">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6.</w:t>
      </w:r>
      <w:r>
        <w:rPr>
          <w:rFonts w:hint="default" w:ascii="Times New Roman Regular" w:hAnsi="Times New Roman Regular" w:cs="Times New Roman Regular"/>
          <w:sz w:val="22"/>
          <w:szCs w:val="22"/>
          <w:u w:val="none"/>
          <w:lang w:val="en-US" w:eastAsia="zh-CN"/>
        </w:rPr>
        <w:t>行为人以应登记而未登记的法人或者其他组织名义进行民事活动</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行为人无权</w:t>
      </w:r>
      <w:r>
        <w:rPr>
          <w:rFonts w:hint="eastAsia" w:ascii="Times New Roman Regular" w:hAnsi="Times New Roman Regular" w:cs="Times New Roman Regular"/>
          <w:sz w:val="22"/>
          <w:szCs w:val="22"/>
          <w:u w:val="none"/>
          <w:lang w:val="en-US" w:eastAsia="zh-CN"/>
        </w:rPr>
        <w:t>代理，</w:t>
      </w:r>
      <w:r>
        <w:rPr>
          <w:rFonts w:hint="default" w:ascii="Times New Roman Regular" w:hAnsi="Times New Roman Regular" w:cs="Times New Roman Regular"/>
          <w:sz w:val="22"/>
          <w:szCs w:val="22"/>
          <w:u w:val="none"/>
          <w:lang w:val="en-US" w:eastAsia="zh-CN"/>
        </w:rPr>
        <w:t>行为人以依法终止的法人或者其他组织名义进行民事活动</w:t>
      </w:r>
      <w:r>
        <w:rPr>
          <w:rFonts w:hint="eastAsia" w:ascii="Times New Roman Regular" w:hAnsi="Times New Roman Regular" w:cs="Times New Roman Regular"/>
          <w:sz w:val="22"/>
          <w:szCs w:val="22"/>
          <w:u w:val="none"/>
          <w:lang w:val="en-US" w:eastAsia="zh-CN"/>
        </w:rPr>
        <w:t>的，行为人为当事人。</w:t>
      </w:r>
    </w:p>
    <w:p w14:paraId="631231B3">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7</w:t>
      </w:r>
      <w:r>
        <w:rPr>
          <w:rFonts w:hint="default" w:ascii="Times New Roman Regular" w:hAnsi="Times New Roman Regular" w:cs="Times New Roman Regular"/>
          <w:sz w:val="22"/>
          <w:szCs w:val="22"/>
          <w:u w:val="none"/>
          <w:lang w:val="en-US" w:eastAsia="zh-CN"/>
        </w:rPr>
        <w:t>.企业法人解散</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依法清算并注销前</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企业法人</w:t>
      </w:r>
      <w:r>
        <w:rPr>
          <w:rFonts w:hint="eastAsia" w:ascii="Times New Roman Regular" w:hAnsi="Times New Roman Regular" w:cs="Times New Roman Regular"/>
          <w:sz w:val="22"/>
          <w:szCs w:val="22"/>
          <w:u w:val="none"/>
          <w:lang w:val="en-US" w:eastAsia="zh-CN"/>
        </w:rPr>
        <w:t>为当事人；</w:t>
      </w:r>
      <w:r>
        <w:rPr>
          <w:rFonts w:hint="default" w:ascii="Times New Roman Regular" w:hAnsi="Times New Roman Regular" w:cs="Times New Roman Regular"/>
          <w:sz w:val="22"/>
          <w:szCs w:val="22"/>
          <w:u w:val="none"/>
          <w:lang w:val="en-US" w:eastAsia="zh-CN"/>
        </w:rPr>
        <w:t>未依法清算即被注销</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企业法人的股东、发起人或者出资人</w:t>
      </w:r>
      <w:r>
        <w:rPr>
          <w:rFonts w:hint="eastAsia" w:ascii="Times New Roman Regular" w:hAnsi="Times New Roman Regular" w:cs="Times New Roman Regular"/>
          <w:sz w:val="22"/>
          <w:szCs w:val="22"/>
          <w:u w:val="none"/>
          <w:lang w:val="en-US" w:eastAsia="zh-CN"/>
        </w:rPr>
        <w:t>为当事人。</w:t>
      </w:r>
    </w:p>
    <w:p w14:paraId="78D8EB85">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8.</w:t>
      </w:r>
      <w:r>
        <w:rPr>
          <w:rFonts w:hint="default" w:ascii="Times New Roman Regular" w:hAnsi="Times New Roman Regular" w:cs="Times New Roman Regular"/>
          <w:sz w:val="22"/>
          <w:szCs w:val="22"/>
          <w:u w:val="none"/>
          <w:lang w:val="en-US" w:eastAsia="zh-CN"/>
        </w:rPr>
        <w:t>居民委员会、村民委员会或者村民小组发生纠纷</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居民委员会、村民委员会或有独立财产的村民小组</w:t>
      </w:r>
      <w:r>
        <w:rPr>
          <w:rFonts w:hint="eastAsia" w:ascii="Times New Roman Regular" w:hAnsi="Times New Roman Regular" w:cs="Times New Roman Regular"/>
          <w:sz w:val="22"/>
          <w:szCs w:val="22"/>
          <w:u w:val="none"/>
          <w:lang w:val="en-US" w:eastAsia="zh-CN"/>
        </w:rPr>
        <w:t>为当事人</w:t>
      </w:r>
    </w:p>
    <w:p w14:paraId="1AA3192E">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9.</w:t>
      </w:r>
      <w:r>
        <w:rPr>
          <w:rFonts w:hint="default" w:ascii="Times New Roman Regular" w:hAnsi="Times New Roman Regular" w:cs="Times New Roman Regular"/>
          <w:sz w:val="22"/>
          <w:szCs w:val="22"/>
          <w:u w:val="none"/>
          <w:lang w:val="en-US" w:eastAsia="zh-CN"/>
        </w:rPr>
        <w:t>起诉侵害死者遗体、遗骨以及姓名、肖像、名誉、荣誉、隐私等行为</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死者的近亲属</w:t>
      </w:r>
      <w:r>
        <w:rPr>
          <w:rFonts w:hint="eastAsia" w:ascii="Times New Roman Regular" w:hAnsi="Times New Roman Regular" w:cs="Times New Roman Regular"/>
          <w:sz w:val="22"/>
          <w:szCs w:val="22"/>
          <w:u w:val="none"/>
          <w:lang w:val="en-US" w:eastAsia="zh-CN"/>
        </w:rPr>
        <w:t>为当事人</w:t>
      </w:r>
    </w:p>
    <w:p w14:paraId="38056E06">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sz w:val="22"/>
          <w:szCs w:val="22"/>
          <w:u w:val="none"/>
          <w:lang w:val="en-US" w:eastAsia="zh-CN"/>
        </w:rPr>
      </w:pPr>
    </w:p>
    <w:p w14:paraId="77EF0E3B">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b/>
          <w:bCs/>
          <w:sz w:val="22"/>
          <w:szCs w:val="22"/>
          <w:u w:val="none"/>
          <w:lang w:val="en-US" w:eastAsia="zh-CN"/>
        </w:rPr>
      </w:pPr>
      <w:r>
        <w:rPr>
          <w:rFonts w:hint="eastAsia" w:ascii="Times New Roman Regular" w:hAnsi="Times New Roman Regular" w:cs="Times New Roman Regular"/>
          <w:b/>
          <w:bCs/>
          <w:sz w:val="22"/>
          <w:szCs w:val="22"/>
          <w:u w:val="none"/>
          <w:lang w:val="en-US" w:eastAsia="zh-CN"/>
        </w:rPr>
        <w:t>【考点9：必要共同诉讼】</w:t>
      </w:r>
    </w:p>
    <w:p w14:paraId="42B50393">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一、民事责任类型与共同诉讼形态</w:t>
      </w:r>
    </w:p>
    <w:p w14:paraId="14C2D85B">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1．连带责任——普通共同诉讼</w:t>
      </w:r>
    </w:p>
    <w:p w14:paraId="7BDF69D3">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2．不真正连带责任——普通共同诉讼/不成立共同诉讼</w:t>
      </w:r>
    </w:p>
    <w:p w14:paraId="24C4E98C">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3．补充责任——普通共同诉讼</w:t>
      </w:r>
    </w:p>
    <w:p w14:paraId="0144670A">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二、必要共同诉讼人追加</w:t>
      </w:r>
    </w:p>
    <w:p w14:paraId="47DBC90D">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对于必要共同诉讼，法院必须合一审理、合一判决，当事人必须一同起诉或应诉，否则当事人不适格。如果有必要共同诉讼人未参加诉讼，则应当追加当事人。</w:t>
      </w:r>
    </w:p>
    <w:p w14:paraId="6463A1CA">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当事人追加，可以由法院依职权通知，也可以由法院根据参加诉讼的当事人申请追加。</w:t>
      </w:r>
    </w:p>
    <w:p w14:paraId="39F64A89">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应当追加的原告，已明确表示放弃实体权利的，可不予追加；既不愿意参加诉讼，又不放弃实体权利的，仍应追加为共同原告。</w:t>
      </w:r>
    </w:p>
    <w:p w14:paraId="5227E432">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三、必要共同诉讼人内部关系</w:t>
      </w:r>
    </w:p>
    <w:p w14:paraId="58C249E7">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必要共同诉讼中一人的诉讼行为经其他共同诉讼人承认，对其他共同诉讼人发生效力。</w:t>
      </w:r>
    </w:p>
    <w:p w14:paraId="126B0596">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承认包括明示和默示两种。所谓默示承认，是指只要共同诉讼人未对其他共同诉讼人实施的诉讼行为表示异议，即表明该共同诉讼人已经承认。</w:t>
      </w:r>
    </w:p>
    <w:p w14:paraId="5D83BB3D">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承认原则的例外：共同诉讼人中一人对判决不服提起上诉的，如果上诉后为不可分之诉，不管其他共同诉讼人是否承认该上诉行为，上诉的效力都及于共同诉讼人全体。</w:t>
      </w:r>
    </w:p>
    <w:p w14:paraId="457F7BE5">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四、适用情形</w:t>
      </w:r>
    </w:p>
    <w:p w14:paraId="0F387F43">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1．挂靠行为</w:t>
      </w:r>
    </w:p>
    <w:p w14:paraId="518D3F84">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挂靠关系形成共同诉讼，必须以当事人请求挂靠人和被挂靠人承担民事责任为前提。（《民诉解释》第54条）（普通共同诉讼）</w:t>
      </w:r>
    </w:p>
    <w:p w14:paraId="57EEB9F0">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2．劳务派遣纠纷（《民诉解释》第58条）</w:t>
      </w:r>
    </w:p>
    <w:p w14:paraId="231DB02A">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主张用工单位承担责任</w:t>
      </w:r>
      <w:r>
        <w:rPr>
          <w:rFonts w:hint="eastAsia" w:ascii="Times New Roman Regular" w:hAnsi="Times New Roman Regular" w:cs="Times New Roman Regular"/>
          <w:sz w:val="22"/>
          <w:szCs w:val="22"/>
          <w:u w:val="none"/>
          <w:lang w:val="en-US" w:eastAsia="zh-CN"/>
        </w:rPr>
        <w:t>的：</w:t>
      </w:r>
      <w:r>
        <w:rPr>
          <w:rFonts w:hint="default" w:ascii="Times New Roman Regular" w:hAnsi="Times New Roman Regular" w:cs="Times New Roman Regular"/>
          <w:sz w:val="22"/>
          <w:szCs w:val="22"/>
          <w:u w:val="none"/>
          <w:lang w:val="en-US" w:eastAsia="zh-CN"/>
        </w:rPr>
        <w:t>用工单位</w:t>
      </w:r>
      <w:r>
        <w:rPr>
          <w:rFonts w:hint="eastAsia" w:ascii="Times New Roman Regular" w:hAnsi="Times New Roman Regular" w:cs="Times New Roman Regular"/>
          <w:sz w:val="22"/>
          <w:szCs w:val="22"/>
          <w:u w:val="none"/>
          <w:lang w:val="en-US" w:eastAsia="zh-CN"/>
        </w:rPr>
        <w:t>为被告</w:t>
      </w:r>
    </w:p>
    <w:p w14:paraId="73AB59E8">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主张劳务派遣单位承担责任</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劳务派遣单位+用工单位</w:t>
      </w:r>
      <w:r>
        <w:rPr>
          <w:rFonts w:hint="eastAsia" w:ascii="Times New Roman Regular" w:hAnsi="Times New Roman Regular" w:cs="Times New Roman Regular"/>
          <w:sz w:val="22"/>
          <w:szCs w:val="22"/>
          <w:u w:val="none"/>
          <w:lang w:val="en-US" w:eastAsia="zh-CN"/>
        </w:rPr>
        <w:t>为被告</w:t>
      </w:r>
      <w:r>
        <w:rPr>
          <w:rFonts w:hint="default" w:ascii="Times New Roman Regular" w:hAnsi="Times New Roman Regular" w:cs="Times New Roman Regular"/>
          <w:sz w:val="22"/>
          <w:szCs w:val="22"/>
          <w:u w:val="none"/>
          <w:lang w:val="en-US" w:eastAsia="zh-CN"/>
        </w:rPr>
        <w:t>（必要共同诉讼）</w:t>
      </w:r>
    </w:p>
    <w:p w14:paraId="3DE58264">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3．个体工商户（《民诉解释》第59条）</w:t>
      </w:r>
    </w:p>
    <w:p w14:paraId="7525EF50">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个体工商户营业执照上登记的业主与实际经营者不一致，业主和实际经营者为共同诉讼人。（必要共同诉讼）</w:t>
      </w:r>
    </w:p>
    <w:p w14:paraId="7C2C0606">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4．个人合伙的全体合伙人（《民诉解释》第60条）</w:t>
      </w:r>
    </w:p>
    <w:p w14:paraId="7BBA2E0B">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不同于个体工商户，无论是否有字号，个人合伙均以全体合伙人为当事人。个人合伙有依法核准登记的字号，应在法律文书中注明。（必要共同诉讼）</w:t>
      </w:r>
    </w:p>
    <w:p w14:paraId="693FD945">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5．企业法人分立，分立前的民事活动发生纠纷，分立后的企业法人为共同诉讼人。（《民诉解释》第63条）（</w:t>
      </w:r>
      <w:r>
        <w:rPr>
          <w:rFonts w:hint="eastAsia" w:ascii="Times New Roman Regular" w:hAnsi="Times New Roman Regular" w:cs="Times New Roman Regular"/>
          <w:sz w:val="22"/>
          <w:szCs w:val="22"/>
          <w:u w:val="none"/>
          <w:lang w:val="en-US" w:eastAsia="zh-CN"/>
        </w:rPr>
        <w:t>普通</w:t>
      </w:r>
      <w:bookmarkStart w:id="0" w:name="_GoBack"/>
      <w:bookmarkEnd w:id="0"/>
      <w:r>
        <w:rPr>
          <w:rFonts w:hint="default" w:ascii="Times New Roman Regular" w:hAnsi="Times New Roman Regular" w:cs="Times New Roman Regular"/>
          <w:sz w:val="22"/>
          <w:szCs w:val="22"/>
          <w:u w:val="none"/>
          <w:lang w:val="en-US" w:eastAsia="zh-CN"/>
        </w:rPr>
        <w:t>共同诉讼）</w:t>
      </w:r>
    </w:p>
    <w:p w14:paraId="3DFDC6F5">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6．借用业务介绍信、合同专用章、盖章的空白合同或银行账户，出借单位和借用人为共同诉讼人。（《民诉解释》第65条）（必要共同诉讼）</w:t>
      </w:r>
    </w:p>
    <w:p w14:paraId="7D8ED2E5">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7．在继承遗产的诉讼中，部分继承人起诉的，法院应通知其他继承人作为共同原告参加诉讼；被通知的继承人不愿意参加诉讼又未明确表示放弃实体权利的，法院仍应将其列为共同原告。（《民诉解释》第70条）（必要共同诉讼）</w:t>
      </w:r>
    </w:p>
    <w:p w14:paraId="5BEA2D5D">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8．原告起诉被代理人和代理人，要求承担连带责任的，被代理人和代理人为共同被告。原告起诉代理人和相对人，要求承担连带责任的，代理人和相对人为共同被告。（《民诉解释》第71条）（普通共同诉讼）</w:t>
      </w:r>
    </w:p>
    <w:p w14:paraId="6D5C4EB4">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9．共有财产权受到他人侵害，部分共有权人起诉的，其他共有权人为共同诉讼人。（《民诉解释》第72条）（必要共同诉讼）</w:t>
      </w:r>
    </w:p>
    <w:p w14:paraId="545360B4">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10．保证合同纠纷</w:t>
      </w:r>
    </w:p>
    <w:p w14:paraId="76D40D04">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b/>
          <w:bCs/>
          <w:sz w:val="22"/>
          <w:szCs w:val="22"/>
          <w:u w:val="none"/>
          <w:lang w:val="en-US" w:eastAsia="zh-CN"/>
        </w:rPr>
        <w:t>【《民诉解释》第66条】</w:t>
      </w:r>
      <w:r>
        <w:rPr>
          <w:rFonts w:hint="eastAsia" w:ascii="Times New Roman Regular" w:hAnsi="Times New Roman Regular" w:cs="Times New Roman Regular"/>
          <w:sz w:val="22"/>
          <w:szCs w:val="22"/>
          <w:u w:val="none"/>
          <w:lang w:val="en-US" w:eastAsia="zh-CN"/>
        </w:rPr>
        <w:t xml:space="preserve"> 因保证合同纠纷提起的诉讼，债权人向保证人和被保证人一并主张权利的，人民法院应当将保证人和被保证人列为共同被告。保证合同约定为一般保证，债权人仅起诉保证人的，人民法院应当通知被保证人作为共同被告参加诉讼；债权人仅起诉被保证人的，可以只列被保证人为被告。</w:t>
      </w:r>
    </w:p>
    <w:p w14:paraId="38E74A28">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b/>
          <w:bCs/>
          <w:sz w:val="22"/>
          <w:szCs w:val="22"/>
          <w:u w:val="none"/>
          <w:lang w:val="en-US" w:eastAsia="zh-CN"/>
        </w:rPr>
        <w:t>【《民法典担保制度解释》第26条】</w:t>
      </w:r>
      <w:r>
        <w:rPr>
          <w:rFonts w:hint="eastAsia" w:ascii="Times New Roman Regular" w:hAnsi="Times New Roman Regular" w:cs="Times New Roman Regular"/>
          <w:sz w:val="22"/>
          <w:szCs w:val="22"/>
          <w:u w:val="none"/>
          <w:lang w:val="en-US" w:eastAsia="zh-CN"/>
        </w:rPr>
        <w:t xml:space="preserve"> 一般保证中，债权人以债务人为被告提起诉讼的，人民法院应予受理。债权人未就主合同纠纷提起诉讼或者申请仲裁，仅起诉一般保证人的，人民法院应当驳回起诉。一般保证中，债权人一并起诉债务人和保证人的，人民法院可以受理，但是在作出判决时，除有民法典第六百八十七条第二款但书规定的情形外，应当在判决书主文中明确，保证人仅对债务人财产依法强制执行后仍不能履行的部分承担保证责任。债权人未对债务人的财产申请保全，或者保全的债务人的财产足以清偿债务，债权人申请对一般保证人的财产进行保全的，人民法院不予准许。</w:t>
      </w:r>
    </w:p>
    <w:p w14:paraId="039CFA96">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11．无民事行为能力人、限制民事行为能力人造成他人损害的，无民事行为能力人、限制民事行为能力人和其监护人为共同被告。（《民诉解释》第67条）（必要共同诉讼）</w:t>
      </w:r>
    </w:p>
    <w:p w14:paraId="0A4B8DF3">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12．追索赡养费案件中，所有赡养义务人作为共同被告。（必要共同诉讼）</w:t>
      </w:r>
    </w:p>
    <w:p w14:paraId="6FDB3E15">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13．债权人以诉讼方式行使担保物权的，应当以债务人和担保人作为共同被告。（《民法典担保制度解释》第45条）（必要共同诉讼）</w:t>
      </w:r>
    </w:p>
    <w:p w14:paraId="34E67CC3">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14．因建设工程质量发生争议的，发包人可以以总承包人、分包人和实际施工人为共同被告提起诉讼。（《关于审理建设工程施工合同纠纷案件适用法律问题的解释（一）》第15条）（普通共同诉讼）</w:t>
      </w:r>
    </w:p>
    <w:p w14:paraId="40585CD9">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15．原用人单位以新的用人单位和劳动者共同侵权为由提起诉讼的，新的用人单位和劳动者列为共同被告。（《关于审理劳动争议案件适用法律问题的解释（一）》第27条）（普通共同诉讼）</w:t>
      </w:r>
    </w:p>
    <w:p w14:paraId="35AF14B6">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16．债权人对债务人公司享有的债权提起诉讼的同时，一并提起公司人格否认诉讼，请求股东对公司债务承担连带责任的，列公司和股东为共同被告。债权人对债务人公司享有的债权尚未经生效裁判确认，直接提起公司人格否认诉讼，请求公司股东对公司债务承担连带责任的，人民法院应当向债权人释明，告知其追加公司为共同被告。债权人拒绝追加的，人民法院应当裁定驳回起诉。（《九民纪要》第13条）（普通共同诉讼）</w:t>
      </w:r>
    </w:p>
    <w:p w14:paraId="7EDC5506">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17．债权人提起撤销权诉讼，应当以债务人和债务人的相对人为共同被告。（《民法典合同编通则解释》第44条）（必要共同诉讼）</w:t>
      </w:r>
    </w:p>
    <w:p w14:paraId="3DDDC349">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p>
    <w:p w14:paraId="53B38A38">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b/>
          <w:bCs/>
          <w:sz w:val="22"/>
          <w:szCs w:val="22"/>
          <w:u w:val="none"/>
          <w:lang w:val="en-US" w:eastAsia="zh-CN"/>
        </w:rPr>
      </w:pPr>
      <w:r>
        <w:rPr>
          <w:rFonts w:hint="eastAsia" w:ascii="Times New Roman Regular" w:hAnsi="Times New Roman Regular" w:cs="Times New Roman Regular"/>
          <w:b/>
          <w:bCs/>
          <w:sz w:val="22"/>
          <w:szCs w:val="22"/>
          <w:u w:val="none"/>
          <w:lang w:val="en-US" w:eastAsia="zh-CN"/>
        </w:rPr>
        <w:t>【考点10:第三人】</w:t>
      </w:r>
    </w:p>
    <w:p w14:paraId="00FAE485">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一、有独立请求权第三人</w:t>
      </w:r>
    </w:p>
    <w:p w14:paraId="70E5ADEC">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（一）诉讼地位</w:t>
      </w:r>
    </w:p>
    <w:p w14:paraId="21EFE947">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相当于原告，是诉讼当事人；其在诉讼中既对抗本诉原告，也对抗本诉被告。因此，在参加之诉中，有独立请求权第三人是原告，本诉的原告和被告都作为参加之诉的被告。</w:t>
      </w:r>
    </w:p>
    <w:p w14:paraId="2942656E">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（二）参加诉讼的条件</w:t>
      </w:r>
    </w:p>
    <w:p w14:paraId="0DA2CA93">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1．参加诉讼的根据：对本诉的原告、被告之间争议的诉讼标的主张独立的请求权。</w:t>
      </w:r>
    </w:p>
    <w:p w14:paraId="503FF0C4">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2．时间条件：所参加的诉讼正在进行中。</w:t>
      </w:r>
    </w:p>
    <w:p w14:paraId="47B17FDA">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3．参加诉讼的方式：以起诉的方式参加诉讼。</w:t>
      </w:r>
    </w:p>
    <w:p w14:paraId="720565F7">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二、无独立请求权第三人</w:t>
      </w:r>
    </w:p>
    <w:p w14:paraId="5C3A94CE">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（一）参加诉讼的条件</w:t>
      </w:r>
    </w:p>
    <w:p w14:paraId="6233F2BE">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1．参加诉讼的根据：与案件的处理结果有法律上的利害关系。</w:t>
      </w:r>
    </w:p>
    <w:p w14:paraId="06E2BDB7">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2．时间条件：所参加的诉讼正在进行中。</w:t>
      </w:r>
    </w:p>
    <w:p w14:paraId="494A63E2">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3．参加诉讼的方式：自己申请参加诉讼或者法院通知其参加诉讼。</w:t>
      </w:r>
    </w:p>
    <w:p w14:paraId="58E1D29C">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（二）诉讼</w:t>
      </w:r>
      <w:r>
        <w:rPr>
          <w:rFonts w:hint="eastAsia" w:ascii="Times New Roman Regular" w:hAnsi="Times New Roman Regular" w:cs="Times New Roman Regular"/>
          <w:sz w:val="22"/>
          <w:szCs w:val="22"/>
          <w:u w:val="none"/>
          <w:lang w:val="en-US" w:eastAsia="zh-CN"/>
        </w:rPr>
        <w:t>权利</w:t>
      </w:r>
    </w:p>
    <w:p w14:paraId="54E7AA2B">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．一审判决中，无独立请求权第三人承担民事责任的，享有上诉权；</w:t>
      </w:r>
    </w:p>
    <w:p w14:paraId="49AAC510">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．法院调解民事案件，需由无独立请求权第三人承担责任，应当经其同意。但不需要无独三承担责任的，不需要其签收。</w:t>
      </w:r>
    </w:p>
    <w:p w14:paraId="4D244C2C">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3</w:t>
      </w:r>
      <w:r>
        <w:rPr>
          <w:rFonts w:hint="default" w:ascii="Times New Roman Regular" w:hAnsi="Times New Roman Regular" w:cs="Times New Roman Regular"/>
          <w:sz w:val="22"/>
          <w:szCs w:val="22"/>
          <w:u w:val="none"/>
          <w:lang w:val="en-US" w:eastAsia="zh-CN"/>
        </w:rPr>
        <w:t>．不享有的诉讼权利：提出管辖权异议，放弃、变更诉讼请求，申请撤诉。</w:t>
      </w:r>
    </w:p>
    <w:p w14:paraId="74DD7D5A">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p>
    <w:p w14:paraId="362DC590">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eastAsia" w:ascii="Times New Roman Regular" w:hAnsi="Times New Roman Regular" w:cs="Times New Roman Regular"/>
          <w:b/>
          <w:bCs/>
          <w:sz w:val="22"/>
          <w:szCs w:val="22"/>
          <w:u w:val="none"/>
          <w:lang w:val="en-US" w:eastAsia="zh-CN"/>
        </w:rPr>
      </w:pPr>
      <w:r>
        <w:rPr>
          <w:rFonts w:hint="eastAsia" w:ascii="Times New Roman Regular" w:hAnsi="Times New Roman Regular" w:cs="Times New Roman Regular"/>
          <w:b/>
          <w:bCs/>
          <w:sz w:val="22"/>
          <w:szCs w:val="22"/>
          <w:u w:val="none"/>
          <w:lang w:val="en-US" w:eastAsia="zh-CN"/>
        </w:rPr>
        <w:t>【考点11:诉讼代理人】</w:t>
      </w:r>
    </w:p>
    <w:p w14:paraId="2FE684DB">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一、法定诉讼代理人</w:t>
      </w:r>
    </w:p>
    <w:p w14:paraId="1C3103CA">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无、限制民事行为能力人的监护人。</w:t>
      </w:r>
      <w:r>
        <w:rPr>
          <w:rFonts w:hint="default" w:ascii="Times New Roman Regular" w:hAnsi="Times New Roman Regular" w:cs="Times New Roman Regular"/>
          <w:sz w:val="22"/>
          <w:szCs w:val="22"/>
          <w:u w:val="none"/>
          <w:lang w:val="en-US" w:eastAsia="zh-CN"/>
        </w:rPr>
        <w:t>法定诉讼代理人具有类似于当事人的诉讼地位。</w:t>
      </w:r>
    </w:p>
    <w:p w14:paraId="4DE6AA0A">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二、委托诉讼代理人</w:t>
      </w:r>
    </w:p>
    <w:p w14:paraId="6FCE0748">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（一）范围</w:t>
      </w:r>
    </w:p>
    <w:p w14:paraId="7906E2DF">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律师、基层法律服务工作者、当事人的近亲属或者工作人员、当事人所在社区、单位以及社会团体推荐的公民。</w:t>
      </w:r>
    </w:p>
    <w:p w14:paraId="22B8DDA6">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（二）权限</w:t>
      </w:r>
    </w:p>
    <w:p w14:paraId="534375C4">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授权委托书仅写“全权代理”而无具体授权的，视为一般授权。即无权代为承认、放弃、变更诉讼请求，进行和解，提起反诉或者上诉。</w:t>
      </w:r>
    </w:p>
    <w:p w14:paraId="384D7072">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（三）委托代理的法律后果</w:t>
      </w:r>
    </w:p>
    <w:p w14:paraId="37234CA6">
      <w:pPr>
        <w:keepNext w:val="0"/>
        <w:keepLines w:val="0"/>
        <w:pageBreakBefore w:val="0"/>
        <w:widowControl w:val="0"/>
        <w:kinsoku/>
        <w:wordWrap/>
        <w:overflowPunct/>
        <w:topLinePunct w:val="0"/>
        <w:autoSpaceDE/>
        <w:autoSpaceDN/>
        <w:bidi w:val="0"/>
        <w:adjustRightInd/>
        <w:snapToGrid/>
        <w:spacing w:line="312"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般情况下，民事案件的当事人委托诉讼代理人代为出庭诉讼的，本人可以不出庭；但离婚案件有诉讼代理人的，本人除不能表达意思的以外，仍应出庭；确因特殊情况无法出庭的，必须向法院提交书面意见。（《民事诉讼法》第65条）</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EF9C01"/>
    <w:rsid w:val="1BFB8A79"/>
    <w:rsid w:val="1FFDE82A"/>
    <w:rsid w:val="1FFE3DC8"/>
    <w:rsid w:val="25E4E361"/>
    <w:rsid w:val="2DEF8498"/>
    <w:rsid w:val="2FF57ABD"/>
    <w:rsid w:val="32FB9AF4"/>
    <w:rsid w:val="37BBB7CA"/>
    <w:rsid w:val="37F9300F"/>
    <w:rsid w:val="39CD9E08"/>
    <w:rsid w:val="3AA211B0"/>
    <w:rsid w:val="3DDD8785"/>
    <w:rsid w:val="3EFF2196"/>
    <w:rsid w:val="3EFFCDE3"/>
    <w:rsid w:val="3F32C900"/>
    <w:rsid w:val="3F3B7AB9"/>
    <w:rsid w:val="3F7D6D90"/>
    <w:rsid w:val="3FDF38B5"/>
    <w:rsid w:val="3FFBD59C"/>
    <w:rsid w:val="4D7AF3B1"/>
    <w:rsid w:val="4F7E5D39"/>
    <w:rsid w:val="5A6B2353"/>
    <w:rsid w:val="5BF630B3"/>
    <w:rsid w:val="5D1E5E35"/>
    <w:rsid w:val="5D2F548A"/>
    <w:rsid w:val="5D9CC53C"/>
    <w:rsid w:val="5DBFD756"/>
    <w:rsid w:val="5F67BE34"/>
    <w:rsid w:val="5FDFC522"/>
    <w:rsid w:val="63F79634"/>
    <w:rsid w:val="676B1FCF"/>
    <w:rsid w:val="6BBF548D"/>
    <w:rsid w:val="6BEE3C17"/>
    <w:rsid w:val="6CFC5835"/>
    <w:rsid w:val="6EBFFE06"/>
    <w:rsid w:val="6EDC6954"/>
    <w:rsid w:val="6F7FD66B"/>
    <w:rsid w:val="6FB7F990"/>
    <w:rsid w:val="6FC75035"/>
    <w:rsid w:val="6FE9DFA5"/>
    <w:rsid w:val="6FF6B73E"/>
    <w:rsid w:val="6FF7B5C8"/>
    <w:rsid w:val="72B16660"/>
    <w:rsid w:val="72FEDFAF"/>
    <w:rsid w:val="74EF0DAF"/>
    <w:rsid w:val="75FD7826"/>
    <w:rsid w:val="75FFDC8C"/>
    <w:rsid w:val="76576194"/>
    <w:rsid w:val="78FF9F1C"/>
    <w:rsid w:val="79B72732"/>
    <w:rsid w:val="79F678E1"/>
    <w:rsid w:val="7A8FECFA"/>
    <w:rsid w:val="7B6D3C00"/>
    <w:rsid w:val="7B77E946"/>
    <w:rsid w:val="7BFFD2F7"/>
    <w:rsid w:val="7C7DDD51"/>
    <w:rsid w:val="7D473A11"/>
    <w:rsid w:val="7D7FD33D"/>
    <w:rsid w:val="7D9D698B"/>
    <w:rsid w:val="7DBDD90E"/>
    <w:rsid w:val="7DBFEFAD"/>
    <w:rsid w:val="7DF9200D"/>
    <w:rsid w:val="7E3F6002"/>
    <w:rsid w:val="7EFE5D96"/>
    <w:rsid w:val="7EFFC158"/>
    <w:rsid w:val="7F3B9F4C"/>
    <w:rsid w:val="7F3C3286"/>
    <w:rsid w:val="7F695405"/>
    <w:rsid w:val="7F6B748A"/>
    <w:rsid w:val="7FB49696"/>
    <w:rsid w:val="7FBF0F91"/>
    <w:rsid w:val="7FDFD89C"/>
    <w:rsid w:val="7FE7235C"/>
    <w:rsid w:val="8ABEE47C"/>
    <w:rsid w:val="ADB00FA3"/>
    <w:rsid w:val="AEAF67DC"/>
    <w:rsid w:val="AECFAD74"/>
    <w:rsid w:val="AEFFF231"/>
    <w:rsid w:val="AF7349BF"/>
    <w:rsid w:val="B1FDE468"/>
    <w:rsid w:val="B3FEA9EF"/>
    <w:rsid w:val="B7FEF551"/>
    <w:rsid w:val="BBD68691"/>
    <w:rsid w:val="BFD7C2A8"/>
    <w:rsid w:val="BFDF5E9D"/>
    <w:rsid w:val="BFFFC478"/>
    <w:rsid w:val="C2FF7057"/>
    <w:rsid w:val="C7F79EC9"/>
    <w:rsid w:val="CBDA46FA"/>
    <w:rsid w:val="CDF9AD73"/>
    <w:rsid w:val="CEAF22DB"/>
    <w:rsid w:val="CFABA3EB"/>
    <w:rsid w:val="CFBDAEF9"/>
    <w:rsid w:val="CFFF1593"/>
    <w:rsid w:val="D7F8DDAE"/>
    <w:rsid w:val="D99D7B6E"/>
    <w:rsid w:val="DBF64670"/>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1B927A4"/>
    <w:rsid w:val="F3FF92B4"/>
    <w:rsid w:val="F56E2A6E"/>
    <w:rsid w:val="F5EEDA60"/>
    <w:rsid w:val="F6DFFC0C"/>
    <w:rsid w:val="F6EE96F6"/>
    <w:rsid w:val="F73F225B"/>
    <w:rsid w:val="F7EF4D91"/>
    <w:rsid w:val="FABE4737"/>
    <w:rsid w:val="FBDF91EB"/>
    <w:rsid w:val="FBFF7EF4"/>
    <w:rsid w:val="FD375179"/>
    <w:rsid w:val="FD6C9E97"/>
    <w:rsid w:val="FD6EB3EE"/>
    <w:rsid w:val="FDBDD900"/>
    <w:rsid w:val="FDF59568"/>
    <w:rsid w:val="FEA64923"/>
    <w:rsid w:val="FED769C8"/>
    <w:rsid w:val="FF3362C6"/>
    <w:rsid w:val="FF6F6FFE"/>
    <w:rsid w:val="FF7BF13D"/>
    <w:rsid w:val="FF943FE1"/>
    <w:rsid w:val="FFBFCE21"/>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2026-02-05T16:22:00Z</dcterms:created>
  <dc:creator>Arthur (Xiao) Dong</dc:creator>
  <cp:lastModifiedBy>Arthur (Xiao）Dong</cp:lastModifiedBy>
  <dcterms:modified xsi:type="dcterms:W3CDTF">2026-03-21T17:22:34Z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