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sz w:val="36"/>
          <w:szCs w:val="36"/>
          <w:lang w:val="en-US" w:eastAsia="zh-CN"/>
        </w:rPr>
      </w:pPr>
      <w:r>
        <w:rPr>
          <w:rFonts w:hint="eastAsia"/>
          <w:b/>
          <w:bCs/>
          <w:sz w:val="36"/>
          <w:szCs w:val="36"/>
          <w:lang w:val="en-US" w:eastAsia="zh-CN"/>
        </w:rPr>
        <w:t>民诉第二讲课堂笔记（考点</w:t>
      </w:r>
      <w:r>
        <w:rPr>
          <w:rFonts w:hint="default"/>
          <w:b/>
          <w:bCs/>
          <w:sz w:val="36"/>
          <w:szCs w:val="36"/>
          <w:lang w:val="en-US" w:eastAsia="zh-CN"/>
        </w:rPr>
        <w:t>3</w:t>
      </w:r>
      <w:bookmarkStart w:id="0" w:name="_GoBack"/>
      <w:bookmarkEnd w:id="0"/>
      <w:r>
        <w:rPr>
          <w:rFonts w:hint="eastAsia"/>
          <w:b/>
          <w:bCs/>
          <w:sz w:val="36"/>
          <w:szCs w:val="36"/>
          <w:lang w:val="en-US" w:eastAsia="zh-CN"/>
        </w:rPr>
        <w:t>-6）</w:t>
      </w:r>
    </w:p>
    <w:p w14:paraId="4E9E362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【考点3:民事诉讼法的基本原则】</w:t>
      </w:r>
    </w:p>
    <w:p w14:paraId="035CCA6C">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四、处分原则</w:t>
      </w:r>
    </w:p>
    <w:p w14:paraId="12DFCDF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（一）主要内容</w:t>
      </w:r>
    </w:p>
    <w:p w14:paraId="69F6593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1．行使处分权的主体是当事人或者类似于当事人的人（法定代理人、特别授权的委托代理人）</w:t>
      </w:r>
    </w:p>
    <w:p w14:paraId="2039783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2．可处分的权利包括实体权利和程序权利</w:t>
      </w:r>
    </w:p>
    <w:p w14:paraId="2E64A576">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3．行使处分权不得违反法律规定，不得损害国家利益、社会公共利益和他人合法权益。</w:t>
      </w:r>
    </w:p>
    <w:p w14:paraId="1D58430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（二）处分原则与辩论原则的区别</w:t>
      </w:r>
    </w:p>
    <w:p w14:paraId="7B9C047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超出当事人主张的事实，违反辩论原则；超出诉讼请求，违反处分原则。</w:t>
      </w:r>
    </w:p>
    <w:p w14:paraId="7E457E6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五、诚信原则</w:t>
      </w:r>
    </w:p>
    <w:p w14:paraId="49EB1F56">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1．当事人的真实陈述义务；</w:t>
      </w:r>
    </w:p>
    <w:p w14:paraId="1C181FE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2．促进诉讼义务；</w:t>
      </w:r>
    </w:p>
    <w:p w14:paraId="19F6636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3．禁止以欺骗方法形成不正当诉讼状态；</w:t>
      </w:r>
    </w:p>
    <w:p w14:paraId="347FFD8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4．禁反言（《民诉解释》第229、340条）；</w:t>
      </w:r>
    </w:p>
    <w:p w14:paraId="25CAC70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5．禁止滥用诉讼权利。</w:t>
      </w:r>
    </w:p>
    <w:p w14:paraId="2B8538F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六、检察监督原则</w:t>
      </w:r>
    </w:p>
    <w:p w14:paraId="2F77654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1．监督范围：审判活动+执行活动</w:t>
      </w:r>
    </w:p>
    <w:p w14:paraId="00D8A75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2．监督对象：法院及其工作人员行使审判权、执行权行为</w:t>
      </w:r>
    </w:p>
    <w:p w14:paraId="47BAE92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【注意】检察机关不能对仲裁机构、公证机关、人民调解委员会等进行检察监督；当事人、代理人和其他诉讼参与人的行为也不属于检察监督范围。</w:t>
      </w:r>
    </w:p>
    <w:p w14:paraId="0851CBB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3．监督内容：监督审判人员贪赃枉法、徇私舞弊等违法行为；对法院作出的生效判决、裁定、调解书是否正确合法进行监督。</w:t>
      </w:r>
    </w:p>
    <w:p w14:paraId="7B6797D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4．监督方式：抗诉或者检察建议</w:t>
      </w:r>
    </w:p>
    <w:p w14:paraId="7AC6213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七、在线诉讼与线下诉讼具有同等效力原则</w:t>
      </w:r>
    </w:p>
    <w:p w14:paraId="2040395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1．适用条件：经当事人同意；</w:t>
      </w:r>
    </w:p>
    <w:p w14:paraId="2D3E960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2．法律效力：与线下诉讼活动具有同等法律效力。</w:t>
      </w:r>
    </w:p>
    <w:p w14:paraId="5C21DEE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bCs/>
          <w:sz w:val="24"/>
          <w:szCs w:val="24"/>
          <w:lang w:val="en-US" w:eastAsia="zh-CN"/>
        </w:rPr>
      </w:pPr>
    </w:p>
    <w:p w14:paraId="4904F423">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【考点4:民事审判的基本制度】</w:t>
      </w:r>
    </w:p>
    <w:p w14:paraId="47FA5DD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一、合议制度</w:t>
      </w:r>
    </w:p>
    <w:p w14:paraId="3AC5D5C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（一）合议庭组成形式</w:t>
      </w:r>
    </w:p>
    <w:p w14:paraId="6B093FC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w:t>
      </w:r>
      <w:r>
        <w:rPr>
          <w:rFonts w:hint="default" w:ascii="Times New Roman Regular" w:hAnsi="Times New Roman Regular" w:cs="Times New Roman Regular"/>
          <w:b w:val="0"/>
          <w:bCs w:val="0"/>
          <w:sz w:val="24"/>
          <w:szCs w:val="24"/>
          <w:lang w:val="en-US" w:eastAsia="zh-CN"/>
        </w:rPr>
        <w:t>一审普通程序</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审判员/审判员+陪审员</w:t>
      </w:r>
    </w:p>
    <w:p w14:paraId="7694C67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w:t>
      </w:r>
      <w:r>
        <w:rPr>
          <w:rFonts w:hint="default" w:ascii="Times New Roman Regular" w:hAnsi="Times New Roman Regular" w:cs="Times New Roman Regular"/>
          <w:b w:val="0"/>
          <w:bCs w:val="0"/>
          <w:sz w:val="24"/>
          <w:szCs w:val="24"/>
          <w:lang w:val="en-US" w:eastAsia="zh-CN"/>
        </w:rPr>
        <w:t>二审程序</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w:t>
      </w:r>
    </w:p>
    <w:p w14:paraId="539E9E16">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w:t>
      </w:r>
      <w:r>
        <w:rPr>
          <w:rFonts w:hint="default" w:ascii="Times New Roman Regular" w:hAnsi="Times New Roman Regular" w:cs="Times New Roman Regular"/>
          <w:b w:val="0"/>
          <w:bCs w:val="0"/>
          <w:sz w:val="24"/>
          <w:szCs w:val="24"/>
          <w:lang w:val="en-US" w:eastAsia="zh-CN"/>
        </w:rPr>
        <w:t>二审法院发回重审案件</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审判员/审判员+陪审员</w:t>
      </w:r>
    </w:p>
    <w:p w14:paraId="3FDAC75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4.</w:t>
      </w:r>
      <w:r>
        <w:rPr>
          <w:rFonts w:hint="default" w:ascii="Times New Roman Regular" w:hAnsi="Times New Roman Regular" w:cs="Times New Roman Regular"/>
          <w:b w:val="0"/>
          <w:bCs w:val="0"/>
          <w:sz w:val="24"/>
          <w:szCs w:val="24"/>
          <w:lang w:val="en-US" w:eastAsia="zh-CN"/>
        </w:rPr>
        <w:t>再审程序</w:t>
      </w:r>
    </w:p>
    <w:p w14:paraId="581CA415">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w:t>
      </w:r>
      <w:r>
        <w:rPr>
          <w:rFonts w:hint="default" w:ascii="Times New Roman Regular" w:hAnsi="Times New Roman Regular" w:cs="Times New Roman Regular"/>
          <w:b w:val="0"/>
          <w:bCs w:val="0"/>
          <w:sz w:val="24"/>
          <w:szCs w:val="24"/>
          <w:lang w:val="en-US" w:eastAsia="zh-CN"/>
        </w:rPr>
        <w:t>原审是一审程序</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审判员/审判员+陪审员</w:t>
      </w:r>
    </w:p>
    <w:p w14:paraId="419D17F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w:t>
      </w:r>
      <w:r>
        <w:rPr>
          <w:rFonts w:hint="default" w:ascii="Times New Roman Regular" w:hAnsi="Times New Roman Regular" w:cs="Times New Roman Regular"/>
          <w:b w:val="0"/>
          <w:bCs w:val="0"/>
          <w:sz w:val="24"/>
          <w:szCs w:val="24"/>
          <w:lang w:val="en-US" w:eastAsia="zh-CN"/>
        </w:rPr>
        <w:t>原审是二审程序或者提审</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w:t>
      </w:r>
    </w:p>
    <w:p w14:paraId="7AF10AE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5.</w:t>
      </w:r>
      <w:r>
        <w:rPr>
          <w:rFonts w:hint="default" w:ascii="Times New Roman Regular" w:hAnsi="Times New Roman Regular" w:cs="Times New Roman Regular"/>
          <w:b w:val="0"/>
          <w:bCs w:val="0"/>
          <w:sz w:val="24"/>
          <w:szCs w:val="24"/>
          <w:lang w:val="en-US" w:eastAsia="zh-CN"/>
        </w:rPr>
        <w:t>特别程序（选民资格案件、重大疑难案件、实现担保物权案件中担保财产标的额超过基层法院管辖范围）</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w:t>
      </w:r>
    </w:p>
    <w:p w14:paraId="6927F91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6.</w:t>
      </w:r>
      <w:r>
        <w:rPr>
          <w:rFonts w:hint="default" w:ascii="Times New Roman Regular" w:hAnsi="Times New Roman Regular" w:cs="Times New Roman Regular"/>
          <w:b w:val="0"/>
          <w:bCs w:val="0"/>
          <w:sz w:val="24"/>
          <w:szCs w:val="24"/>
          <w:lang w:val="en-US" w:eastAsia="zh-CN"/>
        </w:rPr>
        <w:t>公示催告程序的除权判决</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审判员</w:t>
      </w:r>
    </w:p>
    <w:p w14:paraId="6BF2B4A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总结：人民陪审员能否参与案件的审理，与审级有关，但与法院级别无关（最高法院除外）。只有“一审”+“诉讼程序”才有人民陪审员。</w:t>
      </w:r>
    </w:p>
    <w:p w14:paraId="190D571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（二）独任制的适用范围</w:t>
      </w:r>
    </w:p>
    <w:p w14:paraId="5C5C04AC">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1．适用程序</w:t>
      </w:r>
    </w:p>
    <w:p w14:paraId="2CA6D02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（1）简易程序（含小额诉讼程序），例外：基层法院审理的基本事实清楚、权利义务关系明确的第一审民事案件，可以由审判员一人适用普通程序独任审理。</w:t>
      </w:r>
    </w:p>
    <w:p w14:paraId="7ED8618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（2）特别程序（但选民资格案件、重大疑难的特别程序案件、实现担保物权案件中担保财产标的额超过基层法院管辖范围的除外）</w:t>
      </w:r>
    </w:p>
    <w:p w14:paraId="708E033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（3）督促程序</w:t>
      </w:r>
    </w:p>
    <w:p w14:paraId="03D954E3">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（4）公示催告程序的公示催告阶段（除权判决阶段应当适用合议制）。</w:t>
      </w:r>
    </w:p>
    <w:p w14:paraId="457C3F2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2．适用法院</w:t>
      </w:r>
    </w:p>
    <w:p w14:paraId="47A0DF5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独任制原则上仅适用于基层法院及其派出法庭。</w:t>
      </w:r>
    </w:p>
    <w:p w14:paraId="69B48C8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例外：（1）海事法院在级别上属于中级法院，但可以适用简易程序，也可由审判员独任审理；（2）中级法院对第一审适用简易程序审结或者不服裁定提起上诉的第二审民事案件，事实清楚、权利义务关系明确的，经双方当事人同意，可以由审判员一人独任审理。</w:t>
      </w:r>
    </w:p>
    <w:p w14:paraId="4389909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3．禁止适用情形</w:t>
      </w:r>
    </w:p>
    <w:p w14:paraId="1190ACF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不需要都记忆，大体感觉属于重大疑难复杂案件即可。</w:t>
      </w:r>
    </w:p>
    <w:p w14:paraId="57C6FFA6">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（三）合议庭的运行</w:t>
      </w:r>
    </w:p>
    <w:p w14:paraId="579F079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1.合议庭的审判长由院长或者庭长指定审判员一人担任；院长或者庭长参加审判的，由院长或者庭长担任。</w:t>
      </w:r>
    </w:p>
    <w:p w14:paraId="12A2D52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特别提醒：陪审员不能担任审判长。</w:t>
      </w:r>
    </w:p>
    <w:p w14:paraId="350D9003">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2.合议庭成员必须是单数，合议庭的组成人员由法院决定，当事人无权选择（不同于仲裁程序）</w:t>
      </w:r>
    </w:p>
    <w:p w14:paraId="38512B6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3.实行少数服从多数原则，依照多数人的意见作出决定。</w:t>
      </w:r>
    </w:p>
    <w:p w14:paraId="7315973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二、回避制度</w:t>
      </w:r>
    </w:p>
    <w:p w14:paraId="684B1C96">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（一）适用对象：证人不适用回避制度、专家辅助人一般也不适用回避制度。</w:t>
      </w:r>
    </w:p>
    <w:p w14:paraId="2DF2F2E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（二）提出时间：在案件开始审理时提出；回避事由在案件开始审理后知道的，也可以在法庭辩论终结前提出。</w:t>
      </w:r>
    </w:p>
    <w:p w14:paraId="76BAC66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关联考点：应回避的审判人员未回避，是法定的上诉和申请再审事由</w:t>
      </w:r>
    </w:p>
    <w:p w14:paraId="2D5A4D1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（三）决定主体</w:t>
      </w:r>
    </w:p>
    <w:p w14:paraId="568DD94C">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1.</w:t>
      </w:r>
      <w:r>
        <w:rPr>
          <w:rFonts w:hint="default" w:ascii="Times New Roman Regular" w:hAnsi="Times New Roman Regular" w:cs="Times New Roman Regular"/>
          <w:b w:val="0"/>
          <w:bCs w:val="0"/>
          <w:sz w:val="24"/>
          <w:szCs w:val="24"/>
          <w:lang w:val="en-US" w:eastAsia="zh-CN"/>
        </w:rPr>
        <w:t>院长</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审判委员会</w:t>
      </w:r>
    </w:p>
    <w:p w14:paraId="502435F3">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2.</w:t>
      </w:r>
      <w:r>
        <w:rPr>
          <w:rFonts w:hint="default" w:ascii="Times New Roman Regular" w:hAnsi="Times New Roman Regular" w:cs="Times New Roman Regular"/>
          <w:b w:val="0"/>
          <w:bCs w:val="0"/>
          <w:sz w:val="24"/>
          <w:szCs w:val="24"/>
          <w:lang w:val="en-US" w:eastAsia="zh-CN"/>
        </w:rPr>
        <w:t>审判员、人民陪审员、法官助理、书记员、司法技术人员、执行员</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院长</w:t>
      </w:r>
    </w:p>
    <w:p w14:paraId="24E4DE5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3.</w:t>
      </w:r>
      <w:r>
        <w:rPr>
          <w:rFonts w:hint="default" w:ascii="Times New Roman Regular" w:hAnsi="Times New Roman Regular" w:cs="Times New Roman Regular"/>
          <w:b w:val="0"/>
          <w:bCs w:val="0"/>
          <w:sz w:val="24"/>
          <w:szCs w:val="24"/>
          <w:lang w:val="en-US" w:eastAsia="zh-CN"/>
        </w:rPr>
        <w:t>鉴定人、翻译人员、勘验人</w:t>
      </w:r>
      <w:r>
        <w:rPr>
          <w:rFonts w:hint="eastAsia" w:ascii="Times New Roman Regular" w:hAnsi="Times New Roman Regular" w:cs="Times New Roman Regular"/>
          <w:b w:val="0"/>
          <w:bCs w:val="0"/>
          <w:sz w:val="24"/>
          <w:szCs w:val="24"/>
          <w:lang w:val="en-US" w:eastAsia="zh-CN"/>
        </w:rPr>
        <w:t>：</w:t>
      </w:r>
      <w:r>
        <w:rPr>
          <w:rFonts w:hint="default" w:ascii="Times New Roman Regular" w:hAnsi="Times New Roman Regular" w:cs="Times New Roman Regular"/>
          <w:b w:val="0"/>
          <w:bCs w:val="0"/>
          <w:sz w:val="24"/>
          <w:szCs w:val="24"/>
          <w:lang w:val="en-US" w:eastAsia="zh-CN"/>
        </w:rPr>
        <w:t>审判长</w:t>
      </w:r>
    </w:p>
    <w:p w14:paraId="1E76C83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（四）处理形式：以口头或书面形式作出决定（不是裁定）</w:t>
      </w:r>
    </w:p>
    <w:p w14:paraId="46A8B61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（五）救济：向决定作出法院申请复议一次（同级复议）</w:t>
      </w:r>
    </w:p>
    <w:p w14:paraId="32210D2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（六）法律后果：被申请回避的人员在法院作出是否回避的决定前，应当暂停参与本案的工作，但案件需要采取紧急措施的除外；复议期间，被申请回避的人员，不停止参与本案的工作。</w:t>
      </w:r>
    </w:p>
    <w:p w14:paraId="33C244F3">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三、公开审判制度</w:t>
      </w:r>
    </w:p>
    <w:p w14:paraId="2C34430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（一）法定不公开：国家秘密、个人隐私、法律其他规定</w:t>
      </w:r>
    </w:p>
    <w:p w14:paraId="0FBA819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（二）申请不公开：离婚和商业秘密</w:t>
      </w:r>
    </w:p>
    <w:p w14:paraId="1A56BA4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（三）无论案件本身是否公开，合议庭评议一律不公开，宣判一律公开</w:t>
      </w:r>
    </w:p>
    <w:p w14:paraId="2E5E3AB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四、两审终审制的例外</w:t>
      </w:r>
    </w:p>
    <w:p w14:paraId="12970F6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1.最高法院审理的案件；</w:t>
      </w:r>
    </w:p>
    <w:p w14:paraId="7010DFE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2.适用特别程序、督促程序、公示催告程序的案件；</w:t>
      </w:r>
    </w:p>
    <w:p w14:paraId="19B3290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3.调解结案；</w:t>
      </w:r>
    </w:p>
    <w:p w14:paraId="0902EA5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4.不予受理、驳回起诉、管辖权异议之外的裁定（但小额诉讼中作出的驳回起诉、管辖权异议裁定，不得上诉）；</w:t>
      </w:r>
    </w:p>
    <w:p w14:paraId="436B7D8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5.决定（一般采用复议形式救济）；</w:t>
      </w:r>
    </w:p>
    <w:p w14:paraId="1C9EF1B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6.小额诉讼程序。</w:t>
      </w:r>
    </w:p>
    <w:p w14:paraId="7D83732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p>
    <w:p w14:paraId="5C39AB6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w:t>
      </w:r>
      <w:r>
        <w:rPr>
          <w:rFonts w:hint="default" w:ascii="Times New Roman Regular" w:hAnsi="Times New Roman Regular" w:cs="Times New Roman Regular"/>
          <w:b/>
          <w:bCs/>
          <w:sz w:val="24"/>
          <w:szCs w:val="24"/>
          <w:lang w:val="en-US" w:eastAsia="zh-CN"/>
        </w:rPr>
        <w:t>考点5</w:t>
      </w:r>
      <w:r>
        <w:rPr>
          <w:rFonts w:hint="eastAsia" w:ascii="Times New Roman Regular" w:hAnsi="Times New Roman Regular" w:cs="Times New Roman Regular"/>
          <w:b/>
          <w:bCs/>
          <w:sz w:val="24"/>
          <w:szCs w:val="24"/>
          <w:lang w:val="en-US" w:eastAsia="zh-CN"/>
        </w:rPr>
        <w:t>：</w:t>
      </w:r>
      <w:r>
        <w:rPr>
          <w:rFonts w:hint="default" w:ascii="Times New Roman Regular" w:hAnsi="Times New Roman Regular" w:cs="Times New Roman Regular"/>
          <w:b/>
          <w:bCs/>
          <w:sz w:val="24"/>
          <w:szCs w:val="24"/>
          <w:lang w:val="en-US" w:eastAsia="zh-CN"/>
        </w:rPr>
        <w:t>地域管辖</w:t>
      </w:r>
      <w:r>
        <w:rPr>
          <w:rFonts w:hint="eastAsia" w:ascii="Times New Roman Regular" w:hAnsi="Times New Roman Regular" w:cs="Times New Roman Regular"/>
          <w:b/>
          <w:bCs/>
          <w:sz w:val="24"/>
          <w:szCs w:val="24"/>
          <w:lang w:val="en-US" w:eastAsia="zh-CN"/>
        </w:rPr>
        <w:t>】</w:t>
      </w:r>
    </w:p>
    <w:p w14:paraId="3E3BF63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一、一般地域管辖</w:t>
      </w:r>
    </w:p>
    <w:p w14:paraId="57D7C7F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（一）原则：原告就被告</w:t>
      </w:r>
    </w:p>
    <w:p w14:paraId="5485D13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被告是公民的：一看公民所在地；二看居留时间，居留一年以上（住院就医除外）构成经常居住地，没有经常居住地则三看户籍地。</w:t>
      </w:r>
    </w:p>
    <w:p w14:paraId="0CA12B6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被告是法人或者其他组织的：主要办事机构所在地→注册地/登记地</w:t>
      </w:r>
    </w:p>
    <w:p w14:paraId="478B612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代位权、撤销权诉讼由被告住所地法院管辖</w:t>
      </w:r>
    </w:p>
    <w:p w14:paraId="0C51481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（二）被告就原告</w:t>
      </w:r>
    </w:p>
    <w:p w14:paraId="6B3BCF7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1.对不在中国领域内居住的人提起的有关身份关系的诉讼；</w:t>
      </w:r>
    </w:p>
    <w:p w14:paraId="6887410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2.对下落不明或者宣告失踪的人提起的有关身份关系的诉讼；</w:t>
      </w:r>
    </w:p>
    <w:p w14:paraId="41FBFF2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3.对被采取强制性教育措施的人提起的诉讼（双方都有这一情形的除外）；</w:t>
      </w:r>
    </w:p>
    <w:p w14:paraId="0D880D8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4.对被监禁的人提起的诉讼（双方都有这一情形的除外）；</w:t>
      </w:r>
    </w:p>
    <w:p w14:paraId="66F0DAA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5.追索赡养费、抚养费、扶养费案件的几个被告住所地不在同一辖区的，原告住所地和被告住所地法院均有管辖权；</w:t>
      </w:r>
    </w:p>
    <w:p w14:paraId="6A2EE0B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6.不服指定监护或者变更监护关系的案件，被监护人住所地法院和被告住所地法院均有管辖权；</w:t>
      </w:r>
    </w:p>
    <w:p w14:paraId="1698198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7.夫妻一方离开住所地超过1年，另一方起诉离婚的案件，原告住所地和被告住所地法院均有管辖权（双方都有这一情形的除外）。</w:t>
      </w:r>
    </w:p>
    <w:p w14:paraId="407F9D6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二、特殊地域管辖</w:t>
      </w:r>
    </w:p>
    <w:p w14:paraId="238A564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（一）合同纠纷</w:t>
      </w:r>
    </w:p>
    <w:p w14:paraId="2318FCE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一看有无专属管辖，二看有无协议管辖，三看有无实际履行，四看有无约定履行地，没有约定履行地的，收钱一方所在地为合同履行地。</w:t>
      </w:r>
    </w:p>
    <w:p w14:paraId="6B954B1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担保合同纠纷：（1）有仲裁协议的按照仲裁协议；（2）债权人起诉债务人和担保人的，根据主合同确定管辖法院；（3）债权人仅起诉担保人的，根据担保合同确定管辖法院。</w:t>
      </w:r>
    </w:p>
    <w:p w14:paraId="0B03730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（二）侵权纠纷</w:t>
      </w:r>
    </w:p>
    <w:p w14:paraId="5D91B45A">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由被告住所地或者侵权行为地法院管辖。侵权行为地包括侵权行为实施地和侵权结果发生地。</w:t>
      </w:r>
    </w:p>
    <w:p w14:paraId="3B73FCE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（三）公司诉讼、海难救助、共同海损的管辖法院不包括被告住所地</w:t>
      </w:r>
    </w:p>
    <w:p w14:paraId="38455E3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三、专属管辖</w:t>
      </w:r>
    </w:p>
    <w:p w14:paraId="37F6F53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1.不动产纠纷，由不动产所在地法院管辖</w:t>
      </w:r>
    </w:p>
    <w:p w14:paraId="0C22F08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 xml:space="preserve">【《民事诉讼法解释》第28条】 </w:t>
      </w:r>
      <w:r>
        <w:rPr>
          <w:rFonts w:hint="default" w:ascii="Times New Roman Regular" w:hAnsi="Times New Roman Regular" w:cs="Times New Roman Regular"/>
          <w:b w:val="0"/>
          <w:bCs w:val="0"/>
          <w:sz w:val="24"/>
          <w:szCs w:val="24"/>
          <w:lang w:val="en-US" w:eastAsia="zh-CN"/>
        </w:rPr>
        <w:t>民事诉讼法第三十四条第一项规定的不动产纠纷是指因不动产的权利确认、分割、相邻关系等引起的物权纠纷。农村土地承包经营合同纠纷、房屋租赁合同纠纷、建设工程施工合同纠纷、政策性房屋买卖合同纠纷，按照不动产纠纷确定管辖。不动产已登记的，以不动产登记簿记载的所在地为不动产所在地；不动产未登记的，以不动产实际所在地为不动产所在地。</w:t>
      </w:r>
    </w:p>
    <w:p w14:paraId="36ABCA6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【注意】</w:t>
      </w:r>
      <w:r>
        <w:rPr>
          <w:rFonts w:hint="eastAsia" w:ascii="Times New Roman Regular" w:hAnsi="Times New Roman Regular" w:cs="Times New Roman Regular"/>
          <w:b w:val="0"/>
          <w:bCs w:val="0"/>
          <w:sz w:val="24"/>
          <w:szCs w:val="24"/>
          <w:lang w:val="en-US" w:eastAsia="zh-CN"/>
        </w:rPr>
        <w:t xml:space="preserve"> </w:t>
      </w:r>
      <w:r>
        <w:rPr>
          <w:rFonts w:hint="default" w:ascii="Times New Roman Regular" w:hAnsi="Times New Roman Regular" w:cs="Times New Roman Regular"/>
          <w:b w:val="0"/>
          <w:bCs w:val="0"/>
          <w:sz w:val="24"/>
          <w:szCs w:val="24"/>
          <w:lang w:val="en-US" w:eastAsia="zh-CN"/>
        </w:rPr>
        <w:t>以不动产为担保物的担保合同纠纷，不动产买卖、转让、合作开发合同纠纷，不动产侵权纠纷均不适用专属管辖。</w:t>
      </w:r>
    </w:p>
    <w:p w14:paraId="233F898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2.港口作业纠纷，由港口所在地法院管辖</w:t>
      </w:r>
    </w:p>
    <w:p w14:paraId="4DD170AD">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3.继承遗产纠纷，由被继承人死亡时住所地或者主要遗产所在地法院管辖</w:t>
      </w:r>
    </w:p>
    <w:p w14:paraId="4F2BEC2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破产案件的集中管辖和仲裁协议可以排除专属管辖</w:t>
      </w:r>
    </w:p>
    <w:p w14:paraId="395D875B">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四、协议管辖的条件</w:t>
      </w:r>
    </w:p>
    <w:p w14:paraId="7B6AA27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1.案件类型：合同或者其他财产权益纠纷</w:t>
      </w:r>
    </w:p>
    <w:p w14:paraId="5F1C2B5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2.约定形式：应采用书面形式</w:t>
      </w:r>
    </w:p>
    <w:p w14:paraId="165B0E9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3.选择法院范围：被告住所地、合同履行地、合同签订地、原告住所地、标的物所在地等与争议有实际联系的地点的法院</w:t>
      </w:r>
    </w:p>
    <w:p w14:paraId="5CF4C56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4.适用程序：第一审案件</w:t>
      </w:r>
    </w:p>
    <w:p w14:paraId="70CEE99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5.禁止条件：不违反级别管辖和专属管辖的规定</w:t>
      </w:r>
    </w:p>
    <w:p w14:paraId="2F08E5E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五、应诉管辖</w:t>
      </w:r>
    </w:p>
    <w:p w14:paraId="35254BD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当事人未提出管辖异议，并应诉答辩或者提出反诉的，视为受诉人民法院有管辖权，但违反级别管辖和专属管辖规定的除外。（被告提出管辖权异议，或者什么都不做的，不构成应诉管辖）</w:t>
      </w:r>
    </w:p>
    <w:p w14:paraId="07062A72">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p>
    <w:p w14:paraId="1D08703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【考点6：裁定管辖】</w:t>
      </w:r>
    </w:p>
    <w:p w14:paraId="513A6CA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一、移送管辖</w:t>
      </w:r>
    </w:p>
    <w:p w14:paraId="1356294F">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294D688E">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1．法院已受理案件；</w:t>
      </w:r>
    </w:p>
    <w:p w14:paraId="1E75E954">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2．移送的法院对案件没有管辖权；</w:t>
      </w:r>
    </w:p>
    <w:p w14:paraId="0DE6ED17">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3．受移送的法院对案件有管辖权。</w:t>
      </w:r>
    </w:p>
    <w:p w14:paraId="7B901851">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（二）不适用移送管辖的情形</w:t>
      </w:r>
    </w:p>
    <w:p w14:paraId="34FEC549">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1．受移送法院不得再移送案件（移送管辖只能移送一次）</w:t>
      </w:r>
    </w:p>
    <w:p w14:paraId="34AF2B40">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2．两个以上法院都有管辖权的诉讼，先立案的法院不得将案件移送给另一个有管辖权的法院（先立案的法院管辖权优先）</w:t>
      </w:r>
    </w:p>
    <w:p w14:paraId="11556928">
      <w:pPr>
        <w:keepNext w:val="0"/>
        <w:keepLines w:val="0"/>
        <w:pageBreakBefore w:val="0"/>
        <w:widowControl w:val="0"/>
        <w:kinsoku/>
        <w:wordWrap/>
        <w:overflowPunct/>
        <w:topLinePunct w:val="0"/>
        <w:autoSpaceDE/>
        <w:autoSpaceDN/>
        <w:bidi w:val="0"/>
        <w:adjustRightInd/>
        <w:snapToGrid/>
        <w:spacing w:line="4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3．有管辖权法院受理案件后，不得以确定管辖的因素变化为由移送案件（管辖恒定原则）</w:t>
      </w:r>
    </w:p>
    <w:p w14:paraId="034A90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4"/>
          <w:szCs w:val="24"/>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3EF7FCC"/>
    <w:rsid w:val="37BBB7CA"/>
    <w:rsid w:val="37F9300F"/>
    <w:rsid w:val="39CD9E08"/>
    <w:rsid w:val="3AA211B0"/>
    <w:rsid w:val="3DDD8785"/>
    <w:rsid w:val="3EFF2196"/>
    <w:rsid w:val="3EFFCDE3"/>
    <w:rsid w:val="3F7D6D90"/>
    <w:rsid w:val="3FDF38B5"/>
    <w:rsid w:val="4D7AF3B1"/>
    <w:rsid w:val="4F7E5D39"/>
    <w:rsid w:val="5BF630B3"/>
    <w:rsid w:val="5D1E5E35"/>
    <w:rsid w:val="5D2F548A"/>
    <w:rsid w:val="5D9CC53C"/>
    <w:rsid w:val="5DBFD756"/>
    <w:rsid w:val="5F67BE34"/>
    <w:rsid w:val="5FDFC522"/>
    <w:rsid w:val="63F79634"/>
    <w:rsid w:val="676B1FCF"/>
    <w:rsid w:val="67CF6653"/>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FFD2F7"/>
    <w:rsid w:val="7C7DDD51"/>
    <w:rsid w:val="7D473A11"/>
    <w:rsid w:val="7D7FD33D"/>
    <w:rsid w:val="7DBDD90E"/>
    <w:rsid w:val="7DBFEFAD"/>
    <w:rsid w:val="7DF9200D"/>
    <w:rsid w:val="7E3F6002"/>
    <w:rsid w:val="7EFFC158"/>
    <w:rsid w:val="7F3B9F4C"/>
    <w:rsid w:val="7F3C3286"/>
    <w:rsid w:val="7F695405"/>
    <w:rsid w:val="7F6B748A"/>
    <w:rsid w:val="7FB49696"/>
    <w:rsid w:val="7FBF0F91"/>
    <w:rsid w:val="7FE7235C"/>
    <w:rsid w:val="8ABEE47C"/>
    <w:rsid w:val="ADB00FA3"/>
    <w:rsid w:val="AEAF67DC"/>
    <w:rsid w:val="AECFAD74"/>
    <w:rsid w:val="AEFFF231"/>
    <w:rsid w:val="AF7349BF"/>
    <w:rsid w:val="B1FDE468"/>
    <w:rsid w:val="B3FEA9EF"/>
    <w:rsid w:val="B7FEF551"/>
    <w:rsid w:val="BBD68691"/>
    <w:rsid w:val="BFBCE474"/>
    <w:rsid w:val="BFD7C2A8"/>
    <w:rsid w:val="BFDF5E9D"/>
    <w:rsid w:val="BFFFC478"/>
    <w:rsid w:val="C2FF7057"/>
    <w:rsid w:val="C7F79EC9"/>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6E2A6E"/>
    <w:rsid w:val="F5EEDA60"/>
    <w:rsid w:val="F6DFFC0C"/>
    <w:rsid w:val="F6EE96F6"/>
    <w:rsid w:val="F73F225B"/>
    <w:rsid w:val="FABE4737"/>
    <w:rsid w:val="FBDF91EB"/>
    <w:rsid w:val="FBFF7EF4"/>
    <w:rsid w:val="FD375179"/>
    <w:rsid w:val="FD6C9E97"/>
    <w:rsid w:val="FD6EB3EE"/>
    <w:rsid w:val="FDBDD900"/>
    <w:rsid w:val="FDF59568"/>
    <w:rsid w:val="FEA64923"/>
    <w:rsid w:val="FED769C8"/>
    <w:rsid w:val="FF3362C6"/>
    <w:rsid w:val="FF4DB3CF"/>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42</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2026-02-04T08:22:00Z</dcterms:created>
  <dc:creator>Arthur (Xiao) Dong</dc:creator>
  <cp:lastModifiedBy>Arthur (Xiao）Dong</cp:lastModifiedBy>
  <dcterms:modified xsi:type="dcterms:W3CDTF">2026-03-20T22:47:53Z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