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民法第十二讲课堂笔记（考点23-29）</w:t>
      </w:r>
    </w:p>
    <w:p w14:paraId="09F2BD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【考点23:合同的解除】</w:t>
      </w:r>
    </w:p>
    <w:p w14:paraId="22AF2F4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三、解除权的除斥期间</w:t>
      </w:r>
    </w:p>
    <w:p w14:paraId="4929FC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1.</w:t>
      </w:r>
      <w:r>
        <w:rPr>
          <w:rFonts w:hint="default" w:ascii="Times New Roman Regular" w:hAnsi="Times New Roman Regular" w:cs="Times New Roman Regular"/>
          <w:b w:val="0"/>
          <w:bCs w:val="0"/>
          <w:sz w:val="22"/>
          <w:szCs w:val="22"/>
          <w:lang w:val="en-US" w:eastAsia="zh-CN"/>
        </w:rPr>
        <w:t>法律规定或者当事人约定解除权行使期限</w:t>
      </w:r>
      <w:r>
        <w:rPr>
          <w:rFonts w:hint="eastAsia" w:ascii="Times New Roman Regular" w:hAnsi="Times New Roman Regular" w:cs="Times New Roman Regular"/>
          <w:b w:val="0"/>
          <w:bCs w:val="0"/>
          <w:sz w:val="22"/>
          <w:szCs w:val="22"/>
          <w:lang w:val="en-US" w:eastAsia="zh-CN"/>
        </w:rPr>
        <w:t>的，</w:t>
      </w:r>
      <w:r>
        <w:rPr>
          <w:rFonts w:hint="default" w:ascii="Times New Roman Regular" w:hAnsi="Times New Roman Regular" w:cs="Times New Roman Regular"/>
          <w:b w:val="0"/>
          <w:bCs w:val="0"/>
          <w:sz w:val="22"/>
          <w:szCs w:val="22"/>
          <w:lang w:val="en-US" w:eastAsia="zh-CN"/>
        </w:rPr>
        <w:t>该行使期间即为除斥期间</w:t>
      </w:r>
    </w:p>
    <w:p w14:paraId="3F171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2.</w:t>
      </w:r>
      <w:r>
        <w:rPr>
          <w:rFonts w:hint="default" w:ascii="Times New Roman Regular" w:hAnsi="Times New Roman Regular" w:cs="Times New Roman Regular"/>
          <w:b w:val="0"/>
          <w:bCs w:val="0"/>
          <w:sz w:val="22"/>
          <w:szCs w:val="22"/>
          <w:lang w:val="en-US" w:eastAsia="zh-CN"/>
        </w:rPr>
        <w:t>法律没有规定或者当事人没有约定解除权行使期限，但对方催告</w:t>
      </w:r>
      <w:r>
        <w:rPr>
          <w:rFonts w:hint="eastAsia" w:ascii="Times New Roman Regular" w:hAnsi="Times New Roman Regular" w:cs="Times New Roman Regular"/>
          <w:b w:val="0"/>
          <w:bCs w:val="0"/>
          <w:sz w:val="22"/>
          <w:szCs w:val="22"/>
          <w:lang w:val="en-US" w:eastAsia="zh-CN"/>
        </w:rPr>
        <w:t>的，除斥期间为</w:t>
      </w:r>
      <w:r>
        <w:rPr>
          <w:rFonts w:hint="default" w:ascii="Times New Roman Regular" w:hAnsi="Times New Roman Regular" w:cs="Times New Roman Regular"/>
          <w:b w:val="0"/>
          <w:bCs w:val="0"/>
          <w:sz w:val="22"/>
          <w:szCs w:val="22"/>
          <w:lang w:val="en-US" w:eastAsia="zh-CN"/>
        </w:rPr>
        <w:t>催告后的合理期限</w:t>
      </w:r>
    </w:p>
    <w:p w14:paraId="1F262D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3.</w:t>
      </w:r>
      <w:r>
        <w:rPr>
          <w:rFonts w:hint="default" w:ascii="Times New Roman Regular" w:hAnsi="Times New Roman Regular" w:cs="Times New Roman Regular"/>
          <w:b w:val="0"/>
          <w:bCs w:val="0"/>
          <w:sz w:val="22"/>
          <w:szCs w:val="22"/>
          <w:lang w:val="en-US" w:eastAsia="zh-CN"/>
        </w:rPr>
        <w:t>法律没有规定或者当事人没有约定解除权行使期限，且对方未催告</w:t>
      </w:r>
      <w:r>
        <w:rPr>
          <w:rFonts w:hint="eastAsia" w:ascii="Times New Roman Regular" w:hAnsi="Times New Roman Regular" w:cs="Times New Roman Regular"/>
          <w:b w:val="0"/>
          <w:bCs w:val="0"/>
          <w:sz w:val="22"/>
          <w:szCs w:val="22"/>
          <w:lang w:val="en-US" w:eastAsia="zh-CN"/>
        </w:rPr>
        <w:t>的，除斥期间为</w:t>
      </w:r>
      <w:r>
        <w:rPr>
          <w:rFonts w:hint="default" w:ascii="Times New Roman Regular" w:hAnsi="Times New Roman Regular" w:cs="Times New Roman Regular"/>
          <w:b w:val="0"/>
          <w:bCs w:val="0"/>
          <w:sz w:val="22"/>
          <w:szCs w:val="22"/>
          <w:lang w:val="en-US" w:eastAsia="zh-CN"/>
        </w:rPr>
        <w:t>解除权人知道或者应当知道解除事由之日起1年</w:t>
      </w:r>
    </w:p>
    <w:p w14:paraId="77E9F4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四、解除权的行使</w:t>
      </w:r>
    </w:p>
    <w:p w14:paraId="5E50A8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（一）以解除通知的方式行使</w:t>
      </w:r>
    </w:p>
    <w:p w14:paraId="763CC9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（二）以诉讼的方式行使</w:t>
      </w:r>
    </w:p>
    <w:p w14:paraId="11C561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当事人一方未通知对方，直接以提起诉讼或者申请仲裁的方式依法主张解除合同，人民法院或者仲裁机构确认该主张的，合同自起诉状副本或者仲裁申请书副本送达对方时解除。</w:t>
      </w:r>
    </w:p>
    <w:p w14:paraId="4862E6D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lang w:val="en-US" w:eastAsia="zh-CN"/>
        </w:rPr>
      </w:pP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【考点24:违约责任】</w:t>
      </w:r>
    </w:p>
    <w:p w14:paraId="46C4ED0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一、不同违约形态下的违约责任的总结</w:t>
      </w:r>
    </w:p>
    <w:p w14:paraId="72FE22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不能履行：（1）不得主张继续履行；（2）违约方须承担赔偿损失的责任。如果当事人约定了违约金或定金条款，则非违约方可以主张违约金或定金罚则。如果不能履行是不可抗力导致的，违约方则无须承担赔偿责任；（3）因不可抗力致使不能履行，双方当事人都有权解除合同。如果是违约方的原因导致不能履行，致使合同目的无法实现，违约方有权请求法院或仲裁机构终止合同。</w:t>
      </w:r>
    </w:p>
    <w:p w14:paraId="197DC6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2．拒绝履行：（1）非违约方有权请求继续履行；（2）非违约方有权解除合同，并主张违约损害赔偿。</w:t>
      </w:r>
    </w:p>
    <w:p w14:paraId="7660DB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迟延履行：（1）非违约方有权请求继续履行，同时主张迟延履行的损害赔偿；（2）经催告，在合理期限内仍未履行，非违约方有权解除合同，并主张违约损害赔偿；（3）如果当事人约定了违约金与定金，则非违约方可以主张违约金或适用定金罚则。</w:t>
      </w:r>
    </w:p>
    <w:p w14:paraId="224320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不完全履行：（1）非违约方有权请求继续履行（修理、更换、重作）；（2）非违约方有权请求减价；（3）如果存在其他人身、财产损害，非违约方有权请求违约损害赔偿；（4）如果当事人约定了违约金与定金，非违约方可以主张违约金或适用定金罚则；（5）不完全履行致使不能实现合同目的时，非违约方有权解除合同，并主张违约责任。</w:t>
      </w:r>
    </w:p>
    <w:p w14:paraId="67198B4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【《民法典》第585条第2款】</w:t>
      </w:r>
      <w:r>
        <w:rPr>
          <w:rFonts w:hint="eastAsia" w:ascii="Times New Roman Regular" w:hAnsi="Times New Roman Regular" w:cs="Times New Roman Regular"/>
          <w:sz w:val="22"/>
          <w:szCs w:val="22"/>
          <w:u w:val="none"/>
          <w:lang w:val="en-US" w:eastAsia="zh-CN"/>
        </w:rPr>
        <w:t xml:space="preserve"> 约定的违约金低于造成的损失的，人民法院或者仲裁机构可以根据当事人的请求予以增加；约定的违约金过分高于造成的损失的，人民法院或者仲裁机构可以根据当事人的请求予以适当减少。</w:t>
      </w:r>
    </w:p>
    <w:p w14:paraId="62BF86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6BEC70F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【考点25:买卖合同】</w:t>
      </w:r>
    </w:p>
    <w:p w14:paraId="4B7059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一、买卖合同的风险负担</w:t>
      </w:r>
    </w:p>
    <w:p w14:paraId="60E4A8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1．基本规则：以交付作为风险转移的界限（也适用于不动产）</w:t>
      </w:r>
    </w:p>
    <w:p w14:paraId="2808CD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2．特别规则</w:t>
      </w:r>
    </w:p>
    <w:p w14:paraId="2019BB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民法典》第605条：买受人受领迟延的，自受领迟延之时起，由买方承担风险。买受人受领迟延，须是买受人无正当理由不及时受领；如标的物质量不合格导致不能实现合同目的，则买受人可拒收或解除合同，此时仍由出卖人承担毁损灭失的风险。</w:t>
      </w:r>
    </w:p>
    <w:p w14:paraId="34487C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（2）《民法典》第606条：在途货物（承运人运输）买卖的，自买卖合同成立时转移风险（须无交付地之约定）。</w:t>
      </w:r>
    </w:p>
    <w:p w14:paraId="264E0B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二、分期付款买卖</w:t>
      </w:r>
    </w:p>
    <w:p w14:paraId="08AF4D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买受人未支付价款达到总价的1/5+催告+合理期限内仍不支付=出卖人有权解除合同</w:t>
      </w:r>
    </w:p>
    <w:p w14:paraId="603AB8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三、所有权保留买卖</w:t>
      </w:r>
    </w:p>
    <w:p w14:paraId="052880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（一）性质：非典型担保</w:t>
      </w:r>
    </w:p>
    <w:p w14:paraId="006876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（二）登记对抗：未经登记不得对抗善意第三人，包括取得占有的标的物善意买受人、移转占有的善意承租人等</w:t>
      </w:r>
    </w:p>
    <w:p w14:paraId="627BFC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（三）出卖人的取回权</w:t>
      </w:r>
    </w:p>
    <w:p w14:paraId="69AAD30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1.行使前提</w:t>
      </w:r>
    </w:p>
    <w:p w14:paraId="21C3B0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（1）未按约付款+催告+合理期限内仍未支付</w:t>
      </w:r>
    </w:p>
    <w:p w14:paraId="5F818D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（2）未按约完成特定条件</w:t>
      </w:r>
    </w:p>
    <w:p w14:paraId="131491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（3）将标的物出卖、出质或者作出其他不当处分</w:t>
      </w:r>
    </w:p>
    <w:p w14:paraId="07FAE9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2．取回权的排除</w:t>
      </w:r>
    </w:p>
    <w:p w14:paraId="4730C2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（1）已经付款75%以上</w:t>
      </w:r>
    </w:p>
    <w:p w14:paraId="5C20FF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（2）第三人已善意取得</w:t>
      </w:r>
    </w:p>
    <w:p w14:paraId="7AEBE5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p>
    <w:p w14:paraId="2A6D8B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【考点26:赠与合同】</w:t>
      </w:r>
    </w:p>
    <w:p w14:paraId="1691EC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一、赠与人的任意撤销权</w:t>
      </w:r>
    </w:p>
    <w:p w14:paraId="4D6241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（一）行使时间：在赠与财产的权利转移之前</w:t>
      </w:r>
    </w:p>
    <w:p w14:paraId="2B94462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（二）不得任意撤销的情形</w:t>
      </w:r>
    </w:p>
    <w:p w14:paraId="29AEB4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1.经过公证的赠与合同</w:t>
      </w:r>
    </w:p>
    <w:p w14:paraId="2E4F35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2.具有公益、道德义务性质的赠与合同，如救灾、扶贫等</w:t>
      </w:r>
    </w:p>
    <w:p w14:paraId="2782D0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【注意】即使不能撤销，赠与人仍然可以主张穷困抗辩权</w:t>
      </w:r>
    </w:p>
    <w:p w14:paraId="3651C93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【《民法典》第666条（穷困抗辩权）】</w:t>
      </w:r>
      <w:r>
        <w:rPr>
          <w:rFonts w:hint="eastAsia" w:ascii="Times New Roman Regular" w:hAnsi="Times New Roman Regular" w:cs="Times New Roman Regular"/>
          <w:sz w:val="22"/>
          <w:szCs w:val="22"/>
          <w:u w:val="none"/>
          <w:lang w:val="en-US" w:eastAsia="zh-CN"/>
        </w:rPr>
        <w:t xml:space="preserve"> 赠与人的经济状况显著恶化，严重影响其生产经营或者家庭生活的，可以不再履行赠与义务。</w:t>
      </w:r>
    </w:p>
    <w:p w14:paraId="2DACCC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二、赠与人的法定撤销权</w:t>
      </w:r>
    </w:p>
    <w:p w14:paraId="76B568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（一）适用条件</w:t>
      </w:r>
    </w:p>
    <w:p w14:paraId="641D55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1．严重侵害赠与人或其近亲属</w:t>
      </w:r>
    </w:p>
    <w:p w14:paraId="77CB8C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2．不抚养赠与人</w:t>
      </w:r>
    </w:p>
    <w:p w14:paraId="7049FA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3．不履行赠与合同中的义务</w:t>
      </w:r>
    </w:p>
    <w:p w14:paraId="5027CB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（二）除斥期间</w:t>
      </w:r>
    </w:p>
    <w:p w14:paraId="0E49B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1．赠与人——自知道或应当知道撤销事由之日起1年内</w:t>
      </w:r>
    </w:p>
    <w:p w14:paraId="03020F6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2．赠与人的继承人或法定代理人——自知道或应当知道撤销事由之日起6个月内</w:t>
      </w:r>
    </w:p>
    <w:p w14:paraId="7FAC69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5FF5EB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【考点27:借款合同】</w:t>
      </w:r>
    </w:p>
    <w:p w14:paraId="2ED809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2"/>
          <w:szCs w:val="22"/>
          <w:u w:val="none"/>
          <w:lang w:val="en-US" w:eastAsia="zh-CN"/>
        </w:rPr>
      </w:pPr>
      <w:r>
        <w:rPr>
          <w:rFonts w:hint="eastAsia" w:ascii="Times New Roman Regular" w:hAnsi="Times New Roman Regular" w:cs="Times New Roman Regular"/>
          <w:b w:val="0"/>
          <w:bCs w:val="0"/>
          <w:sz w:val="22"/>
          <w:szCs w:val="22"/>
          <w:u w:val="none"/>
          <w:lang w:val="en-US" w:eastAsia="zh-CN"/>
        </w:rPr>
        <w:t>一、合同的成立</w:t>
      </w:r>
    </w:p>
    <w:p w14:paraId="62F2B9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2"/>
          <w:szCs w:val="22"/>
          <w:u w:val="none"/>
          <w:lang w:val="en-US" w:eastAsia="zh-CN"/>
        </w:rPr>
      </w:pPr>
      <w:r>
        <w:rPr>
          <w:rFonts w:hint="eastAsia" w:ascii="Times New Roman Regular" w:hAnsi="Times New Roman Regular" w:cs="Times New Roman Regular"/>
          <w:b w:val="0"/>
          <w:bCs w:val="0"/>
          <w:sz w:val="22"/>
          <w:szCs w:val="22"/>
          <w:u w:val="none"/>
          <w:lang w:val="en-US" w:eastAsia="zh-CN"/>
        </w:rPr>
        <w:t>自然人之间是实践合同，其他的是诺成合同。</w:t>
      </w:r>
    </w:p>
    <w:p w14:paraId="52B8842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2"/>
          <w:szCs w:val="22"/>
          <w:u w:val="none"/>
          <w:lang w:val="en-US" w:eastAsia="zh-CN"/>
        </w:rPr>
      </w:pPr>
      <w:r>
        <w:rPr>
          <w:rFonts w:hint="eastAsia" w:ascii="Times New Roman Regular" w:hAnsi="Times New Roman Regular" w:cs="Times New Roman Regular"/>
          <w:b w:val="0"/>
          <w:bCs w:val="0"/>
          <w:sz w:val="22"/>
          <w:szCs w:val="22"/>
          <w:u w:val="none"/>
          <w:lang w:val="en-US" w:eastAsia="zh-CN"/>
        </w:rPr>
        <w:t>二、利息管制</w:t>
      </w:r>
    </w:p>
    <w:p w14:paraId="68D7CD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r>
        <w:rPr>
          <w:rFonts w:hint="default" w:ascii="Times New Roman Regular" w:hAnsi="Times New Roman Regular" w:cs="Times New Roman Regular"/>
          <w:b w:val="0"/>
          <w:bCs w:val="0"/>
          <w:sz w:val="22"/>
          <w:szCs w:val="22"/>
          <w:u w:val="none"/>
          <w:lang w:val="en-US" w:eastAsia="zh-CN"/>
        </w:rPr>
        <w:t>约定的利息不得超过合同成立时LPR的4倍，超过部分无效</w:t>
      </w:r>
    </w:p>
    <w:p w14:paraId="407317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p>
    <w:p w14:paraId="78A0B87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【考点28：租赁合同】</w:t>
      </w:r>
    </w:p>
    <w:p w14:paraId="0C3167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一、承租人的优先购买权</w:t>
      </w:r>
    </w:p>
    <w:p w14:paraId="66FD50E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1．《民法典》仅在房屋租赁中规定了承租人的优先购买权，其他物的租赁无此权利设计。</w:t>
      </w:r>
    </w:p>
    <w:p w14:paraId="638DA4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出租人侵害承租人优先购买权的，承租人可要求赔偿损失，但出租人与第三人之间买卖合同的效力不受影响（《民法典》第728条）。也就是说，出租人未尊重承租人优先购买权的，该行为仅构成对租赁合同的违反，承租人固然能够据此要求出租人赔偿损失，但不能主张出租人与第三人之间的房屋买卖合同无效。</w:t>
      </w:r>
    </w:p>
    <w:p w14:paraId="3BD7FB3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承租人不得主张优先购买权的情形：（1）房屋共有人行使优先购买权的；（2）出租人将房屋出卖给近亲属的；（3）出租人履行通知义务后，承租人在十五日内未明确表示购买的；（4）出租人委托拍卖出租的房屋并在拍卖五日前通知承租人，承租人未参加拍卖的。</w:t>
      </w:r>
    </w:p>
    <w:p w14:paraId="2D3ACB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二、买卖不破租赁</w:t>
      </w:r>
    </w:p>
    <w:p w14:paraId="7D91FE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1.适用范围：租赁期间租赁物所有权的变动，包括买卖、赠与、出资等</w:t>
      </w:r>
    </w:p>
    <w:p w14:paraId="32698C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2.构成前提：有效的租赁合同+承租人占有租赁物（缺一不可）</w:t>
      </w:r>
    </w:p>
    <w:p w14:paraId="582409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3.法律效果：承租人的租赁权不受影响，租赁合同的权利义务由新所有权人概括承受</w:t>
      </w:r>
    </w:p>
    <w:p w14:paraId="67ABBA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三、转租</w:t>
      </w:r>
    </w:p>
    <w:p w14:paraId="20BE9D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w:t>
      </w:r>
      <w:r>
        <w:rPr>
          <w:rFonts w:hint="default" w:ascii="Times New Roman Regular" w:hAnsi="Times New Roman Regular" w:cs="Times New Roman Regular"/>
          <w:sz w:val="22"/>
          <w:szCs w:val="22"/>
          <w:u w:val="none"/>
          <w:lang w:val="en-US" w:eastAsia="zh-CN"/>
        </w:rPr>
        <w:t>经出租人同意的转租</w:t>
      </w:r>
    </w:p>
    <w:p w14:paraId="6449CB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形成双重租赁关系：原租赁合同与转租合同，各自维持合同相对性</w:t>
      </w:r>
    </w:p>
    <w:p w14:paraId="066122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2.转租期限如超过租赁合同剩余期限，则超过部分对出租人无拘束力</w:t>
      </w:r>
    </w:p>
    <w:p w14:paraId="65737A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3.次承租人享有代为履行权：支付承租人欠付的租金和违约金，出租人无权拒绝</w:t>
      </w:r>
    </w:p>
    <w:p w14:paraId="244B2A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【《民法典》第717条】</w:t>
      </w:r>
      <w:r>
        <w:rPr>
          <w:rFonts w:hint="eastAsia" w:ascii="Times New Roman Regular" w:hAnsi="Times New Roman Regular" w:cs="Times New Roman Regular"/>
          <w:sz w:val="22"/>
          <w:szCs w:val="22"/>
          <w:u w:val="none"/>
          <w:lang w:val="en-US" w:eastAsia="zh-CN"/>
        </w:rPr>
        <w:t xml:space="preserve"> 承租人经出租人同意将租赁物转租给第三人，转租期限超过承租人剩余租赁期限的，超过部分的约定对出租人不具有法律约束力，但是出租人与承租人另有约定的除外。</w:t>
      </w:r>
    </w:p>
    <w:p w14:paraId="4C19F8D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【《民法典》第719条】</w:t>
      </w:r>
      <w:r>
        <w:rPr>
          <w:rFonts w:hint="eastAsia" w:ascii="Times New Roman Regular" w:hAnsi="Times New Roman Regular" w:cs="Times New Roman Regular"/>
          <w:sz w:val="22"/>
          <w:szCs w:val="22"/>
          <w:u w:val="none"/>
          <w:lang w:val="en-US" w:eastAsia="zh-CN"/>
        </w:rPr>
        <w:t xml:space="preserve"> 承租人拖欠租金的，次承租人可以代承租人支付其欠付的租金和违约金，但是转租合同对出租人不具有法律约束力的除外。 次承租人代为支付的租金和违约金，可以充抵次承租人应当向承租人支付的租金；超出其应付的租金数额的，可以向承租人追偿。</w:t>
      </w:r>
    </w:p>
    <w:p w14:paraId="44C87A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出租人的同意</w:t>
      </w:r>
    </w:p>
    <w:p w14:paraId="387026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1．同意的形式：明示或默示</w:t>
      </w:r>
    </w:p>
    <w:p w14:paraId="22C01A4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2．同意的拟制：出租人知道或应知转租事实，但六个月内未提出异议，视为同意转租</w:t>
      </w:r>
    </w:p>
    <w:p w14:paraId="16E489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w:t>
      </w:r>
      <w:r>
        <w:rPr>
          <w:rFonts w:hint="default" w:ascii="Times New Roman Regular" w:hAnsi="Times New Roman Regular" w:cs="Times New Roman Regular"/>
          <w:sz w:val="22"/>
          <w:szCs w:val="22"/>
          <w:u w:val="none"/>
          <w:lang w:val="en-US" w:eastAsia="zh-CN"/>
        </w:rPr>
        <w:t>未经出租人同意的转租</w:t>
      </w:r>
    </w:p>
    <w:p w14:paraId="2072D4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1．转租合同有效</w:t>
      </w:r>
    </w:p>
    <w:p w14:paraId="23EC523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2．出租人可以解除合同+请求次承租人返还租赁物</w:t>
      </w:r>
    </w:p>
    <w:p w14:paraId="132605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3．次承租人不享有代为履行权</w:t>
      </w:r>
    </w:p>
    <w:p w14:paraId="2678024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p>
    <w:p w14:paraId="7D4739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【考点29:承揽合同与建设工程合同】</w:t>
      </w:r>
    </w:p>
    <w:p w14:paraId="447ABB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2"/>
          <w:szCs w:val="22"/>
          <w:u w:val="none"/>
          <w:lang w:val="en-US" w:eastAsia="zh-CN"/>
        </w:rPr>
      </w:pPr>
      <w:r>
        <w:rPr>
          <w:rFonts w:hint="eastAsia" w:ascii="Times New Roman Regular" w:hAnsi="Times New Roman Regular" w:cs="Times New Roman Regular"/>
          <w:b w:val="0"/>
          <w:bCs w:val="0"/>
          <w:sz w:val="22"/>
          <w:szCs w:val="22"/>
          <w:u w:val="none"/>
          <w:lang w:val="en-US" w:eastAsia="zh-CN"/>
        </w:rPr>
        <w:t>一、建设工程施工合同无效的后果</w:t>
      </w:r>
    </w:p>
    <w:p w14:paraId="794081B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r>
        <w:rPr>
          <w:rFonts w:hint="default" w:ascii="Times New Roman Regular" w:hAnsi="Times New Roman Regular" w:cs="Times New Roman Regular"/>
          <w:b w:val="0"/>
          <w:bCs w:val="0"/>
          <w:sz w:val="22"/>
          <w:szCs w:val="22"/>
          <w:u w:val="none"/>
          <w:lang w:val="en-US" w:eastAsia="zh-CN"/>
        </w:rPr>
        <w:t>1．建设工程施工合同无效，但建设工程经竣工验收合格，承包人可请求参照合同约定支付工程价款；</w:t>
      </w:r>
    </w:p>
    <w:p w14:paraId="2B175C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r>
        <w:rPr>
          <w:rFonts w:hint="default" w:ascii="Times New Roman Regular" w:hAnsi="Times New Roman Regular" w:cs="Times New Roman Regular"/>
          <w:b w:val="0"/>
          <w:bCs w:val="0"/>
          <w:sz w:val="22"/>
          <w:szCs w:val="22"/>
          <w:u w:val="none"/>
          <w:lang w:val="en-US" w:eastAsia="zh-CN"/>
        </w:rPr>
        <w:t>2．建设工程施工合同无效，且建设工程经竣工验收不合格的，按照以下情形分别处理：（1）修复后的建设工程经竣工验收合格，发包人可请求承包人承担修复费用；（2）修复后的建设工程经竣工验收不合格，承包人不得请求支付工程价款。</w:t>
      </w:r>
    </w:p>
    <w:p w14:paraId="2560D4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r>
        <w:rPr>
          <w:rFonts w:hint="default" w:ascii="Times New Roman Regular" w:hAnsi="Times New Roman Regular" w:cs="Times New Roman Regular"/>
          <w:b w:val="0"/>
          <w:bCs w:val="0"/>
          <w:sz w:val="22"/>
          <w:szCs w:val="22"/>
          <w:u w:val="none"/>
          <w:lang w:val="en-US" w:eastAsia="zh-CN"/>
        </w:rPr>
        <w:t>另外，尽管相关法律与司法解释规定承包人欠缺相应资质是导致建设工程施工合同无效的原因，但根据《建设工程施工合同解释一》第7条的规定，发包人可要求借用资质的承包人与出借资质的一方承担连带责任。</w:t>
      </w:r>
    </w:p>
    <w:p w14:paraId="7EB023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2"/>
          <w:szCs w:val="22"/>
          <w:u w:val="none"/>
          <w:lang w:val="en-US" w:eastAsia="zh-CN"/>
        </w:rPr>
      </w:pPr>
      <w:r>
        <w:rPr>
          <w:rFonts w:hint="eastAsia" w:ascii="Times New Roman Regular" w:hAnsi="Times New Roman Regular" w:cs="Times New Roman Regular"/>
          <w:b w:val="0"/>
          <w:bCs w:val="0"/>
          <w:sz w:val="22"/>
          <w:szCs w:val="22"/>
          <w:u w:val="none"/>
          <w:lang w:val="en-US" w:eastAsia="zh-CN"/>
        </w:rPr>
        <w:t>二、建设工程价款优先受偿权</w:t>
      </w:r>
    </w:p>
    <w:p w14:paraId="0E6F1A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w:t>
      </w:r>
      <w:r>
        <w:rPr>
          <w:rFonts w:hint="default" w:ascii="Times New Roman Regular" w:hAnsi="Times New Roman Regular" w:cs="Times New Roman Regular"/>
          <w:sz w:val="22"/>
          <w:szCs w:val="22"/>
          <w:u w:val="none"/>
          <w:lang w:val="en-US" w:eastAsia="zh-CN"/>
        </w:rPr>
        <w:t>权利性质</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法定担保物权</w:t>
      </w:r>
    </w:p>
    <w:p w14:paraId="373CAB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构成要件</w:t>
      </w:r>
    </w:p>
    <w:p w14:paraId="604CF9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1．发包人迟延履行工程款</w:t>
      </w:r>
    </w:p>
    <w:p w14:paraId="32CC8B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2．经承包人催告后，发包人在合理期限内仍不支付</w:t>
      </w:r>
    </w:p>
    <w:p w14:paraId="030F1D6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【注意】工程款优先受偿权不以工程竣工为前提，但工程质量须合格</w:t>
      </w:r>
    </w:p>
    <w:p w14:paraId="6C15C2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w:t>
      </w:r>
      <w:r>
        <w:rPr>
          <w:rFonts w:hint="default" w:ascii="Times New Roman Regular" w:hAnsi="Times New Roman Regular" w:cs="Times New Roman Regular"/>
          <w:sz w:val="22"/>
          <w:szCs w:val="22"/>
          <w:u w:val="none"/>
          <w:lang w:val="en-US" w:eastAsia="zh-CN"/>
        </w:rPr>
        <w:t>权利主体</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与发包人订立建设工程施工合同的承包人，不包括分包人与实际施工人</w:t>
      </w:r>
    </w:p>
    <w:p w14:paraId="137996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（四）</w:t>
      </w:r>
      <w:r>
        <w:rPr>
          <w:rFonts w:hint="default" w:ascii="Times New Roman Regular" w:hAnsi="Times New Roman Regular" w:cs="Times New Roman Regular"/>
          <w:sz w:val="22"/>
          <w:szCs w:val="22"/>
          <w:u w:val="none"/>
          <w:lang w:val="en-US" w:eastAsia="zh-CN"/>
        </w:rPr>
        <w:t>权利顺位</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优先于抵押权和其他债权</w:t>
      </w:r>
    </w:p>
    <w:p w14:paraId="0986FA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【《建设工程施工合同解释一》第43条】</w:t>
      </w:r>
      <w:r>
        <w:rPr>
          <w:rFonts w:hint="eastAsia" w:ascii="Times New Roman Regular" w:hAnsi="Times New Roman Regular" w:cs="Times New Roman Regular"/>
          <w:sz w:val="22"/>
          <w:szCs w:val="22"/>
          <w:u w:val="none"/>
          <w:lang w:val="en-US" w:eastAsia="zh-CN"/>
        </w:rPr>
        <w:t xml:space="preserve"> 实际施工人以转包人、违法分包人为被告起诉的，人民法院应当依法受理。实际施工人以发包人为被告主张权利的，人民法院应当追加转包人或者违法分包人为本案第三人，在查明发包人欠付转包人或者违法分包人建设工程价款的数额后，判决发包人在欠付建设工程价款范围内对实际施工人承担责任。</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一简">
    <w:altName w:val="华文宋体"/>
    <w:panose1 w:val="02010609000101010101"/>
    <w:charset w:val="86"/>
    <w:family w:val="modern"/>
    <w:pitch w:val="default"/>
    <w:sig w:usb0="00000000" w:usb1="00000000" w:usb2="00000012"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0DBF2014"/>
    <w:rsid w:val="12BF9B94"/>
    <w:rsid w:val="13EF1752"/>
    <w:rsid w:val="16EFD392"/>
    <w:rsid w:val="177DA370"/>
    <w:rsid w:val="17DFFA75"/>
    <w:rsid w:val="18BFC09B"/>
    <w:rsid w:val="1BEF9C01"/>
    <w:rsid w:val="1FFDE82A"/>
    <w:rsid w:val="25E4E361"/>
    <w:rsid w:val="27FD29FB"/>
    <w:rsid w:val="359FC75B"/>
    <w:rsid w:val="37F9300F"/>
    <w:rsid w:val="39CD9E08"/>
    <w:rsid w:val="3AA211B0"/>
    <w:rsid w:val="3DDD8785"/>
    <w:rsid w:val="3E75B619"/>
    <w:rsid w:val="3EFF2196"/>
    <w:rsid w:val="3EFFCDE3"/>
    <w:rsid w:val="3F7D6D90"/>
    <w:rsid w:val="3FDF38B5"/>
    <w:rsid w:val="4F7E5D39"/>
    <w:rsid w:val="4FEDF94C"/>
    <w:rsid w:val="5BF630B3"/>
    <w:rsid w:val="5D9CC53C"/>
    <w:rsid w:val="5DBFD756"/>
    <w:rsid w:val="5F67BE34"/>
    <w:rsid w:val="5FAF2310"/>
    <w:rsid w:val="5FDFC522"/>
    <w:rsid w:val="5FFF071A"/>
    <w:rsid w:val="63A70245"/>
    <w:rsid w:val="676B1FCF"/>
    <w:rsid w:val="6BEE3C17"/>
    <w:rsid w:val="6CFC5835"/>
    <w:rsid w:val="6EBFFE06"/>
    <w:rsid w:val="6F7FD66B"/>
    <w:rsid w:val="6FC75035"/>
    <w:rsid w:val="6FE9DFA5"/>
    <w:rsid w:val="6FF6B73E"/>
    <w:rsid w:val="6FF7B5C8"/>
    <w:rsid w:val="6FFEDBD3"/>
    <w:rsid w:val="72B16660"/>
    <w:rsid w:val="72FEDFAF"/>
    <w:rsid w:val="74EF0DAF"/>
    <w:rsid w:val="75FFDC8C"/>
    <w:rsid w:val="76576194"/>
    <w:rsid w:val="77FB9168"/>
    <w:rsid w:val="78EF9EFA"/>
    <w:rsid w:val="78FF9F1C"/>
    <w:rsid w:val="79B72732"/>
    <w:rsid w:val="7A8FECFA"/>
    <w:rsid w:val="7B6D3C00"/>
    <w:rsid w:val="7B77E946"/>
    <w:rsid w:val="7BAAF209"/>
    <w:rsid w:val="7BFFD2F7"/>
    <w:rsid w:val="7C7DDD51"/>
    <w:rsid w:val="7D473A11"/>
    <w:rsid w:val="7D7FD33D"/>
    <w:rsid w:val="7DBB3175"/>
    <w:rsid w:val="7DBDD90E"/>
    <w:rsid w:val="7DBFEFAD"/>
    <w:rsid w:val="7DF9200D"/>
    <w:rsid w:val="7E3F6002"/>
    <w:rsid w:val="7EFE55F9"/>
    <w:rsid w:val="7EFFC158"/>
    <w:rsid w:val="7F3B9F4C"/>
    <w:rsid w:val="7F695405"/>
    <w:rsid w:val="7F6B748A"/>
    <w:rsid w:val="7FBF0F91"/>
    <w:rsid w:val="7FE7235C"/>
    <w:rsid w:val="8ABEE47C"/>
    <w:rsid w:val="AEAF67DC"/>
    <w:rsid w:val="AECFAD74"/>
    <w:rsid w:val="AEFFF231"/>
    <w:rsid w:val="AF7349BF"/>
    <w:rsid w:val="B3FEA9EF"/>
    <w:rsid w:val="B7FEF551"/>
    <w:rsid w:val="BBD68691"/>
    <w:rsid w:val="BFD7C2A8"/>
    <w:rsid w:val="BFDF5E9D"/>
    <w:rsid w:val="CB7B94CB"/>
    <w:rsid w:val="CBDA46FA"/>
    <w:rsid w:val="CDF9AD73"/>
    <w:rsid w:val="CEAF22DB"/>
    <w:rsid w:val="CFABA3EB"/>
    <w:rsid w:val="CFBDAEF9"/>
    <w:rsid w:val="CFFF1593"/>
    <w:rsid w:val="D7F8DDAE"/>
    <w:rsid w:val="D99D7B6E"/>
    <w:rsid w:val="DBF64670"/>
    <w:rsid w:val="DDEBEF49"/>
    <w:rsid w:val="DFDD6831"/>
    <w:rsid w:val="E5718167"/>
    <w:rsid w:val="E5DD9418"/>
    <w:rsid w:val="E7BFCB01"/>
    <w:rsid w:val="EA3CD53D"/>
    <w:rsid w:val="EB6E8309"/>
    <w:rsid w:val="EBD730EB"/>
    <w:rsid w:val="EC2D9E1A"/>
    <w:rsid w:val="EECA7655"/>
    <w:rsid w:val="EF06E542"/>
    <w:rsid w:val="EF7FB042"/>
    <w:rsid w:val="EFB7ADF2"/>
    <w:rsid w:val="EFCFFD3A"/>
    <w:rsid w:val="EFDF470A"/>
    <w:rsid w:val="EFDFF3E6"/>
    <w:rsid w:val="EFE712E6"/>
    <w:rsid w:val="EFF7C6A6"/>
    <w:rsid w:val="F0D7EC59"/>
    <w:rsid w:val="F1B927A4"/>
    <w:rsid w:val="F1EBB7FA"/>
    <w:rsid w:val="F3FF92B4"/>
    <w:rsid w:val="F56E2A6E"/>
    <w:rsid w:val="F5EEDA60"/>
    <w:rsid w:val="F6DFFC0C"/>
    <w:rsid w:val="F73F225B"/>
    <w:rsid w:val="FABE4737"/>
    <w:rsid w:val="FADFCD65"/>
    <w:rsid w:val="FB6B4EC6"/>
    <w:rsid w:val="FBCE29C3"/>
    <w:rsid w:val="FBDF91EB"/>
    <w:rsid w:val="FBFF7EF4"/>
    <w:rsid w:val="FD375179"/>
    <w:rsid w:val="FD6C9E97"/>
    <w:rsid w:val="FD6EB3EE"/>
    <w:rsid w:val="FDF59568"/>
    <w:rsid w:val="FEA64923"/>
    <w:rsid w:val="FED769C8"/>
    <w:rsid w:val="FEF31333"/>
    <w:rsid w:val="FF3362C6"/>
    <w:rsid w:val="FF672F36"/>
    <w:rsid w:val="FF6F6FFE"/>
    <w:rsid w:val="FF7BF13D"/>
    <w:rsid w:val="FF943FE1"/>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2026-02-03T00:22:00Z</dcterms:created>
  <dc:creator>Arthur (Xiao) Dong</dc:creator>
  <cp:lastModifiedBy>Arthur (Xiao）Dong</cp:lastModifiedBy>
  <dcterms:modified xsi:type="dcterms:W3CDTF">2026-03-16T23:16:11Z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