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2"/>
          <w:szCs w:val="32"/>
          <w:lang w:val="en-US" w:eastAsia="zh-CN"/>
        </w:rPr>
      </w:pPr>
      <w:r>
        <w:rPr>
          <w:rFonts w:hint="eastAsia"/>
          <w:b/>
          <w:bCs/>
          <w:sz w:val="32"/>
          <w:szCs w:val="32"/>
          <w:lang w:val="en-US" w:eastAsia="zh-CN"/>
        </w:rPr>
        <w:t>民法第十讲课堂笔记（考点18-20</w:t>
      </w:r>
      <w:bookmarkStart w:id="0" w:name="_GoBack"/>
      <w:bookmarkEnd w:id="0"/>
      <w:r>
        <w:rPr>
          <w:rFonts w:hint="eastAsia"/>
          <w:b/>
          <w:bCs/>
          <w:sz w:val="32"/>
          <w:szCs w:val="32"/>
          <w:lang w:val="en-US" w:eastAsia="zh-CN"/>
        </w:rPr>
        <w:t>）</w:t>
      </w:r>
    </w:p>
    <w:p w14:paraId="63F39A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【考点18:双务合同履行抗辩权与情势变更】</w:t>
      </w:r>
    </w:p>
    <w:p w14:paraId="141BA94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一、同时履行抗辩权</w:t>
      </w:r>
    </w:p>
    <w:p w14:paraId="2CD7406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原告起诉履行+被告主张同时履行抗辩权且成立+被告未提反诉：法院作出对待给付判决，即被告在原告履行债务的同时履行自己的债务，并在判决中明确原告申请强制执行的，人民法院应当在原告履行自己的债务后对被告采取强制执行措施</w:t>
      </w:r>
    </w:p>
    <w:p w14:paraId="40B15C2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原告起诉履行+被告主张同时履行抗辩权且成立+被告提反诉：法院作出同时履行判决，即判决双方同时履行自己的债务，并在判决中明确任何一方申请强制执行的，人民法院应当在该当事人履行自己的债务后对对方采取执行行为</w:t>
      </w:r>
    </w:p>
    <w:p w14:paraId="2106A9F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二、先履行抗辩权：行使抗辩权的一方为后履行一方。与同时履行抗辩权的主要区别在于，在程序法上，原告起诉履行，被告主张先履行抗辩权且成立的，法院应驳回诉讼请求，但不影响原告履行债务后另行起诉</w:t>
      </w:r>
    </w:p>
    <w:p w14:paraId="3FC6A11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三、不安抗辩权</w:t>
      </w:r>
    </w:p>
    <w:p w14:paraId="5707167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1．先履行方有权中止履行，但有义务通知对方以便对方提供适当的担保</w:t>
      </w:r>
    </w:p>
    <w:p w14:paraId="57F1F3D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2．对方在合理期限内恢复履行能力或提供适当担保：恢复履行</w:t>
      </w:r>
    </w:p>
    <w:p w14:paraId="0070AA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3．对方在合理期限内未恢复履行能力且未提供适当担保：视为以自己的行为表明不履行主要债务，先履行方可以解除合同并可以请求对方承担违约责任</w:t>
      </w:r>
    </w:p>
    <w:p w14:paraId="5C4965A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四、情势变更</w:t>
      </w:r>
    </w:p>
    <w:p w14:paraId="2E87713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bCs/>
          <w:sz w:val="24"/>
          <w:szCs w:val="24"/>
          <w:lang w:val="en-US" w:eastAsia="zh-CN"/>
        </w:rPr>
        <w:t>【《民法典》第151条 显失公平】</w:t>
      </w:r>
      <w:r>
        <w:rPr>
          <w:rFonts w:hint="eastAsia" w:ascii="Times New Roman Regular" w:hAnsi="Times New Roman Regular" w:cs="Times New Roman Regular"/>
          <w:b w:val="0"/>
          <w:bCs w:val="0"/>
          <w:sz w:val="24"/>
          <w:szCs w:val="24"/>
          <w:lang w:val="en-US" w:eastAsia="zh-CN"/>
        </w:rPr>
        <w:t xml:space="preserve"> 一方利用对方处于危困状态、缺乏判断能力等情形，致使民事法律行为成立时显失公平的，受损害方有权请求人民法院或者仲裁机构予以撤销。</w:t>
      </w:r>
    </w:p>
    <w:p w14:paraId="6CFA9D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（一）规范性质</w:t>
      </w:r>
    </w:p>
    <w:p w14:paraId="21B8615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《民法典》第533条是强制性规定，不能事先约定排除该条的适用，约定排除的条款无效</w:t>
      </w:r>
    </w:p>
    <w:p w14:paraId="2D6AE60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（二）构成要件</w:t>
      </w:r>
    </w:p>
    <w:p w14:paraId="67A13BE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1．发生了情势变更的客观事实</w:t>
      </w:r>
    </w:p>
    <w:p w14:paraId="2045A8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2．情势变更的事实发生于合同成立后，履行完毕前</w:t>
      </w:r>
    </w:p>
    <w:p w14:paraId="62690D4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3．情势变更是缔约时当事人不可预见的</w:t>
      </w:r>
    </w:p>
    <w:p w14:paraId="403917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4．如果继续严守合同会对当事人一方明显不公平</w:t>
      </w:r>
    </w:p>
    <w:p w14:paraId="4D297A3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（三）法律效果</w:t>
      </w:r>
    </w:p>
    <w:p w14:paraId="6633533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1．当事人的诚信协商义务</w:t>
      </w:r>
    </w:p>
    <w:p w14:paraId="006DB0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2．司法变更或司法解除</w:t>
      </w:r>
    </w:p>
    <w:p w14:paraId="5C74247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p>
    <w:p w14:paraId="0A0AE9F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【考点19:债的保全】</w:t>
      </w:r>
    </w:p>
    <w:p w14:paraId="5BAFAFA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一、债权人代位权的构成要件</w:t>
      </w:r>
    </w:p>
    <w:p w14:paraId="57C43AE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1．债务人怠于行使其到期债权及其从权利</w:t>
      </w:r>
    </w:p>
    <w:p w14:paraId="6B86B6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2．债权人的债权、债务人对相对人的债权均合法、到期</w:t>
      </w:r>
    </w:p>
    <w:p w14:paraId="6D86478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3．影响债权人的到期债权实现</w:t>
      </w:r>
    </w:p>
    <w:p w14:paraId="5F0C464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二、债权人代位权的行使</w:t>
      </w:r>
    </w:p>
    <w:p w14:paraId="0F56070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1．诉讼当事人</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债权人</w:t>
      </w:r>
      <w:r>
        <w:rPr>
          <w:rFonts w:hint="eastAsia" w:ascii="Times New Roman Regular" w:hAnsi="Times New Roman Regular" w:cs="Times New Roman Regular"/>
          <w:sz w:val="24"/>
          <w:szCs w:val="24"/>
          <w:u w:val="none"/>
          <w:lang w:val="en-US" w:eastAsia="zh-CN"/>
        </w:rPr>
        <w:t>为</w:t>
      </w:r>
      <w:r>
        <w:rPr>
          <w:rFonts w:hint="default" w:ascii="Times New Roman Regular" w:hAnsi="Times New Roman Regular" w:cs="Times New Roman Regular"/>
          <w:sz w:val="24"/>
          <w:szCs w:val="24"/>
          <w:u w:val="none"/>
          <w:lang w:val="en-US" w:eastAsia="zh-CN"/>
        </w:rPr>
        <w:t>原告</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相对人</w:t>
      </w:r>
      <w:r>
        <w:rPr>
          <w:rFonts w:hint="eastAsia" w:ascii="Times New Roman Regular" w:hAnsi="Times New Roman Regular" w:cs="Times New Roman Regular"/>
          <w:sz w:val="24"/>
          <w:szCs w:val="24"/>
          <w:u w:val="none"/>
          <w:lang w:val="en-US" w:eastAsia="zh-CN"/>
        </w:rPr>
        <w:t>为</w:t>
      </w:r>
      <w:r>
        <w:rPr>
          <w:rFonts w:hint="default" w:ascii="Times New Roman Regular" w:hAnsi="Times New Roman Regular" w:cs="Times New Roman Regular"/>
          <w:sz w:val="24"/>
          <w:szCs w:val="24"/>
          <w:u w:val="none"/>
          <w:lang w:val="en-US" w:eastAsia="zh-CN"/>
        </w:rPr>
        <w:t>被告</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债务人</w:t>
      </w:r>
      <w:r>
        <w:rPr>
          <w:rFonts w:hint="eastAsia" w:ascii="Times New Roman Regular" w:hAnsi="Times New Roman Regular" w:cs="Times New Roman Regular"/>
          <w:sz w:val="24"/>
          <w:szCs w:val="24"/>
          <w:u w:val="none"/>
          <w:lang w:val="en-US" w:eastAsia="zh-CN"/>
        </w:rPr>
        <w:t>为</w:t>
      </w:r>
      <w:r>
        <w:rPr>
          <w:rFonts w:hint="default" w:ascii="Times New Roman Regular" w:hAnsi="Times New Roman Regular" w:cs="Times New Roman Regular"/>
          <w:sz w:val="24"/>
          <w:szCs w:val="24"/>
          <w:u w:val="none"/>
          <w:lang w:val="en-US" w:eastAsia="zh-CN"/>
        </w:rPr>
        <w:t>法院应当追加的无独三</w:t>
      </w:r>
    </w:p>
    <w:p w14:paraId="5935737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2．诉讼管辖</w:t>
      </w:r>
    </w:p>
    <w:p w14:paraId="4B598E7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（1）被告住所地的法院管辖，但专属管辖除外</w:t>
      </w:r>
    </w:p>
    <w:p w14:paraId="3FCCDC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（2）债务人与相对人之间订立管辖协议时无权提出管辖异议</w:t>
      </w:r>
    </w:p>
    <w:p w14:paraId="6A4723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（3）债务人与相对人订立了仲裁协议，原则上无权提出管辖异议，但债务人或相对人在首次开庭前就债务人与相对人之间的债权债务关系申请仲裁的，法院可以中止代位权诉讼</w:t>
      </w:r>
    </w:p>
    <w:p w14:paraId="1B74D8D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3．合并审理</w:t>
      </w:r>
    </w:p>
    <w:p w14:paraId="3219342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（1）多个债权人以债务人的同一相对人为被告提起代位权诉讼，可以合并审理</w:t>
      </w:r>
    </w:p>
    <w:p w14:paraId="6E6F9B9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（2）债权人向人民法院起诉债务人后，又向同一人民法院对债务人的相对人提起代位权诉讼，属于该人民法院管辖的，可以合并审理</w:t>
      </w:r>
    </w:p>
    <w:p w14:paraId="028B3C3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（3）在代位权诉讼中，债务人对超过债权人代位请求数额的债权部分起诉相对人，属于同一人民法院管辖的，可以合并审理</w:t>
      </w:r>
    </w:p>
    <w:p w14:paraId="295F3DA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4．诉讼中的抗辩</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相对人对债务人的抗辩，可以向债权人主张</w:t>
      </w:r>
    </w:p>
    <w:p w14:paraId="5D27EA3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5．裁判方式</w:t>
      </w:r>
    </w:p>
    <w:p w14:paraId="369149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1）代位权成立：支持诉讼请求</w:t>
      </w:r>
    </w:p>
    <w:p w14:paraId="125B612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（2）代位权不成立：驳回诉讼请求，但不影响根据新的事实再次起诉</w:t>
      </w:r>
    </w:p>
    <w:p w14:paraId="2348AF6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6.</w:t>
      </w:r>
      <w:r>
        <w:rPr>
          <w:rFonts w:hint="default" w:ascii="Times New Roman Regular" w:hAnsi="Times New Roman Regular" w:cs="Times New Roman Regular"/>
          <w:sz w:val="24"/>
          <w:szCs w:val="24"/>
          <w:u w:val="none"/>
          <w:lang w:val="en-US" w:eastAsia="zh-CN"/>
        </w:rPr>
        <w:t>行使范围</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以债权人的到期债权为限</w:t>
      </w:r>
    </w:p>
    <w:p w14:paraId="0FAC919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三、债权人代位权行使的法律效果</w:t>
      </w:r>
    </w:p>
    <w:p w14:paraId="06969C6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1．由债务人的相对人向债权人履行义务，债权人接受履行后，债权人与债务人、债务人与相对人之间相应的权利义务终止。</w:t>
      </w:r>
    </w:p>
    <w:p w14:paraId="0ACDACF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2．债权人对债务人的债权、债务人对相对人的债权的诉讼时效均发生中断。</w:t>
      </w:r>
    </w:p>
    <w:p w14:paraId="0F71F2E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3．债权人行使代位权的必要费用，由债务人负担。</w:t>
      </w:r>
    </w:p>
    <w:p w14:paraId="217F3F1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4．相对人对债务人的抗辩，可以向债权人主张。</w:t>
      </w:r>
    </w:p>
    <w:p w14:paraId="5004EE2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四、债权人撤销权的构成要件</w:t>
      </w:r>
    </w:p>
    <w:p w14:paraId="3064FCD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（一）客观要件</w:t>
      </w:r>
    </w:p>
    <w:p w14:paraId="7E9BB44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1．债务人实施债权诈害行为</w:t>
      </w:r>
    </w:p>
    <w:p w14:paraId="7017E9D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（1）无偿的债权诈害行为：放弃债权、放弃债权担保、无偿转让财产、恶意延长到期债权的履行期限</w:t>
      </w:r>
    </w:p>
    <w:p w14:paraId="639FC24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有偿的债权诈害行为：以明显不合理的低价转让财产、以明显不合理的高价受让他人财产、为他人的债务提供担保、以明显不合理的低价或者高价互易财产、以物抵债、设定用益物权、出租或承租财产、知识产权许可使用等</w:t>
      </w:r>
    </w:p>
    <w:p w14:paraId="3A3AE5D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2．影响债权人的债权实现</w:t>
      </w:r>
    </w:p>
    <w:p w14:paraId="462ABA3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3．债务人的诈害行为发生于债权成立之后</w:t>
      </w:r>
    </w:p>
    <w:p w14:paraId="4DE4322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（二）主观要件</w:t>
      </w:r>
    </w:p>
    <w:p w14:paraId="6DEC2B0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1．无偿的债权诈害行为无需主观要件</w:t>
      </w:r>
    </w:p>
    <w:p w14:paraId="34DD10C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2．有偿的债权诈害行为要求债务人的相对人知道或者应当知道债务人的诈害债权行为，以及影响债权实现</w:t>
      </w:r>
    </w:p>
    <w:p w14:paraId="4A09B78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五、债权人撤销权的行使</w:t>
      </w:r>
    </w:p>
    <w:p w14:paraId="75DFD5A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1．诉讼当事人：债权人为原告；债务人和债务人的相对人为共同被告</w:t>
      </w:r>
    </w:p>
    <w:p w14:paraId="356223F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2．诉讼管辖：债务人住所地人民法院管辖</w:t>
      </w:r>
    </w:p>
    <w:p w14:paraId="00025CD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3．合并审理</w:t>
      </w:r>
    </w:p>
    <w:p w14:paraId="57785E1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（1）两个或者两个以上债权人就债务人的同一行为提起撤销权诉讼的，人民法院可以合并审理</w:t>
      </w:r>
    </w:p>
    <w:p w14:paraId="29117B2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（2）债权人向人民法院起诉债务人后，又向同一人民法院对债务人的相对人提起代位权诉讼，属于该人民法院管辖的，可以合并审理</w:t>
      </w:r>
    </w:p>
    <w:p w14:paraId="028A280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4.行使范围</w:t>
      </w:r>
    </w:p>
    <w:p w14:paraId="4B23043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标的可分时，债权人只能在受影响的债权范围内撤销债务人的行为。标的不可分时，债权人可以主张将债务人的行为全部撤销</w:t>
      </w:r>
    </w:p>
    <w:p w14:paraId="08951C4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5.行使期间</w:t>
      </w:r>
    </w:p>
    <w:p w14:paraId="46E6719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（1）主观期间：自债权人知道或应当知道撤销事由之日起1年内行使</w:t>
      </w:r>
    </w:p>
    <w:p w14:paraId="6A7D89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（2）客观期间：自债务人的行为发生之日起5年</w:t>
      </w:r>
    </w:p>
    <w:p w14:paraId="6D0B8AF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b/>
          <w:bCs/>
          <w:sz w:val="24"/>
          <w:szCs w:val="24"/>
          <w:u w:val="none"/>
          <w:lang w:val="en-US" w:eastAsia="zh-CN"/>
        </w:rPr>
        <w:t>【《民法典》第152条】</w:t>
      </w:r>
      <w:r>
        <w:rPr>
          <w:rFonts w:hint="eastAsia" w:ascii="Times New Roman Regular" w:hAnsi="Times New Roman Regular" w:cs="Times New Roman Regular"/>
          <w:sz w:val="24"/>
          <w:szCs w:val="24"/>
          <w:u w:val="none"/>
          <w:lang w:val="en-US" w:eastAsia="zh-CN"/>
        </w:rPr>
        <w:t xml:space="preserve"> 有下列情形之一的，撤销权消灭：（一）当事人自知道或者应当知道撤销事由之日起一年内、重大误解的当事人自知道或者应当知道撤销事由之日起九十日内没有行使撤销权；（二）当事人受胁迫，自胁迫行为终止之日起一年内没有行使撤销权；（三）当事人知道撤销事由后明确表示或者以自己的行为表明放弃撤销权。当事人自民事法律行为发生之日起五年内没有行使撤销权的，撤销权消灭。</w:t>
      </w:r>
    </w:p>
    <w:p w14:paraId="39B9ED8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六、债权人撤销权的法律效果</w:t>
      </w:r>
    </w:p>
    <w:p w14:paraId="3AD2A7D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1．债权诈害行为被撤销，自始无效</w:t>
      </w:r>
    </w:p>
    <w:p w14:paraId="4B65C42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2．债权人有权同时请求债务人的相对人向债务人承担返还财产、折价补偿、履行到期债务等法律后果</w:t>
      </w:r>
    </w:p>
    <w:p w14:paraId="1376B11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682F6D0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【考点20:保证担保、定金】</w:t>
      </w:r>
    </w:p>
    <w:p w14:paraId="5E083E6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一、保证的类型及其认定</w:t>
      </w:r>
    </w:p>
    <w:p w14:paraId="2A10AA1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（一）保证的类型</w:t>
      </w:r>
    </w:p>
    <w:p w14:paraId="761165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1．一般保证：当事人在保证合同中约定，债务人不能履行债务时，由保证人承担保证责任</w:t>
      </w:r>
    </w:p>
    <w:p w14:paraId="083B5F9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2．连带责任保证：当事人在保证合同中约定保证人和债务人对债务承担连带责任</w:t>
      </w:r>
    </w:p>
    <w:p w14:paraId="2E54E5F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（二）保证类型的认定：先看约定，未约定或约定不明的，认定为一般保证</w:t>
      </w:r>
    </w:p>
    <w:p w14:paraId="607F19F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（三）一般保证人的先诉抗辩权</w:t>
      </w:r>
    </w:p>
    <w:p w14:paraId="2922D33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1．债权人未就主合同纠纷提起诉讼或者申请仲裁，仅起诉一般保证人的，人民法院应当驳回起诉</w:t>
      </w:r>
    </w:p>
    <w:p w14:paraId="6538987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一般保证中，债权人一并起诉债务人和保证人的，人民法院可以受理，但是在作出判决时，除有民法典第687条第2款但书规定的情形外，应当在判决书主文中明确，保证人仅对债务人财产依法强制执行后仍不能履行的部分承担保证责任</w:t>
      </w:r>
    </w:p>
    <w:p w14:paraId="131C89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3．债权人未对债务人的财产申请保全，或者保全的债务人的财产足以清偿债务，债权人申请对一般保证人的财产进行保全的，人民法院不予准许</w:t>
      </w:r>
    </w:p>
    <w:p w14:paraId="548BABF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二、保证期间</w:t>
      </w:r>
    </w:p>
    <w:p w14:paraId="71F1AD8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（一）保证期间的计算</w:t>
      </w:r>
    </w:p>
    <w:p w14:paraId="77A37D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1.当事人约定保证期间且约定的保证期间晚于主债务履行期限，按照当事人的约定；</w:t>
      </w:r>
    </w:p>
    <w:p w14:paraId="6C8CCC0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2.当事人约定保证期间，但约定的保证期间早于主债务履行期限，或者与主债务履行期限同时届满，保证期间为履行期限届满之日起6个月；</w:t>
      </w:r>
    </w:p>
    <w:p w14:paraId="72977CE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3.当事人未约定保证期间或者约定不明，但约定了主债务的履行期限，保证期限为履行期限届满之日起6个月；</w:t>
      </w:r>
    </w:p>
    <w:p w14:paraId="37A9915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4.当事人未约定保证期间或者约定不明，且未约定主债务的履行期限或约定不明的，债权人请求债务人履行债务的宽限期届满之日起6个月。</w:t>
      </w:r>
    </w:p>
    <w:p w14:paraId="02A2B62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（二）保证期间和保证债务诉讼时效的衔接</w:t>
      </w:r>
    </w:p>
    <w:p w14:paraId="41AFC4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1.一般保证，且债权人在保证期间届满前对债务人提起诉讼或者申请仲裁，保证债务诉讼时效为先诉抗辩权消灭之日起3年；</w:t>
      </w:r>
    </w:p>
    <w:p w14:paraId="41F9735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2.连带责任保证，且债权人在保证期间届满前请求保证人承担保证责任，保证债务诉讼时效为债权人请求保证人承担保证责任之日起3年。</w:t>
      </w:r>
    </w:p>
    <w:p w14:paraId="752236A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简">
    <w:altName w:val="汉仪中黑KW"/>
    <w:panose1 w:val="02010609000101010101"/>
    <w:charset w:val="86"/>
    <w:family w:val="modern"/>
    <w:pitch w:val="default"/>
    <w:sig w:usb0="00000000" w:usb1="00000000" w:usb2="00000012" w:usb3="00000000" w:csb0="00040000" w:csb1="00000000"/>
  </w:font>
  <w:font w:name="汉仪中黑KW">
    <w:panose1 w:val="00020600040101010101"/>
    <w:charset w:val="86"/>
    <w:family w:val="auto"/>
    <w:pitch w:val="default"/>
    <w:sig w:usb0="A00002BF" w:usb1="18EF7CFA" w:usb2="00000016" w:usb3="00000000" w:csb0="00040000" w:csb1="00000000"/>
  </w:font>
  <w:font w:name="汉仪书宋一简">
    <w:altName w:val="华文宋体"/>
    <w:panose1 w:val="02010609000101010101"/>
    <w:charset w:val="86"/>
    <w:family w:val="modern"/>
    <w:pitch w:val="default"/>
    <w:sig w:usb0="00000000" w:usb1="00000000" w:usb2="00000012" w:usb3="00000000" w:csb0="00040000" w:csb1="00000000"/>
  </w:font>
  <w:font w:name="汉仪粗黑简">
    <w:altName w:val="汉仪中黑KW"/>
    <w:panose1 w:val="02010609000101010101"/>
    <w:charset w:val="86"/>
    <w:family w:val="modern"/>
    <w:pitch w:val="default"/>
    <w:sig w:usb0="00000000" w:usb1="00000000" w:usb2="00000012"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FFDE82A"/>
    <w:rsid w:val="25E4E361"/>
    <w:rsid w:val="37F9300F"/>
    <w:rsid w:val="39CD9E08"/>
    <w:rsid w:val="39EFDD61"/>
    <w:rsid w:val="3AA211B0"/>
    <w:rsid w:val="3BFFD40B"/>
    <w:rsid w:val="3DDD8785"/>
    <w:rsid w:val="3EFF2196"/>
    <w:rsid w:val="3EFFCDE3"/>
    <w:rsid w:val="3F7D6D90"/>
    <w:rsid w:val="3F87BB08"/>
    <w:rsid w:val="3FDF38B5"/>
    <w:rsid w:val="4F7E5D39"/>
    <w:rsid w:val="5BF630B3"/>
    <w:rsid w:val="5D58C7D3"/>
    <w:rsid w:val="5D9CC53C"/>
    <w:rsid w:val="5DBFD756"/>
    <w:rsid w:val="5FDFC522"/>
    <w:rsid w:val="676B1FCF"/>
    <w:rsid w:val="6CFC5835"/>
    <w:rsid w:val="6EBFFE06"/>
    <w:rsid w:val="6F7FD66B"/>
    <w:rsid w:val="6FC75035"/>
    <w:rsid w:val="6FE9DFA5"/>
    <w:rsid w:val="6FF6B73E"/>
    <w:rsid w:val="6FF7B5C8"/>
    <w:rsid w:val="72B16660"/>
    <w:rsid w:val="72FEDFAF"/>
    <w:rsid w:val="73BBBFAE"/>
    <w:rsid w:val="74EF0DAF"/>
    <w:rsid w:val="75FFDC8C"/>
    <w:rsid w:val="76576194"/>
    <w:rsid w:val="78FF9F1C"/>
    <w:rsid w:val="79B72732"/>
    <w:rsid w:val="7A8FECFA"/>
    <w:rsid w:val="7B77E946"/>
    <w:rsid w:val="7BFFD2F7"/>
    <w:rsid w:val="7C7DDD51"/>
    <w:rsid w:val="7D473A11"/>
    <w:rsid w:val="7D7FD33D"/>
    <w:rsid w:val="7DBDD90E"/>
    <w:rsid w:val="7DF9200D"/>
    <w:rsid w:val="7DFBF224"/>
    <w:rsid w:val="7E3F6002"/>
    <w:rsid w:val="7EFFC158"/>
    <w:rsid w:val="7F3B9F4C"/>
    <w:rsid w:val="7F695405"/>
    <w:rsid w:val="7F6B748A"/>
    <w:rsid w:val="7FBF0F91"/>
    <w:rsid w:val="7FE7235C"/>
    <w:rsid w:val="8ABEE47C"/>
    <w:rsid w:val="95DE0F9B"/>
    <w:rsid w:val="AEAF67DC"/>
    <w:rsid w:val="AECFAD74"/>
    <w:rsid w:val="AEFFF231"/>
    <w:rsid w:val="AF7349BF"/>
    <w:rsid w:val="B3FEA9EF"/>
    <w:rsid w:val="B7FEF551"/>
    <w:rsid w:val="BBD68691"/>
    <w:rsid w:val="BFD7C2A8"/>
    <w:rsid w:val="BFDF5E9D"/>
    <w:rsid w:val="CBDA46FA"/>
    <w:rsid w:val="CDF9AD73"/>
    <w:rsid w:val="CEAF22DB"/>
    <w:rsid w:val="CFABA3EB"/>
    <w:rsid w:val="CFBDAEF9"/>
    <w:rsid w:val="CFFE3BB8"/>
    <w:rsid w:val="CFFF1593"/>
    <w:rsid w:val="D7F8DDAE"/>
    <w:rsid w:val="D99D7B6E"/>
    <w:rsid w:val="DBF64670"/>
    <w:rsid w:val="DC6D14CC"/>
    <w:rsid w:val="DFDD6831"/>
    <w:rsid w:val="E5718167"/>
    <w:rsid w:val="E5DD9418"/>
    <w:rsid w:val="E7BFCB01"/>
    <w:rsid w:val="EA3CD53D"/>
    <w:rsid w:val="EB6E8309"/>
    <w:rsid w:val="EBD730EB"/>
    <w:rsid w:val="EC2D9E1A"/>
    <w:rsid w:val="EF06E542"/>
    <w:rsid w:val="EF7FB042"/>
    <w:rsid w:val="EFB7ADF2"/>
    <w:rsid w:val="EFCFFD3A"/>
    <w:rsid w:val="EFDBE36C"/>
    <w:rsid w:val="EFDF470A"/>
    <w:rsid w:val="EFDFF3E6"/>
    <w:rsid w:val="EFE712E6"/>
    <w:rsid w:val="F0D7EC59"/>
    <w:rsid w:val="F1B927A4"/>
    <w:rsid w:val="F5EEDA60"/>
    <w:rsid w:val="F6DFFC0C"/>
    <w:rsid w:val="F73F225B"/>
    <w:rsid w:val="F8CF4A20"/>
    <w:rsid w:val="F935DE58"/>
    <w:rsid w:val="FABE4737"/>
    <w:rsid w:val="FBDF91EB"/>
    <w:rsid w:val="FBFF7EF4"/>
    <w:rsid w:val="FD375179"/>
    <w:rsid w:val="FD6C9E97"/>
    <w:rsid w:val="FD6EB3EE"/>
    <w:rsid w:val="FDF59568"/>
    <w:rsid w:val="FEA64923"/>
    <w:rsid w:val="FED769C8"/>
    <w:rsid w:val="FF3362C6"/>
    <w:rsid w:val="FF6F6FFE"/>
    <w:rsid w:val="FF7BF13D"/>
    <w:rsid w:val="FFBD0F88"/>
    <w:rsid w:val="FFEFF665"/>
    <w:rsid w:val="FFF72BE1"/>
    <w:rsid w:val="FFFBE5A1"/>
    <w:rsid w:val="FFFF3C31"/>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10</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2026-02-02T00:22:00Z</dcterms:created>
  <dc:creator>Arthur (Xiao) Dong</dc:creator>
  <cp:lastModifiedBy>Arthur (Xiao）Dong</cp:lastModifiedBy>
  <dcterms:modified xsi:type="dcterms:W3CDTF">2026-03-15T12:05:48Z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