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sz w:val="36"/>
          <w:szCs w:val="36"/>
          <w:lang w:val="en-US" w:eastAsia="zh-CN"/>
        </w:rPr>
      </w:pPr>
      <w:r>
        <w:rPr>
          <w:rFonts w:hint="eastAsia"/>
          <w:b/>
          <w:bCs/>
          <w:sz w:val="36"/>
          <w:szCs w:val="36"/>
          <w:lang w:val="en-US" w:eastAsia="zh-CN"/>
        </w:rPr>
        <w:t>民法第九讲课堂笔记（考点15-17）</w:t>
      </w:r>
    </w:p>
    <w:p w14:paraId="46CAE8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【考点15：占有】</w:t>
      </w:r>
    </w:p>
    <w:p w14:paraId="4804E7C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val="0"/>
          <w:bCs w:val="0"/>
          <w:sz w:val="24"/>
          <w:szCs w:val="24"/>
          <w:lang w:val="en-US" w:eastAsia="zh-CN"/>
        </w:rPr>
      </w:pPr>
      <w:r>
        <w:rPr>
          <w:rFonts w:hint="eastAsia" w:ascii="Times New Roman Regular" w:hAnsi="Times New Roman Regular" w:cs="Times New Roman Regular"/>
          <w:b w:val="0"/>
          <w:bCs w:val="0"/>
          <w:sz w:val="24"/>
          <w:szCs w:val="24"/>
          <w:lang w:val="en-US" w:eastAsia="zh-CN"/>
        </w:rPr>
        <w:t>一、占有的种类：有权占有和无权占有、直接占有和间接占有、善意占有和恶意占有（属于无权占有的进一步分类）</w:t>
      </w:r>
      <w:bookmarkStart w:id="0" w:name="_GoBack"/>
      <w:bookmarkEnd w:id="0"/>
    </w:p>
    <w:p w14:paraId="3F10400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二、占有的保护</w:t>
      </w:r>
    </w:p>
    <w:p w14:paraId="55F4590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最为重要的是占有物返还请求权（“返还原物”）。关于该项请求权的行使，可作分析说明如下：</w:t>
      </w:r>
    </w:p>
    <w:p w14:paraId="4FF04B9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请求权的主体为占有人。此项请求权，只有占有人能够行使，而只要是占有人，无论其占有为直接占有还是间接占有，为自主占有还是他主占有，为有权占有还是无权占有，为善意占有还是恶意占有，原则上均有权主张此项请求权。</w:t>
      </w:r>
    </w:p>
    <w:p w14:paraId="44F8EA6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此项请求权所针对的是侵夺占有的行为，即违反占有人之意志以积极的不法行为剥夺占有人对占有物之管领力的行为，如窃取行为、抢夺行为等。占有人如因遗失而丧失对占有物的占有，则不得行使此项请求权，因为他人拾得遗失物的行为并非侵夺行为。此时，遗失物所有权人可依据所有权的效力要求拾得人返还原物。</w:t>
      </w:r>
    </w:p>
    <w:p w14:paraId="7B8C975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该请求权应向标的物的现在占有人提出。该请求权以回复对物的占有为其行使的目的，故应向物的现在占有人提出。若侵夺人已将占有移转于第三人，而该第三人知道前占有的瑕疵的，请求权人可向该第三人主张返还。如侵占人死亡，其继承人取得占有的，权利人也可向该继承人要求返还占有。</w:t>
      </w:r>
    </w:p>
    <w:p w14:paraId="68D45F9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4．该请求权应自侵占发生之日起1年内行使，否则请求权即告消灭。</w:t>
      </w:r>
    </w:p>
    <w:p w14:paraId="1A9BBB0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三、占有人和返还请求权人之间的关系</w:t>
      </w:r>
    </w:p>
    <w:p w14:paraId="03C7235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w:t>
      </w:r>
      <w:r>
        <w:rPr>
          <w:rFonts w:hint="default" w:ascii="Times New Roman Regular" w:hAnsi="Times New Roman Regular" w:cs="Times New Roman Regular"/>
          <w:sz w:val="24"/>
          <w:szCs w:val="24"/>
          <w:u w:val="none"/>
          <w:lang w:val="en-US" w:eastAsia="zh-CN"/>
        </w:rPr>
        <w:t>.</w:t>
      </w:r>
      <w:r>
        <w:rPr>
          <w:rFonts w:hint="eastAsia" w:ascii="Times New Roman Regular" w:hAnsi="Times New Roman Regular" w:cs="Times New Roman Regular"/>
          <w:sz w:val="24"/>
          <w:szCs w:val="24"/>
          <w:u w:val="none"/>
          <w:lang w:val="en-US" w:eastAsia="zh-CN"/>
        </w:rPr>
        <w:t>占有物的孳息：根据《民法典》第460条的规定，不动产或者动产被占有人占有的，权利人可以请求返还原物及其孳息。该条关于孳息返还义务的规定，并未区分善意占有与恶意占有，因此，如对该条规范作字面的解释，则即便为善意占有人也必须返还孳息。</w:t>
      </w:r>
    </w:p>
    <w:p w14:paraId="4B8E863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2.对占有物所支出费用的偿还：返还请求权人应当支付善意占有人因维护不动产或者动产支出的必要费用。</w:t>
      </w:r>
    </w:p>
    <w:p w14:paraId="058F030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占有物毁损灭失的赔偿责任：善意占有人仅须向权利人返还因毁损、灭失取得的保险金、赔偿金或者补偿金等，损害未因此得到完全弥补的，善意占有人不负赔偿责任；如果占有为恶意，则占有人不能获得优待，须依侵权法的一般规则，对权利人因物的毁损、灭失所遭受的损害负完全赔偿责任。</w:t>
      </w:r>
    </w:p>
    <w:p w14:paraId="575A447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p>
    <w:p w14:paraId="7A4633B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p>
    <w:p w14:paraId="56B4F06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b/>
          <w:bCs/>
          <w:sz w:val="24"/>
          <w:szCs w:val="24"/>
          <w:lang w:val="en-US" w:eastAsia="zh-CN"/>
        </w:rPr>
      </w:pPr>
      <w:r>
        <w:rPr>
          <w:rFonts w:hint="eastAsia" w:ascii="Times New Roman Regular" w:hAnsi="Times New Roman Regular" w:cs="Times New Roman Regular"/>
          <w:b/>
          <w:bCs/>
          <w:sz w:val="24"/>
          <w:szCs w:val="24"/>
          <w:lang w:val="en-US" w:eastAsia="zh-CN"/>
        </w:rPr>
        <w:t>【考点16:债的概述】</w:t>
      </w:r>
    </w:p>
    <w:p w14:paraId="0879DF4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u w:val="none"/>
          <w:lang w:val="en-US" w:eastAsia="zh-CN"/>
        </w:rPr>
        <w:t>【《民法典合同编通则解释》第4条】</w:t>
      </w:r>
      <w:r>
        <w:rPr>
          <w:rFonts w:hint="eastAsia" w:ascii="Times New Roman Regular" w:hAnsi="Times New Roman Regular" w:cs="Times New Roman Regular"/>
          <w:sz w:val="24"/>
          <w:szCs w:val="24"/>
          <w:u w:val="none"/>
          <w:lang w:val="en-US" w:eastAsia="zh-CN"/>
        </w:rPr>
        <w:t xml:space="preserve"> 采取招标方式订立合同，当事人请求确认合同自中标通知书到达中标人时成立的，人民法院应予支持。合同成立后，当事人拒绝签订书面合同的，人民法院应当依据招标文件、投标文件和中标通知书等确定合同内容。采取现场拍卖、网络拍卖等公开竞价方式订立合同，当事人请求确认合同自拍卖师落槌、电子交易系统确认成交时成立的，人民法院应予支持。合同成立后，当事人拒绝签订成交确认书的，人民法院应当依据拍卖公告、竞买人的报价等确定合同内容。产权交易所等机构主持拍卖、挂牌交易，其公布的拍卖公告、交易规则等文件公开确定了合同成立需要具备的条件，当事人请求确认合同自该条件具备时成立的，人民法院应予支持。</w:t>
      </w:r>
    </w:p>
    <w:p w14:paraId="6867878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一、债的概念</w:t>
      </w:r>
    </w:p>
    <w:p w14:paraId="4100923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（一）债权的效力：受领保持力，请求力，强制执行力，处分力</w:t>
      </w:r>
    </w:p>
    <w:p w14:paraId="6D86EB0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（二）债权的性质：债权具有相对性</w:t>
      </w:r>
    </w:p>
    <w:p w14:paraId="7F7438E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（三）债务的内容：包括真正义务和不真正义务，不真正义务中包括给付义务和附随义务，给付义务包括主给付义务和从给付义务</w:t>
      </w:r>
    </w:p>
    <w:p w14:paraId="06BB171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（四）债的发生原因：包括意定之债和法定之债。意定之债包括合同之债和单方允诺之债，法定之债包括缔约过失、无因管理、不当得利、侵权。</w:t>
      </w:r>
    </w:p>
    <w:p w14:paraId="333552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二、重要的债与合同的类型</w:t>
      </w:r>
    </w:p>
    <w:p w14:paraId="6850600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（一）预约合同与本约合同</w:t>
      </w:r>
    </w:p>
    <w:p w14:paraId="48BB7F5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关于违反预约合同后的违约责任形态，依据《民法典合同编通则解释》第8条，对于预约合同的违约行为，只能采取损害赔偿的违约责任形态，不支持当事人的继续履行主张。</w:t>
      </w:r>
    </w:p>
    <w:p w14:paraId="5FECEED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（二）涉他合同</w:t>
      </w:r>
    </w:p>
    <w:p w14:paraId="22DDC40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包括向第三人履行的合同（利他合同）和由第三人履行的合同。</w:t>
      </w:r>
    </w:p>
    <w:p w14:paraId="50BBD13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（三）按份之债与连带之债</w:t>
      </w:r>
    </w:p>
    <w:p w14:paraId="58435FD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1.按份之债：按照份额享有债权或者履行债务。</w:t>
      </w:r>
    </w:p>
    <w:p w14:paraId="3273A18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例如：</w:t>
      </w:r>
      <w:r>
        <w:rPr>
          <w:rFonts w:hint="eastAsia" w:ascii="Times New Roman Regular" w:hAnsi="Times New Roman Regular" w:cs="Times New Roman Regular"/>
          <w:b/>
          <w:bCs/>
          <w:sz w:val="24"/>
          <w:szCs w:val="24"/>
          <w:u w:val="none"/>
          <w:lang w:val="en-US" w:eastAsia="zh-CN"/>
        </w:rPr>
        <w:t>【《民法典》第1172条】</w:t>
      </w:r>
      <w:r>
        <w:rPr>
          <w:rFonts w:hint="eastAsia" w:ascii="Times New Roman Regular" w:hAnsi="Times New Roman Regular" w:cs="Times New Roman Regular"/>
          <w:sz w:val="24"/>
          <w:szCs w:val="24"/>
          <w:u w:val="none"/>
          <w:lang w:val="en-US" w:eastAsia="zh-CN"/>
        </w:rPr>
        <w:t xml:space="preserve"> 二人以上分别实施侵权行为造成同一损害，能够确定责任大小的，各自承担相应的责任；难以确定责任大小的，平均承担责任。</w:t>
      </w:r>
    </w:p>
    <w:p w14:paraId="46A6766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2.连带之债</w:t>
      </w:r>
    </w:p>
    <w:p w14:paraId="082B134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从外部关系看，债权人可以向任何一个或多个债务人请求履行部分或全部债务，如何实现其债权，由债权人自由选择。</w:t>
      </w:r>
    </w:p>
    <w:p w14:paraId="3B29814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在内部关系层面，各连带债务人之间是按份的，内部的份额比例先看约定，如果没有约定或约定不明，则按份额相同处理（《民法典》第519条第1款）。结合《民法典》第519条第2-3款，连带债务人的内部追偿规则可以总结如下：</w:t>
      </w:r>
    </w:p>
    <w:p w14:paraId="7E70E0E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实际承担债务超出自己份额的连带债务人，有权就超出部分在其他连带债务人未履行的份额范围内向其追偿，并相应地享有债权人的权利，但是不得损害债权人的利益。其他连带债务人对债权人的抗辩，可以向该债务人主张。具体而言，对于超出其份额而履行的部分，发生债权的法定移转，如果债权之上存在担保，则担保也随之移转。</w:t>
      </w:r>
    </w:p>
    <w:p w14:paraId="0C31A03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（2）被追偿的连带债务人不能履行其应分担份额的，其他连带债务人应当在相应范围内按比例分担。</w:t>
      </w:r>
    </w:p>
    <w:p w14:paraId="177EB26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连带债务的绝对效力事项</w:t>
      </w:r>
    </w:p>
    <w:p w14:paraId="3BC25BB9">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对于连带债务，基于债的相对性原理，原则上对于某个连带债务人发生的事项，不应对其他债务人发生效力，但也有例外。以下事项，如果对某个连带债务人发生，也会对其他连带债务人发生效力：（1）清偿、抵销、提存；（2）债务免除</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（3）混同</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（4）债权人受领迟延</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（5）诉讼时效中断。</w:t>
      </w:r>
    </w:p>
    <w:p w14:paraId="03FA3EF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u w:val="none"/>
          <w:lang w:val="en-US" w:eastAsia="zh-CN"/>
        </w:rPr>
        <w:t>【《诉讼时效司法解释》第15条】</w:t>
      </w:r>
      <w:r>
        <w:rPr>
          <w:rFonts w:hint="eastAsia" w:ascii="Times New Roman Regular" w:hAnsi="Times New Roman Regular" w:cs="Times New Roman Regular"/>
          <w:sz w:val="24"/>
          <w:szCs w:val="24"/>
          <w:u w:val="none"/>
          <w:lang w:val="en-US" w:eastAsia="zh-CN"/>
        </w:rPr>
        <w:t xml:space="preserve"> 对于连带债权人中的一人发生诉讼时效中断效力的事由，应当认定对其他连带债权人也发生诉讼时效中断的效力。对于连带债务人中的一人发生诉讼时效中断效力的事由，应当认定对其他连带债务人也发生诉讼时效中断的效力。</w:t>
      </w:r>
    </w:p>
    <w:p w14:paraId="72E73380">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（四）简单之债与选择之债</w:t>
      </w:r>
    </w:p>
    <w:p w14:paraId="7F58837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原则上选择权归债务人，法律另有规定、当事人另有约定或者另有交易习惯的除外。选择权的行使应以通知的方式为之</w:t>
      </w:r>
      <w:r>
        <w:rPr>
          <w:rFonts w:hint="eastAsia" w:ascii="Times New Roman Regular" w:hAnsi="Times New Roman Regular" w:cs="Times New Roman Regular"/>
          <w:sz w:val="24"/>
          <w:szCs w:val="24"/>
          <w:u w:val="none"/>
          <w:lang w:val="en-US" w:eastAsia="zh-CN"/>
        </w:rPr>
        <w:t>，</w:t>
      </w:r>
      <w:r>
        <w:rPr>
          <w:rFonts w:hint="default" w:ascii="Times New Roman Regular" w:hAnsi="Times New Roman Regular" w:cs="Times New Roman Regular"/>
          <w:sz w:val="24"/>
          <w:szCs w:val="24"/>
          <w:u w:val="none"/>
          <w:lang w:val="en-US" w:eastAsia="zh-CN"/>
        </w:rPr>
        <w:t>通知到达对方时，标的确定。给付内容确定后不得变更，但是经对方同意的除外。</w:t>
      </w:r>
    </w:p>
    <w:p w14:paraId="11919BA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如果可选择的给付发生履行不能，享有选择权的当事人不得选择不能履行的给付，但是该不能履行的情形是由对方造成的除外。</w:t>
      </w:r>
    </w:p>
    <w:p w14:paraId="6309B60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如果债务人怠于行使选择权，在约定期限内或者履行期限届满未作选择，经催告后在合理期限内仍未选择，</w:t>
      </w:r>
      <w:r>
        <w:rPr>
          <w:rFonts w:hint="eastAsia" w:ascii="Times New Roman Regular" w:hAnsi="Times New Roman Regular" w:cs="Times New Roman Regular"/>
          <w:sz w:val="24"/>
          <w:szCs w:val="24"/>
          <w:u w:val="none"/>
          <w:lang w:val="en-US" w:eastAsia="zh-CN"/>
        </w:rPr>
        <w:t>则选择权转移至对方。</w:t>
      </w:r>
    </w:p>
    <w:p w14:paraId="07EE018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00A859F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p w14:paraId="1BF135BF">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【考点17：格式条款与缔约过失责任】</w:t>
      </w:r>
    </w:p>
    <w:p w14:paraId="2C8D448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b/>
          <w:bCs/>
          <w:sz w:val="24"/>
          <w:szCs w:val="24"/>
          <w:u w:val="none"/>
          <w:lang w:val="en-US" w:eastAsia="zh-CN"/>
        </w:rPr>
        <w:t>【《民法典》第473条】</w:t>
      </w:r>
      <w:r>
        <w:rPr>
          <w:rFonts w:hint="eastAsia" w:ascii="Times New Roman Regular" w:hAnsi="Times New Roman Regular" w:cs="Times New Roman Regular"/>
          <w:sz w:val="24"/>
          <w:szCs w:val="24"/>
          <w:u w:val="none"/>
          <w:lang w:val="en-US" w:eastAsia="zh-CN"/>
        </w:rPr>
        <w:t xml:space="preserve"> 要约邀请是希望他人向自己发出要约的表示。拍卖公告、招标公告、招股说明书、债券募集办法、基金招募说明书、商业广告和宣传、寄送的价目表等为要约邀请。商业广告和宣传的内容符合要约条件的，构成要约。</w:t>
      </w:r>
    </w:p>
    <w:p w14:paraId="299F69D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一、格式条款的订入</w:t>
      </w:r>
    </w:p>
    <w:p w14:paraId="5A4823B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对于免除或者减轻其责任、排除或者限制对方权利等与对方有重大利害关系的异常条款应当提示说明，否则对方可以主张该条款不成为合同的内容。</w:t>
      </w:r>
    </w:p>
    <w:p w14:paraId="7E684D2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二、格式条款的无效</w:t>
      </w:r>
    </w:p>
    <w:p w14:paraId="5C9F450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1．一般性的民事法律行为无效事由</w:t>
      </w:r>
    </w:p>
    <w:p w14:paraId="2F331E0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2．提供格式条款一方不合理地免除或者减轻其责任、加重对方责任、限制对方主要权利</w:t>
      </w:r>
    </w:p>
    <w:p w14:paraId="555E97F3">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3．提供格式条款一方排除对方主要权利</w:t>
      </w:r>
    </w:p>
    <w:p w14:paraId="0E3152CE">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三、格式条款的解释</w:t>
      </w:r>
    </w:p>
    <w:p w14:paraId="74742575">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1．对格式条款的理解发生争议的，应按照通常理解予以解释</w:t>
      </w:r>
    </w:p>
    <w:p w14:paraId="4C7E0D36">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2．对格式条款有两种以上解释的，应作出不利于提供格式条款一方的解释</w:t>
      </w:r>
    </w:p>
    <w:p w14:paraId="2043F60A">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3．格式条款和非格式条款不一致的，应采用非格式条款</w:t>
      </w:r>
    </w:p>
    <w:p w14:paraId="0C89E092">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四、缔约过失责任</w:t>
      </w:r>
    </w:p>
    <w:p w14:paraId="1904D478">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（一）典型情形</w:t>
      </w:r>
    </w:p>
    <w:p w14:paraId="311CC56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1．假借订立合同，恶意进行磋商</w:t>
      </w:r>
    </w:p>
    <w:p w14:paraId="562872B7">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2．故意隐瞒与订立合同有关的重要事实或者提供虚假情况</w:t>
      </w:r>
    </w:p>
    <w:p w14:paraId="2B0FC34D">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3．泄露或者不正当使用商业秘密</w:t>
      </w:r>
    </w:p>
    <w:p w14:paraId="3F49B35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4．其他违反诚信原则的行为</w:t>
      </w:r>
    </w:p>
    <w:p w14:paraId="7F61DD51">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【注意】合同不成立/无效/被撤销/未被追认都可适用缔约过失责任</w:t>
      </w:r>
    </w:p>
    <w:p w14:paraId="18CDA484">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eastAsia" w:ascii="Times New Roman Regular" w:hAnsi="Times New Roman Regular" w:cs="Times New Roman Regular"/>
          <w:sz w:val="24"/>
          <w:szCs w:val="24"/>
          <w:u w:val="none"/>
          <w:lang w:val="en-US" w:eastAsia="zh-CN"/>
        </w:rPr>
      </w:pPr>
      <w:r>
        <w:rPr>
          <w:rFonts w:hint="eastAsia" w:ascii="Times New Roman Regular" w:hAnsi="Times New Roman Regular" w:cs="Times New Roman Regular"/>
          <w:sz w:val="24"/>
          <w:szCs w:val="24"/>
          <w:u w:val="none"/>
          <w:lang w:val="en-US" w:eastAsia="zh-CN"/>
        </w:rPr>
        <w:t>（二）法律后果</w:t>
      </w:r>
    </w:p>
    <w:p w14:paraId="1E32F2CC">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信赖利益赔偿：直接损失（为订约与履约实际支出的费用）+间接损失（</w:t>
      </w:r>
      <w:r>
        <w:rPr>
          <w:rFonts w:hint="eastAsia" w:ascii="Times New Roman Regular" w:hAnsi="Times New Roman Regular" w:cs="Times New Roman Regular"/>
          <w:sz w:val="24"/>
          <w:szCs w:val="24"/>
          <w:u w:val="none"/>
          <w:lang w:val="en-US" w:eastAsia="zh-CN"/>
        </w:rPr>
        <w:t>丧失其他缔约机会的损失</w:t>
      </w:r>
      <w:r>
        <w:rPr>
          <w:rFonts w:hint="default" w:ascii="Times New Roman Regular" w:hAnsi="Times New Roman Regular" w:cs="Times New Roman Regular"/>
          <w:sz w:val="24"/>
          <w:szCs w:val="24"/>
          <w:u w:val="none"/>
          <w:lang w:val="en-US" w:eastAsia="zh-CN"/>
        </w:rPr>
        <w:t>）</w:t>
      </w:r>
    </w:p>
    <w:p w14:paraId="4CB106B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r>
        <w:rPr>
          <w:rFonts w:hint="default" w:ascii="Times New Roman Regular" w:hAnsi="Times New Roman Regular" w:cs="Times New Roman Regular"/>
          <w:sz w:val="24"/>
          <w:szCs w:val="24"/>
          <w:u w:val="none"/>
          <w:lang w:val="en-US" w:eastAsia="zh-CN"/>
        </w:rPr>
        <w:t>【注意】履行利益（合同履行后可以获得的利益）不予赔偿</w:t>
      </w:r>
    </w:p>
    <w:p w14:paraId="58DBCD1B">
      <w:pPr>
        <w:keepNext w:val="0"/>
        <w:keepLines w:val="0"/>
        <w:pageBreakBefore w:val="0"/>
        <w:widowControl w:val="0"/>
        <w:kinsoku/>
        <w:wordWrap/>
        <w:overflowPunct/>
        <w:topLinePunct w:val="0"/>
        <w:autoSpaceDE/>
        <w:autoSpaceDN/>
        <w:bidi w:val="0"/>
        <w:adjustRightInd/>
        <w:snapToGrid/>
        <w:spacing w:line="360" w:lineRule="auto"/>
        <w:ind w:firstLine="420" w:firstLineChars="0"/>
        <w:textAlignment w:val="auto"/>
        <w:rPr>
          <w:rFonts w:hint="default" w:ascii="Times New Roman Regular" w:hAnsi="Times New Roman Regular" w:cs="Times New Roman Regular"/>
          <w:sz w:val="24"/>
          <w:szCs w:val="24"/>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书宋一简">
    <w:altName w:val="华文宋体"/>
    <w:panose1 w:val="02010609000101010101"/>
    <w:charset w:val="86"/>
    <w:family w:val="modern"/>
    <w:pitch w:val="default"/>
    <w:sig w:usb0="00000000" w:usb1="00000000" w:usb2="00000012" w:usb3="00000000" w:csb0="00040000" w:csb1="00000000"/>
  </w:font>
  <w:font w:name="汉仪中黑简">
    <w:altName w:val="汉仪中黑KW"/>
    <w:panose1 w:val="02010609000101010101"/>
    <w:charset w:val="86"/>
    <w:family w:val="modern"/>
    <w:pitch w:val="default"/>
    <w:sig w:usb0="00000000" w:usb1="00000000" w:usb2="00000012" w:usb3="00000000" w:csb0="00040000" w:csb1="00000000"/>
  </w:font>
  <w:font w:name="汉仪中黑KW">
    <w:panose1 w:val="00020600040101010101"/>
    <w:charset w:val="86"/>
    <w:family w:val="auto"/>
    <w:pitch w:val="default"/>
    <w:sig w:usb0="A00002BF" w:usb1="18EF7CFA" w:usb2="00000016" w:usb3="00000000" w:csb0="00040000" w:csb1="00000000"/>
  </w:font>
  <w:font w:name="汉仪粗黑简">
    <w:altName w:val="汉仪中黑KW"/>
    <w:panose1 w:val="02010609000101010101"/>
    <w:charset w:val="86"/>
    <w:family w:val="modern"/>
    <w:pitch w:val="default"/>
    <w:sig w:usb0="00000000" w:usb1="00000000" w:usb2="00000012"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6EFD392"/>
    <w:rsid w:val="177DA370"/>
    <w:rsid w:val="17DFFA75"/>
    <w:rsid w:val="18BFC09B"/>
    <w:rsid w:val="19F517E6"/>
    <w:rsid w:val="1BEF9C01"/>
    <w:rsid w:val="1FFDE82A"/>
    <w:rsid w:val="25E4E361"/>
    <w:rsid w:val="37F9300F"/>
    <w:rsid w:val="39CD9E08"/>
    <w:rsid w:val="3AA211B0"/>
    <w:rsid w:val="3D75DA98"/>
    <w:rsid w:val="3DDD8785"/>
    <w:rsid w:val="3EFF2196"/>
    <w:rsid w:val="3EFFCDE3"/>
    <w:rsid w:val="3F27967E"/>
    <w:rsid w:val="3F7D6D90"/>
    <w:rsid w:val="3FDF38B5"/>
    <w:rsid w:val="4F7E5D39"/>
    <w:rsid w:val="5BF630B3"/>
    <w:rsid w:val="5D9CC53C"/>
    <w:rsid w:val="5DBFD756"/>
    <w:rsid w:val="5FDFC522"/>
    <w:rsid w:val="676B1FCF"/>
    <w:rsid w:val="6BCF9614"/>
    <w:rsid w:val="6CFC5835"/>
    <w:rsid w:val="6EBFFE06"/>
    <w:rsid w:val="6F7FD66B"/>
    <w:rsid w:val="6FC75035"/>
    <w:rsid w:val="6FE9DFA5"/>
    <w:rsid w:val="6FF6B73E"/>
    <w:rsid w:val="6FF7B5C8"/>
    <w:rsid w:val="72B16660"/>
    <w:rsid w:val="72FEDFAF"/>
    <w:rsid w:val="74EF0DAF"/>
    <w:rsid w:val="75FFDC8C"/>
    <w:rsid w:val="76576194"/>
    <w:rsid w:val="78FF9F1C"/>
    <w:rsid w:val="79B72732"/>
    <w:rsid w:val="7A8FECFA"/>
    <w:rsid w:val="7B77E946"/>
    <w:rsid w:val="7BF6E4A6"/>
    <w:rsid w:val="7BFFD2F7"/>
    <w:rsid w:val="7C7DDD51"/>
    <w:rsid w:val="7D473A11"/>
    <w:rsid w:val="7D7FD33D"/>
    <w:rsid w:val="7DBDD90E"/>
    <w:rsid w:val="7DF9200D"/>
    <w:rsid w:val="7EFFC158"/>
    <w:rsid w:val="7F3B9F4C"/>
    <w:rsid w:val="7F695405"/>
    <w:rsid w:val="7F7F8935"/>
    <w:rsid w:val="7FBF0F91"/>
    <w:rsid w:val="7FE7235C"/>
    <w:rsid w:val="8ABEE47C"/>
    <w:rsid w:val="AEAF67DC"/>
    <w:rsid w:val="AECFAD74"/>
    <w:rsid w:val="AEFFF231"/>
    <w:rsid w:val="AF7349BF"/>
    <w:rsid w:val="B2FF494A"/>
    <w:rsid w:val="B3FEA9EF"/>
    <w:rsid w:val="B7FEF551"/>
    <w:rsid w:val="BBD68691"/>
    <w:rsid w:val="BFD7C2A8"/>
    <w:rsid w:val="BFDF5E9D"/>
    <w:rsid w:val="CBDA46FA"/>
    <w:rsid w:val="CDF9AD73"/>
    <w:rsid w:val="CEAF22DB"/>
    <w:rsid w:val="CEFFBDFA"/>
    <w:rsid w:val="CFABA3EB"/>
    <w:rsid w:val="CFBDAEF9"/>
    <w:rsid w:val="CFFF1593"/>
    <w:rsid w:val="D63DB2A1"/>
    <w:rsid w:val="D7F8DDAE"/>
    <w:rsid w:val="D7FFD4AC"/>
    <w:rsid w:val="DBF64670"/>
    <w:rsid w:val="DFDD6831"/>
    <w:rsid w:val="E5718167"/>
    <w:rsid w:val="E5DD9418"/>
    <w:rsid w:val="E7BFCB01"/>
    <w:rsid w:val="EB6E8309"/>
    <w:rsid w:val="EBD730EB"/>
    <w:rsid w:val="EC2D9E1A"/>
    <w:rsid w:val="EF06E542"/>
    <w:rsid w:val="EF7FB042"/>
    <w:rsid w:val="EFB7ADF2"/>
    <w:rsid w:val="EFCFFD3A"/>
    <w:rsid w:val="EFDF470A"/>
    <w:rsid w:val="EFE712E6"/>
    <w:rsid w:val="F0D7EC59"/>
    <w:rsid w:val="F1B927A4"/>
    <w:rsid w:val="F5BF001A"/>
    <w:rsid w:val="F5EEDA60"/>
    <w:rsid w:val="F6DFFC0C"/>
    <w:rsid w:val="F6FF467A"/>
    <w:rsid w:val="F73F225B"/>
    <w:rsid w:val="F9AA8429"/>
    <w:rsid w:val="FA3B0D40"/>
    <w:rsid w:val="FABE4737"/>
    <w:rsid w:val="FBDF91EB"/>
    <w:rsid w:val="FBFF7EF4"/>
    <w:rsid w:val="FD375179"/>
    <w:rsid w:val="FD6C9E97"/>
    <w:rsid w:val="FD6EB3EE"/>
    <w:rsid w:val="FDF59568"/>
    <w:rsid w:val="FEA64923"/>
    <w:rsid w:val="FED769C8"/>
    <w:rsid w:val="FF3362C6"/>
    <w:rsid w:val="FF6F6FFE"/>
    <w:rsid w:val="FF7BF13D"/>
    <w:rsid w:val="FFEFF665"/>
    <w:rsid w:val="FFFBE5A1"/>
    <w:rsid w:val="FFFF3C31"/>
    <w:rsid w:val="FFFF9110"/>
    <w:rsid w:val="FFFF97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147</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2026-02-01T00:22:00Z</dcterms:created>
  <dc:creator>Arthur (Xiao) Dong</dc:creator>
  <cp:lastModifiedBy>Arthur (Xiao）Dong</cp:lastModifiedBy>
  <dcterms:modified xsi:type="dcterms:W3CDTF">2026-03-14T18:07:01Z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3A31E5C62E8666FD53247769E1688135_41</vt:lpwstr>
  </property>
</Properties>
</file>