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24"/>
          <w:szCs w:val="24"/>
          <w:lang w:val="en-US" w:eastAsia="zh-CN"/>
        </w:rPr>
      </w:pPr>
      <w:r>
        <w:rPr>
          <w:rFonts w:hint="eastAsia"/>
          <w:b/>
          <w:bCs/>
          <w:sz w:val="24"/>
          <w:szCs w:val="24"/>
          <w:lang w:val="en-US" w:eastAsia="zh-CN"/>
        </w:rPr>
        <w:t>民法第五讲课堂笔记（考点7-8）</w:t>
      </w:r>
    </w:p>
    <w:p w14:paraId="56B4F06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【考点8:所有权的特殊取得方式】</w:t>
      </w:r>
    </w:p>
    <w:p w14:paraId="55970F9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一、善意取得</w:t>
      </w:r>
    </w:p>
    <w:p w14:paraId="262E900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（一）善意取得的构成要件</w:t>
      </w:r>
    </w:p>
    <w:p w14:paraId="205AA2D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1．出让人须是无处分权人</w:t>
      </w:r>
    </w:p>
    <w:p w14:paraId="51C8C13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2．须出让人与受让人有转移所有权的合意</w:t>
      </w:r>
    </w:p>
    <w:p w14:paraId="3D4B14B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3．受让人须为善意</w:t>
      </w:r>
    </w:p>
    <w:p w14:paraId="49347C6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4．所有权移转需要登记的，已完成登记；无须登记的，已完成交付</w:t>
      </w:r>
    </w:p>
    <w:p w14:paraId="24C89B5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动产善意取得中所要求的“交付”，可以是现实交付，也可以是简易交付和指示交付，但不能是占有改定。</w:t>
      </w:r>
    </w:p>
    <w:p w14:paraId="69AD9A0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关于机动车等特殊动产的善意取得，应适用已完成登记还是已交付给受让人之规则的问题，《民法典物权编解释一》第19条规定：“转让人将民法典第二百二十五条规定的船舶、航空器和机动车等交付给受让人的，应当认定符合民法典第三百一十一条第一款第三项规定的善意取得的条件。”</w:t>
      </w:r>
    </w:p>
    <w:p w14:paraId="631644C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5．受让人须以合理的价格有偿受让（一般是不能低于市场价格的70%）</w:t>
      </w:r>
    </w:p>
    <w:p w14:paraId="7376565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（二）善意取得的扩张</w:t>
      </w:r>
    </w:p>
    <w:p w14:paraId="54D0745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《民法典》第311条第3款规定：“当事人善意取得其他物权的，参照前两款规定。”善意取得所有权以外的物权，其最典型（也是法考最可能涉及）的情形是质权的善意取得。</w:t>
      </w:r>
    </w:p>
    <w:p w14:paraId="4732BFB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（三）遗失物善意取得的特殊规则</w:t>
      </w:r>
    </w:p>
    <w:p w14:paraId="2C7F2CA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民法典》第311条所规定的善意取得制度不适用于遗失物、盗赃物等所谓“占有脱离物”。遗失物适用第312条的特殊规则。《民法典》未明确盗赃物是否适用善意取得的问题，法考应不会涉及这一问题，即使涉及，也可以类推适用遗失物的规则。另外，遗失物善意取得的规则，亦可类推适用于埋藏物、漂流物等。</w:t>
      </w:r>
    </w:p>
    <w:p w14:paraId="6D710C0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根据《民法典》第312条的规定，遗失物通过转让被他人占有的，即便符合第311条所规定的三项条件，受让人也不能确定地、终局性地获得遗失物的所有权。遗失人可以自知道或者应当知道受让人之日起二年内向受让人请求返还原物，对于遗失人的此项返还请求权，受让人不得以善意对抗之。此二年期间届满而遗失人未提出原物返还的，善意受让人可确定地取得遗失物的所有权。</w:t>
      </w:r>
    </w:p>
    <w:p w14:paraId="62BE2C1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但是，如果受让人系通过拍卖或者向具有经营资格的经营者购得该遗失物，则此种情形下的受让人也应获得相当程度的保护。如果一味地维护所有人的利益而允许其无条件地向受让人要求返还其物，则人们即便在公开市场上善意地进行交易都可能遭受严重损失。有鉴于此，《民法典》针对此种情形又强化了对受让人的特别保护——善意受让人尽管仍不能确定地取得遗失物的所有权，但是，所有权人等权利人在向其请求返还原物时应当支付其在受让标的物时所付的费用。</w:t>
      </w:r>
    </w:p>
    <w:p w14:paraId="1F425BD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（四）善意取得的法律效果</w:t>
      </w:r>
    </w:p>
    <w:p w14:paraId="411071E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1．符合善意取得构成要件时，受让人将取得所有权，原权利人的所有权相应地消灭。</w:t>
      </w:r>
    </w:p>
    <w:p w14:paraId="37CE66F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善意取得在性质上属于原始取得，因此受让人无须像继受取得人那样，在因出让人的意思获得所有权的同时，也须承受标的物上原有的权利负担。原始取得是一种不负负担的取得，因该所有权取得的效果，不仅原所有人的所有权消灭，而且他人在物上的其他权利也将消灭。须注意的是，《民法典》第313条针对的仅是动产。</w:t>
      </w:r>
    </w:p>
    <w:p w14:paraId="02D66DD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原所有权人因他人善意取得而遭受损失，因其所有权的丧失系由于无权处分人的转让行为所致，故原所有人可以向无权处分人主张权利。依二者之间的关系，原权利人可向无权处分者主张侵权责任、违约责任或不当得利返还。</w:t>
      </w:r>
    </w:p>
    <w:p w14:paraId="08CFB7F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二、拾得遗失物</w:t>
      </w:r>
    </w:p>
    <w:p w14:paraId="082E6C3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（一）拾得人的权利</w:t>
      </w:r>
    </w:p>
    <w:p w14:paraId="5317405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1．必要费用偿还请求权</w:t>
      </w:r>
    </w:p>
    <w:p w14:paraId="4F00E47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【注意】必要费用以实际支出为前提，性质上不属于报酬请求权</w:t>
      </w:r>
    </w:p>
    <w:p w14:paraId="2690884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2．基于悬赏广告的报酬请求权</w:t>
      </w:r>
    </w:p>
    <w:p w14:paraId="19E8306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【注意1】拾得人不享有一般性的报酬请求权</w:t>
      </w:r>
    </w:p>
    <w:p w14:paraId="3DD1DA9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【注意2】如果拾得人侵占遗失物，不享有上述两项权利</w:t>
      </w:r>
    </w:p>
    <w:p w14:paraId="28D9264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（二）遗失物的归属</w:t>
      </w:r>
    </w:p>
    <w:p w14:paraId="22F6A74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1．原则上物归原主，原权利人有权请求返还</w:t>
      </w:r>
    </w:p>
    <w:p w14:paraId="0D41964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2．遗失物自发布招领公告之日起1年内无人认领的，归国家所有</w:t>
      </w:r>
    </w:p>
    <w:p w14:paraId="407D20A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三、孳息的归属</w:t>
      </w:r>
    </w:p>
    <w:p w14:paraId="5F21A1E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天然孳息，由所有权人取得；既有所有权人又有用益物权人的，由用益物权人取得。当事人另有约定的，按照约定。</w:t>
      </w:r>
    </w:p>
    <w:p w14:paraId="6F886C5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法定孳息，当事人有约定的，按照约定取得；没有约定或者约定不明确的，按照交易习惯取得。</w:t>
      </w:r>
    </w:p>
    <w:p w14:paraId="44C7502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四、无主物的先占取得：属于一种习惯法</w:t>
      </w:r>
    </w:p>
    <w:p w14:paraId="00EFA8D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五、添附</w:t>
      </w:r>
    </w:p>
    <w:p w14:paraId="7222697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只需要掌握动产和不动产附合，归不动产物权人即可。</w:t>
      </w:r>
    </w:p>
    <w:p w14:paraId="1F79E58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【考点9：共有】</w:t>
      </w:r>
    </w:p>
    <w:p w14:paraId="16D12CE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一、共有的类型：按份共有和共同共有</w:t>
      </w:r>
    </w:p>
    <w:p w14:paraId="57CD84C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共有类型界定</w:t>
      </w:r>
      <w:r>
        <w:rPr>
          <w:rFonts w:hint="eastAsia" w:ascii="Times New Roman Regular" w:hAnsi="Times New Roman Regular" w:cs="Times New Roman Regular"/>
          <w:sz w:val="24"/>
          <w:szCs w:val="24"/>
          <w:u w:val="none"/>
          <w:lang w:val="en-US" w:eastAsia="zh-CN"/>
        </w:rPr>
        <w:t>实行</w:t>
      </w:r>
      <w:r>
        <w:rPr>
          <w:rFonts w:hint="default" w:ascii="Times New Roman Regular" w:hAnsi="Times New Roman Regular" w:cs="Times New Roman Regular"/>
          <w:sz w:val="24"/>
          <w:szCs w:val="24"/>
          <w:u w:val="none"/>
          <w:lang w:val="en-US" w:eastAsia="zh-CN"/>
        </w:rPr>
        <w:t>“以按份共有为原则，以共同共有为例外”的规则。“除共有人具有家庭关系等外”</w:t>
      </w:r>
      <w:r>
        <w:rPr>
          <w:rFonts w:hint="eastAsia" w:ascii="Times New Roman Regular" w:hAnsi="Times New Roman Regular" w:cs="Times New Roman Regular"/>
          <w:sz w:val="24"/>
          <w:szCs w:val="24"/>
          <w:u w:val="none"/>
          <w:lang w:val="en-US" w:eastAsia="zh-CN"/>
        </w:rPr>
        <w:t>，原则上都成立按份共有。</w:t>
      </w:r>
    </w:p>
    <w:p w14:paraId="592B4CA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二、按份共有</w:t>
      </w:r>
    </w:p>
    <w:p w14:paraId="6DA8292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（一）份额的确定</w:t>
      </w:r>
    </w:p>
    <w:p w14:paraId="71B204A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各共有人在按份共有中所享有的份额比例，依该共有关系发生的原因而定。</w:t>
      </w:r>
    </w:p>
    <w:p w14:paraId="30E96CC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（1）基于民事法律行为形成按份共有时，先看约定，如无约定或约定不明，按出资额确定份额比例，如果出资额无法确定，各共有人等额享有（《民法典》第309条）。</w:t>
      </w:r>
    </w:p>
    <w:p w14:paraId="5A0A9C4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（2）基于法律规定而直接发生的按份共有（如添附），则依法定的标准确定各共有人的应有份额。</w:t>
      </w:r>
    </w:p>
    <w:p w14:paraId="395C26A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（二）份额转让时的优先购买权</w:t>
      </w:r>
    </w:p>
    <w:p w14:paraId="659F7BB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1．优先购买权的权利性质</w:t>
      </w:r>
    </w:p>
    <w:p w14:paraId="4BED022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按目前通说，优先购买权属于形成权（简单形成权），其他按份共有人向份额出让人发出行使的通知即可。</w:t>
      </w:r>
    </w:p>
    <w:p w14:paraId="55A5EAA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2．优先购买权产生的前提</w:t>
      </w:r>
    </w:p>
    <w:p w14:paraId="5EF7D58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优先购买权的产生有三个基本前提：对外、有偿、同等条件。</w:t>
      </w:r>
    </w:p>
    <w:p w14:paraId="4E62F6E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3．行使优先购买权的法律效果</w:t>
      </w:r>
    </w:p>
    <w:p w14:paraId="01E91DB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优先购买权行使的法律效果主要有以下两点：（1）在出让人与按份共有人之间按同等条件订立份额转让合同；（2）按份共有人优先取得所有权份额，优先购买权具有物权层面的绝对性。</w:t>
      </w:r>
    </w:p>
    <w:p w14:paraId="3A05EEB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4．多个按份共有人行使优先购买权时的处理</w:t>
      </w:r>
    </w:p>
    <w:p w14:paraId="059E95E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个物上的按份共有人可能有多个，其中某个共有人对外转让共有份额时，其他按份共有人都享有优先购买权，此时可能存在多个按份共有人都行使优先购买权的情形，此时如何处理？《民法典》第306条第2款规定：“两个以上其他共有人主张行使优先购买权的，协商确定各自的购买比例；协商不成的，按照转让时各自的共有份额比例行使优先购买权。”</w:t>
      </w:r>
    </w:p>
    <w:p w14:paraId="5DEDD04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（三）共有物的处分</w:t>
      </w:r>
    </w:p>
    <w:p w14:paraId="348973C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我国《民法典》确立的是“多数决”的原则，即共有物的处分和修缮无须征得所有共有人的同意，而仅需占份额三分之二以上的共有人同意即可。如共有物的转让未获占份额三分之二以上共有人的同意，则共有物的处分行为应属效力待定，须经至少占份额三分之二以上共有人的同意才能发生效力。但是，如果受让人善意不知物为共有物，则其可依善意取得的规定取得标的物的所有权。</w:t>
      </w:r>
    </w:p>
    <w:p w14:paraId="4815939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三、共同共有</w:t>
      </w:r>
    </w:p>
    <w:p w14:paraId="2BB0CEA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w:t>
      </w: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）共同共有的类型</w:t>
      </w:r>
    </w:p>
    <w:p w14:paraId="4B8805E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由于共有系以按份共有为原则以共同共有为例外，因此，应穷尽共同共有的类型。共同共有的类型包括：（1）夫妻财产的共同共有；（2）家庭财产的共同共有；（3）遗产的共同共有；（4）合伙财产的共同共有。</w:t>
      </w:r>
    </w:p>
    <w:p w14:paraId="16E0770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w:t>
      </w: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）共同共有物的处分</w:t>
      </w:r>
    </w:p>
    <w:p w14:paraId="546BF82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共同共有人处分共有物或对共有物作重大修缮的，须经全体共有人一致同意</w:t>
      </w:r>
      <w:r>
        <w:rPr>
          <w:rFonts w:hint="eastAsia" w:ascii="Times New Roman Regular" w:hAnsi="Times New Roman Regular" w:cs="Times New Roman Regular"/>
          <w:sz w:val="24"/>
          <w:szCs w:val="24"/>
          <w:u w:val="none"/>
          <w:lang w:val="en-US" w:eastAsia="zh-CN"/>
        </w:rPr>
        <w:t>。</w:t>
      </w:r>
    </w:p>
    <w:p w14:paraId="3B0E452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四、共有物的分割</w:t>
      </w:r>
    </w:p>
    <w:p w14:paraId="673892F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按份共有</w:t>
      </w:r>
    </w:p>
    <w:p w14:paraId="07FBE2E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如果按份共有人之间作出了不得分割的约定，应尊重之，原则上不得分割，只有存在重大理由时共有人才可以请求分割。如果共有人之间没有关于不得分割的约定，则共有人随时可以请求分割，以结束按份共有关系。</w:t>
      </w:r>
    </w:p>
    <w:p w14:paraId="06F535F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共同共有</w:t>
      </w:r>
    </w:p>
    <w:p w14:paraId="2E9C3BC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共同共有以共同关系为基础。原则上，在共同关系存续期间，共有人不得要求分割共有物。在共有基础丧失或有重大理由时，可以请求分割。以夫妻财产共有为例，基础丧失主要指离婚，重大理由主要是指：（1）一方有隐藏、转移、变卖、毁损、挥霍夫妻共同财产或者伪造夫妻共同债务等严重损害夫妻共同财产利益行为的；（2）一方负有法定扶养义务的人患重大疾病需要医治，另一方不同意支付相关医疗费用的（《民法典》第1066条）。</w:t>
      </w:r>
    </w:p>
    <w:p w14:paraId="47EA00B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五、因共有物产生的债权债务关系</w:t>
      </w:r>
    </w:p>
    <w:p w14:paraId="33B5DD3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（一）对外关系</w:t>
      </w:r>
    </w:p>
    <w:p w14:paraId="0768524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在对外关系上，不区分按份共有与共同共有，共有人对因共有物而产生的债权债务关系享有连带债权、承担连带债务。</w:t>
      </w:r>
    </w:p>
    <w:p w14:paraId="0E981E3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（二）对内关系</w:t>
      </w:r>
    </w:p>
    <w:p w14:paraId="668908E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在对内关系上，按份共有人原则上依其份额享有债权或承担债务。共同共有人则共同享有债权或承担债务。</w:t>
      </w:r>
    </w:p>
    <w:p w14:paraId="005B589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【考点10：用益物权】</w:t>
      </w:r>
    </w:p>
    <w:p w14:paraId="4F69EE1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一、土地承包经营权</w:t>
      </w:r>
    </w:p>
    <w:p w14:paraId="75B975E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1.设立时点：土地承包经营权合同生效时</w:t>
      </w:r>
    </w:p>
    <w:p w14:paraId="7B9155A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2.转让与互换：转让、互换合同生效时土地承包经营权移转，未登记不得对抗善意第三人</w:t>
      </w:r>
    </w:p>
    <w:p w14:paraId="66F22C6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3.两类设立时点：（1）流转期限5年以下的，类似于租赁权，合同生效时土地经营权设立；（2）流转期限5年以上的，类似于用益物权，合同生效时土地经营权设立，未经登记不得对抗善意第三人</w:t>
      </w:r>
    </w:p>
    <w:p w14:paraId="57375A9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二、地役权</w:t>
      </w:r>
    </w:p>
    <w:p w14:paraId="0749134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（一）地役权的从属性</w:t>
      </w:r>
    </w:p>
    <w:p w14:paraId="4EF9E2E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地役权的从属性，指的是地役权从属于需役地的所有权或其他权利（土地经营权、建设用地使用权等）而存在，并与该主权利同其命运。在功能上，地役权因为需役地利用之便利而存在，因此地役权不能脱离权利人对需役地之权利而独立创设和存续。在创设地役权后，该权利也不得与其所附属的主权利分离而让与，或成为其他权利的标的物。从备考的角度，掌握以下两个具体规则即可：（1）土地承包经营权、建设用地使用权等主权利转让的，地役权原则上一并转让（《民法典》第380条）；（2）土地承包经营权、建设用地使用权等主权利抵押时，在实现抵押权时，地役权一并转让（《民法典》第381条）。</w:t>
      </w:r>
    </w:p>
    <w:p w14:paraId="7D26B13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（二）地役权的设立</w:t>
      </w:r>
    </w:p>
    <w:p w14:paraId="764ACE8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地役权自地役权合同生效时设立，未登记不得对抗善意第三人（</w:t>
      </w:r>
      <w:r>
        <w:rPr>
          <w:rFonts w:hint="eastAsia" w:ascii="Times New Roman Regular" w:hAnsi="Times New Roman Regular" w:cs="Times New Roman Regular"/>
          <w:sz w:val="24"/>
          <w:szCs w:val="24"/>
          <w:u w:val="none"/>
          <w:lang w:val="en-US" w:eastAsia="zh-CN"/>
        </w:rPr>
        <w:t>主要是指不得对抗供役地的买受人）。</w:t>
      </w:r>
      <w:bookmarkStart w:id="0" w:name="_GoBack"/>
      <w:bookmarkEnd w:id="0"/>
    </w:p>
    <w:p w14:paraId="72D1E22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简">
    <w:altName w:val="汉仪中黑KW"/>
    <w:panose1 w:val="02010609000101010101"/>
    <w:charset w:val="86"/>
    <w:family w:val="modern"/>
    <w:pitch w:val="default"/>
    <w:sig w:usb0="00000000" w:usb1="00000000" w:usb2="00000012" w:usb3="00000000" w:csb0="00040000" w:csb1="00000000"/>
  </w:font>
  <w:font w:name="汉仪中黑KW">
    <w:panose1 w:val="00020600040101010101"/>
    <w:charset w:val="86"/>
    <w:family w:val="auto"/>
    <w:pitch w:val="default"/>
    <w:sig w:usb0="A00002BF" w:usb1="18EF7CFA" w:usb2="00000016" w:usb3="00000000" w:csb0="00040000" w:csb1="00000000"/>
  </w:font>
  <w:font w:name="汉仪书宋一简">
    <w:altName w:val="华文宋体"/>
    <w:panose1 w:val="02010609000101010101"/>
    <w:charset w:val="86"/>
    <w:family w:val="modern"/>
    <w:pitch w:val="default"/>
    <w:sig w:usb0="00000000" w:usb1="00000000" w:usb2="00000012" w:usb3="00000000" w:csb0="00040000" w:csb1="00000000"/>
  </w:font>
  <w:font w:name="汉仪粗黑简">
    <w:altName w:val="汉仪中黑KW"/>
    <w:panose1 w:val="02010609000101010101"/>
    <w:charset w:val="86"/>
    <w:family w:val="modern"/>
    <w:pitch w:val="default"/>
    <w:sig w:usb0="00000000" w:usb1="00000000" w:usb2="00000012"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77DA370"/>
    <w:rsid w:val="1FFDE82A"/>
    <w:rsid w:val="2E3C6D94"/>
    <w:rsid w:val="37F9300F"/>
    <w:rsid w:val="3DDD8785"/>
    <w:rsid w:val="3EFFCDE3"/>
    <w:rsid w:val="3F7D6D90"/>
    <w:rsid w:val="4F7E5D39"/>
    <w:rsid w:val="576C6A1C"/>
    <w:rsid w:val="5BF630B3"/>
    <w:rsid w:val="5D9CC53C"/>
    <w:rsid w:val="5FDFC522"/>
    <w:rsid w:val="6CFC5835"/>
    <w:rsid w:val="6FE9DFA5"/>
    <w:rsid w:val="6FF7B5C8"/>
    <w:rsid w:val="74EF0DAF"/>
    <w:rsid w:val="76576194"/>
    <w:rsid w:val="77D7C777"/>
    <w:rsid w:val="78FF9F1C"/>
    <w:rsid w:val="7BFFD2F7"/>
    <w:rsid w:val="7D473A11"/>
    <w:rsid w:val="7D7FD33D"/>
    <w:rsid w:val="7DF9200D"/>
    <w:rsid w:val="7EFFC158"/>
    <w:rsid w:val="7F695405"/>
    <w:rsid w:val="8ABEE47C"/>
    <w:rsid w:val="AEAF67DC"/>
    <w:rsid w:val="AECFAD74"/>
    <w:rsid w:val="B3FEA9EF"/>
    <w:rsid w:val="B7FEF551"/>
    <w:rsid w:val="BBD68691"/>
    <w:rsid w:val="BFD7C2A8"/>
    <w:rsid w:val="CBDA46FA"/>
    <w:rsid w:val="CFBDAEF9"/>
    <w:rsid w:val="CFFF1593"/>
    <w:rsid w:val="D7F8DDAE"/>
    <w:rsid w:val="E5DD9418"/>
    <w:rsid w:val="E7BFCB01"/>
    <w:rsid w:val="EBD730EB"/>
    <w:rsid w:val="EC2D9E1A"/>
    <w:rsid w:val="EF06E542"/>
    <w:rsid w:val="EF7FB042"/>
    <w:rsid w:val="EFB7ADF2"/>
    <w:rsid w:val="EFCFFD3A"/>
    <w:rsid w:val="EFE712E6"/>
    <w:rsid w:val="F0D7EC59"/>
    <w:rsid w:val="F5EEDA60"/>
    <w:rsid w:val="F6DFFC0C"/>
    <w:rsid w:val="F73F225B"/>
    <w:rsid w:val="FABE4737"/>
    <w:rsid w:val="FAE5872A"/>
    <w:rsid w:val="FBFF7EF4"/>
    <w:rsid w:val="FD375179"/>
    <w:rsid w:val="FD6C9E97"/>
    <w:rsid w:val="FEA64923"/>
    <w:rsid w:val="FED769C8"/>
    <w:rsid w:val="FF6F6FFE"/>
    <w:rsid w:val="FF7BF13D"/>
    <w:rsid w:val="FFEFF665"/>
    <w:rsid w:val="FFFBE5A1"/>
    <w:rsid w:val="FFFF3C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3</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2026-01-30T08:22:00Z</dcterms:created>
  <dc:creator>Arthur (Xiao) Dong</dc:creator>
  <cp:lastModifiedBy>Arthur (Xiao）Dong</cp:lastModifiedBy>
  <dcterms:modified xsi:type="dcterms:W3CDTF">2026-03-11T23:04:58Z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3A31E5C62E8666FD53247769E1688135_41</vt:lpwstr>
  </property>
</Properties>
</file>