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4C7D7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sz w:val="24"/>
          <w:szCs w:val="24"/>
          <w:lang w:val="en-US" w:eastAsia="zh-CN"/>
        </w:rPr>
      </w:pPr>
      <w:r>
        <w:rPr>
          <w:rFonts w:hint="eastAsia"/>
          <w:b/>
          <w:bCs/>
          <w:sz w:val="24"/>
          <w:szCs w:val="24"/>
          <w:lang w:val="en-US" w:eastAsia="zh-CN"/>
        </w:rPr>
        <w:t>民法第五讲课堂笔记（考点7-8）</w:t>
      </w:r>
    </w:p>
    <w:p w14:paraId="56B4F06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b/>
          <w:bCs/>
          <w:sz w:val="24"/>
          <w:szCs w:val="24"/>
          <w:lang w:val="en-US" w:eastAsia="zh-CN"/>
        </w:rPr>
      </w:pPr>
      <w:r>
        <w:rPr>
          <w:rFonts w:hint="eastAsia" w:ascii="Times New Roman Regular" w:hAnsi="Times New Roman Regular" w:cs="Times New Roman Regular"/>
          <w:b/>
          <w:bCs/>
          <w:sz w:val="24"/>
          <w:szCs w:val="24"/>
          <w:lang w:val="en-US" w:eastAsia="zh-CN"/>
        </w:rPr>
        <w:t>【考点8:所有权的特殊取得方式】</w:t>
      </w:r>
    </w:p>
    <w:p w14:paraId="55970F9B">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一、善意取得</w:t>
      </w:r>
    </w:p>
    <w:p w14:paraId="262E900B">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（一）善意取得的构成要件</w:t>
      </w:r>
    </w:p>
    <w:p w14:paraId="205AA2D8">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1．出让人须是无处分权人</w:t>
      </w:r>
    </w:p>
    <w:p w14:paraId="51C8C13F">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2．须出让人与受让人有转移所有权的合意</w:t>
      </w:r>
    </w:p>
    <w:p w14:paraId="3D4B14B5">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3．受让人须为善意</w:t>
      </w:r>
    </w:p>
    <w:p w14:paraId="49347C6C">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4．所有权移转需要登记的，已完成登记；无须登记的，已完成交付</w:t>
      </w:r>
    </w:p>
    <w:p w14:paraId="24C89B5D">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动产善意取得中所要求的“交付”，可以是现实交付，也可以是简易交付和指示交付，但不能是占有改定。</w:t>
      </w:r>
    </w:p>
    <w:p w14:paraId="69AD9A05">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关于机动车等特殊动产的善意取得，应适用已完成登记还是已交付给受让人之规则的问题，《民法典物权编解释一》第19条规定：“转让人将民法典第二百二十五条规定的船舶、航空器和机动车等交付给受让人的，应当认定符合民法典第三百一十一条第一款第三项规定的善意取得的条件。”</w:t>
      </w:r>
    </w:p>
    <w:p w14:paraId="631644C2">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5．受让人须以合理的价格有偿受让（一般是不能低于市场价格的70%）</w:t>
      </w:r>
    </w:p>
    <w:p w14:paraId="73765657">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（二）善意取得的扩张</w:t>
      </w:r>
    </w:p>
    <w:p w14:paraId="54D0745A">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《民法典》第311条第3款规定：“当事人善意取得其他物权的，参照前两款规定。”善意取得所有权以外的物权，其最典型（也是法考最可能涉及）的情形是质权的善意取得。</w:t>
      </w:r>
    </w:p>
    <w:p w14:paraId="4732BFB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（三）遗失物善意取得的特殊规则</w:t>
      </w:r>
    </w:p>
    <w:p w14:paraId="2C7F2CA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民法典》第311条所规定的善意取得制度不适用于遗失物、盗赃物等所谓“占有脱离物”。遗失物适用第312条的特殊规则。《民法典》未明确盗赃物是否适用善意取得的问题，法考应不会涉及这一问题，即使涉及，也可以类推适用遗失物的规则。另外，遗失物善意取得的规则，亦可类推适用于埋藏物、漂流物等。</w:t>
      </w:r>
    </w:p>
    <w:p w14:paraId="6D710C04">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根据《民法典》第312条的规定，遗失物通过转让被他人占有的，即便符合第311条所规定的三项条件，受让人也不能确定地、终局性地获得遗失物的所有权。遗失人可以自知道或者应当知道受让人之日起二年内向受让人请求返还原物，对于遗失人的此项返还请求权，受让人不得以善意对抗之。此二年期间届满而遗失人未提出原物返还的，善意受让人可确定地取得遗失物的所有权。</w:t>
      </w:r>
    </w:p>
    <w:p w14:paraId="62BE2C11">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但是，如果受让人系通过拍卖或者向具有经营资格的经营者购得该遗失物，则此种情形下的受让人也应获得相当程度的保护。如果一味地维护所有人的利益而允许其无条件地向受让人要求返还其物，则人们即便在公开市场上善意地进行交易都可能遭受严重损失。有鉴于此，《民法典》针对此种情形又强化了对受让人的特别保护——善意受让人尽管仍不能确定地取得遗失物的所有权，但是，所有权人等权利人在向其请求返还原物时应当支付其在受让标的物时所付的费用。</w:t>
      </w:r>
    </w:p>
    <w:p w14:paraId="1F425BD1">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（四）善意取得的法律效果</w:t>
      </w:r>
    </w:p>
    <w:p w14:paraId="411071E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1．符合善意取得构成要件时，受让人将取得所有权，原权利人的所有权相应地消灭。</w:t>
      </w:r>
    </w:p>
    <w:p w14:paraId="37CE66F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2．善意取得在性质上属于原始取得，因此受让人无须像继受取得人那样，在因出让人的意思获得所有权的同时，也须承受标的物上原有的权利负担。原始取得是一种不负负担的取得，因该所有权取得的效果，不仅原所有人的所有权消灭，而且他人在物上的其他权利也将消灭。须注意的是，《民法典》第313条针对的仅是动产。</w:t>
      </w:r>
    </w:p>
    <w:p w14:paraId="02D66DD0">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3．原所有权人因他人善意取得而遭受损失，因其所有权的丧失系由于无权处分人的转让行为所致，故原所有人可以向无权处分人主张权利。依二者之间的关系，原权利人可向无权处分者主张侵权责任、违约责任或不当得利返还。</w:t>
      </w:r>
    </w:p>
    <w:p w14:paraId="08CFB7F3">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二、拾得遗失物</w:t>
      </w:r>
    </w:p>
    <w:p w14:paraId="082E6C32">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（一）拾得人的权利</w:t>
      </w:r>
    </w:p>
    <w:p w14:paraId="5317405D">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1．必要费用偿还请求权</w:t>
      </w:r>
    </w:p>
    <w:p w14:paraId="4F00E477">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【注意】必要费用以实际支出为前提，性质上不属于报酬请求权</w:t>
      </w:r>
    </w:p>
    <w:p w14:paraId="2690884D">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2．基于悬赏广告的报酬请求权</w:t>
      </w:r>
    </w:p>
    <w:p w14:paraId="19E83067">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【注意1】拾得人不享有一般性的报酬请求权</w:t>
      </w:r>
    </w:p>
    <w:p w14:paraId="3DD1DA93">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【注意2】如果拾得人侵占遗失物，不享有上述两项权利</w:t>
      </w:r>
    </w:p>
    <w:p w14:paraId="28D92645">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（二）遗失物的归属</w:t>
      </w:r>
    </w:p>
    <w:p w14:paraId="22F6A74E">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1．原则上物归原主，原权利人有权请求返还</w:t>
      </w:r>
    </w:p>
    <w:p w14:paraId="0D41964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2．遗失物自发布招领公告之日起1年内无人认领的，归国家所有</w:t>
      </w:r>
    </w:p>
    <w:p w14:paraId="407D20A0">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三、孳息的归属</w:t>
      </w:r>
    </w:p>
    <w:p w14:paraId="5F21A1E0">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天然孳息，由所有权人取得；既有所有权人又有用益物权人的，由用益物权人取得。当事人另有约定的，按照约定。</w:t>
      </w:r>
    </w:p>
    <w:p w14:paraId="6F886C5A">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法定孳息，当事人有约定的，按照约定取得；没有约定或者约定不明确的，按照交易习惯取得。</w:t>
      </w:r>
    </w:p>
    <w:p w14:paraId="44C7502D">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四、无主物的先占取得：属于一种习惯法</w:t>
      </w:r>
    </w:p>
    <w:p w14:paraId="00EFA8D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五、添附</w:t>
      </w:r>
    </w:p>
    <w:p w14:paraId="72226975">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只需要掌握动产和不动产附合，归不动产物权人即可。</w:t>
      </w:r>
    </w:p>
    <w:p w14:paraId="1F79E587">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b/>
          <w:bCs/>
          <w:sz w:val="24"/>
          <w:szCs w:val="24"/>
          <w:u w:val="none"/>
          <w:lang w:val="en-US" w:eastAsia="zh-CN"/>
        </w:rPr>
      </w:pPr>
      <w:r>
        <w:rPr>
          <w:rFonts w:hint="eastAsia" w:ascii="Times New Roman Regular" w:hAnsi="Times New Roman Regular" w:cs="Times New Roman Regular"/>
          <w:b/>
          <w:bCs/>
          <w:sz w:val="24"/>
          <w:szCs w:val="24"/>
          <w:u w:val="none"/>
          <w:lang w:val="en-US" w:eastAsia="zh-CN"/>
        </w:rPr>
        <w:t>【考点9：共有】</w:t>
      </w:r>
    </w:p>
    <w:p w14:paraId="16D12CE3">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一、共有的类型：按份共有和共同共有</w:t>
      </w:r>
    </w:p>
    <w:p w14:paraId="57CD84C8">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共有类型界定</w:t>
      </w:r>
      <w:r>
        <w:rPr>
          <w:rFonts w:hint="eastAsia" w:ascii="Times New Roman Regular" w:hAnsi="Times New Roman Regular" w:cs="Times New Roman Regular"/>
          <w:sz w:val="24"/>
          <w:szCs w:val="24"/>
          <w:u w:val="none"/>
          <w:lang w:val="en-US" w:eastAsia="zh-CN"/>
        </w:rPr>
        <w:t>实行</w:t>
      </w:r>
      <w:r>
        <w:rPr>
          <w:rFonts w:hint="default" w:ascii="Times New Roman Regular" w:hAnsi="Times New Roman Regular" w:cs="Times New Roman Regular"/>
          <w:sz w:val="24"/>
          <w:szCs w:val="24"/>
          <w:u w:val="none"/>
          <w:lang w:val="en-US" w:eastAsia="zh-CN"/>
        </w:rPr>
        <w:t>“以按份共有为原则，以共同共有为例外”的规则。“除共有人具有家庭关系等外”</w:t>
      </w:r>
      <w:r>
        <w:rPr>
          <w:rFonts w:hint="eastAsia" w:ascii="Times New Roman Regular" w:hAnsi="Times New Roman Regular" w:cs="Times New Roman Regular"/>
          <w:sz w:val="24"/>
          <w:szCs w:val="24"/>
          <w:u w:val="none"/>
          <w:lang w:val="en-US" w:eastAsia="zh-CN"/>
        </w:rPr>
        <w:t>，原则上都成立按份共有。</w:t>
      </w:r>
    </w:p>
    <w:p w14:paraId="592B4CA5">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二、按份共有</w:t>
      </w:r>
    </w:p>
    <w:p w14:paraId="6DA8292C">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（一）份额的确定</w:t>
      </w:r>
    </w:p>
    <w:p w14:paraId="71B204A0">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各共有人在按份共有中所享有的份额比例，依该共有关系发生的原因而定。</w:t>
      </w:r>
    </w:p>
    <w:p w14:paraId="30E96CC2">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（1）基于民事法律行为形成按份共有时，先看约定，如无约定或约定不明，按出资额确定份额比例，如果出资额无法确定，各共有人等额享有（《民法典》第309条）。</w:t>
      </w:r>
    </w:p>
    <w:p w14:paraId="5A0A9C47">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（2）基于法律规定而直接发生的按份共有（如添附），则依法定的标准确定各共有人的应有份额。</w:t>
      </w:r>
    </w:p>
    <w:p w14:paraId="395C26A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（二）份额转让时的优先购买权</w:t>
      </w:r>
    </w:p>
    <w:p w14:paraId="659F7BB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1．优先购买权的权利性质</w:t>
      </w:r>
    </w:p>
    <w:p w14:paraId="4BED022A">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按目前通说，优先购买权属于形成权（简单形成权），其他按份共有人向份额出让人发出行使的通知即可。</w:t>
      </w:r>
    </w:p>
    <w:p w14:paraId="55A5EAAC">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2．优先购买权产生的前提</w:t>
      </w:r>
    </w:p>
    <w:p w14:paraId="5EF7D58D">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优先购买权的产生有三个基本前提：对外、有偿、同等条件。</w:t>
      </w:r>
    </w:p>
    <w:p w14:paraId="4E62F6E2">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3．行使优先购买权的法律效果</w:t>
      </w:r>
    </w:p>
    <w:p w14:paraId="01E91DB2">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优先购买权行使的法律效果主要有以下两点：（1）在出让人与按份共有人之间按同等条件订立份额转让合同；（2）按份共有人优先取得所有权份额，优先购买权具有物权层面的绝对性。</w:t>
      </w:r>
    </w:p>
    <w:p w14:paraId="3A05EEB2">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4．多个按份共有人行使优先购买权时的处理</w:t>
      </w:r>
    </w:p>
    <w:p w14:paraId="059E95E2">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一个物上的按份共有人可能有多个，其中某个共有人对外转让共有份额时，其他按份共有人都享有优先购买权，此时可能存在多个按份共有人都行使优先购买权的情形，此时如何处理？《民法典》第306条第2款规定：“两个以上其他共有人主张行使优先购买权的，协商确定各自的购买比例；协商不成的，按照转让时各自的共有份额比例行使优先购买权。”</w:t>
      </w:r>
    </w:p>
    <w:p w14:paraId="5DEDD048">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（三）共有物的处分</w:t>
      </w:r>
    </w:p>
    <w:p w14:paraId="348973C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我国《民法典》确立的是“多数决”的原则，即共有物的处分和修缮无须征得所有共有人的同意，而仅需占份额三分之二以上的共有人同意即可。如共有物的转让未获占份额三分之二以上共有人的同意，则共有物的处分行为应属效力待定，须经至少占份额三分之二以上共有人的同意才能发生效力。但是，如果受让人善意不知物为共有物，则其可依善意取得的规定取得标的物的所有权。</w:t>
      </w:r>
    </w:p>
    <w:p w14:paraId="4815939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三、共同共有</w:t>
      </w:r>
    </w:p>
    <w:p w14:paraId="2BB0CEAC">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w:t>
      </w:r>
      <w:r>
        <w:rPr>
          <w:rFonts w:hint="eastAsia" w:ascii="Times New Roman Regular" w:hAnsi="Times New Roman Regular" w:cs="Times New Roman Regular"/>
          <w:sz w:val="24"/>
          <w:szCs w:val="24"/>
          <w:u w:val="none"/>
          <w:lang w:val="en-US" w:eastAsia="zh-CN"/>
        </w:rPr>
        <w:t>一</w:t>
      </w:r>
      <w:r>
        <w:rPr>
          <w:rFonts w:hint="default" w:ascii="Times New Roman Regular" w:hAnsi="Times New Roman Regular" w:cs="Times New Roman Regular"/>
          <w:sz w:val="24"/>
          <w:szCs w:val="24"/>
          <w:u w:val="none"/>
          <w:lang w:val="en-US" w:eastAsia="zh-CN"/>
        </w:rPr>
        <w:t>）共同共有的类型</w:t>
      </w:r>
    </w:p>
    <w:p w14:paraId="4B8805EC">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由于共有系以按份共有为原则以共同共有为例外，因此，应穷尽共同共有的类型。共同共有的类型包括：（1）夫妻财产的共同共有；（2）家庭财产的共同共有；（3）遗产的共同共有；（4）合伙财产的共同共有。</w:t>
      </w:r>
    </w:p>
    <w:p w14:paraId="16E0770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w:t>
      </w:r>
      <w:r>
        <w:rPr>
          <w:rFonts w:hint="eastAsia" w:ascii="Times New Roman Regular" w:hAnsi="Times New Roman Regular" w:cs="Times New Roman Regular"/>
          <w:sz w:val="24"/>
          <w:szCs w:val="24"/>
          <w:u w:val="none"/>
          <w:lang w:val="en-US" w:eastAsia="zh-CN"/>
        </w:rPr>
        <w:t>二</w:t>
      </w:r>
      <w:r>
        <w:rPr>
          <w:rFonts w:hint="default" w:ascii="Times New Roman Regular" w:hAnsi="Times New Roman Regular" w:cs="Times New Roman Regular"/>
          <w:sz w:val="24"/>
          <w:szCs w:val="24"/>
          <w:u w:val="none"/>
          <w:lang w:val="en-US" w:eastAsia="zh-CN"/>
        </w:rPr>
        <w:t>）共同共有物的处分</w:t>
      </w:r>
    </w:p>
    <w:p w14:paraId="546BF828">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共同共有人处分共有物或对共有物作重大修缮的，须经全体共有人一致同意</w:t>
      </w:r>
      <w:r>
        <w:rPr>
          <w:rFonts w:hint="eastAsia" w:ascii="Times New Roman Regular" w:hAnsi="Times New Roman Regular" w:cs="Times New Roman Regular"/>
          <w:sz w:val="24"/>
          <w:szCs w:val="24"/>
          <w:u w:val="none"/>
          <w:lang w:val="en-US" w:eastAsia="zh-CN"/>
        </w:rPr>
        <w:t>。</w:t>
      </w:r>
    </w:p>
    <w:p w14:paraId="3B0E452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四、共有物的分割</w:t>
      </w:r>
    </w:p>
    <w:p w14:paraId="673892F3">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（一）</w:t>
      </w:r>
      <w:r>
        <w:rPr>
          <w:rFonts w:hint="default" w:ascii="Times New Roman Regular" w:hAnsi="Times New Roman Regular" w:cs="Times New Roman Regular"/>
          <w:sz w:val="24"/>
          <w:szCs w:val="24"/>
          <w:u w:val="none"/>
          <w:lang w:val="en-US" w:eastAsia="zh-CN"/>
        </w:rPr>
        <w:t>按份共有</w:t>
      </w:r>
    </w:p>
    <w:p w14:paraId="07FBE2E7">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如果按份共有人之间作出了不得分割的约定，应尊重之，原则上不得分割，只有存在重大理由时共有人才可以请求分割。如果共有人之间没有关于不得分割的约定，则共有人随时可以请求分割，以结束按份共有关系。</w:t>
      </w:r>
    </w:p>
    <w:p w14:paraId="06F535FC">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（二）</w:t>
      </w:r>
      <w:r>
        <w:rPr>
          <w:rFonts w:hint="default" w:ascii="Times New Roman Regular" w:hAnsi="Times New Roman Regular" w:cs="Times New Roman Regular"/>
          <w:sz w:val="24"/>
          <w:szCs w:val="24"/>
          <w:u w:val="none"/>
          <w:lang w:val="en-US" w:eastAsia="zh-CN"/>
        </w:rPr>
        <w:t>共同共有</w:t>
      </w:r>
    </w:p>
    <w:p w14:paraId="2E9C3BCD">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共同共有以共同关系为基础。原则上，在共同关系存续期间，共有人不得要求分割共有物。在共有基础丧失或有重大理由时，可以请求分割。以夫妻财产共有为例，基础丧失主要指离婚，重大理由主要是指：（1）一方有隐藏、转移、变卖、毁损、挥霍夫妻共同财产或者伪造夫妻共同债务等严重损害夫妻共同财产利益行为的；（2）一方负有法定扶养义务的人患重大疾病需要医治，另一方不同意支付相关医疗费用的（《民法典》第1066条）。</w:t>
      </w:r>
    </w:p>
    <w:p w14:paraId="47EA00B2">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五、因共有物产生的债权债务关系</w:t>
      </w:r>
    </w:p>
    <w:p w14:paraId="33B5DD3E">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（一）对外关系</w:t>
      </w:r>
    </w:p>
    <w:p w14:paraId="07685240">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在对外关系上，不区分按份共有与共同共有，共有人对因共有物而产生的债权债务关系享有连带债权、承担连带债务。</w:t>
      </w:r>
    </w:p>
    <w:p w14:paraId="0E981E3C">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（二）对内关系</w:t>
      </w:r>
    </w:p>
    <w:p w14:paraId="668908E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在对内关系上，按份共有人原则上依其份额享有债权或承担债务。共同共有人则共同享有债权或承担债务。</w:t>
      </w:r>
    </w:p>
    <w:p w14:paraId="005B589F">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b/>
          <w:bCs/>
          <w:sz w:val="24"/>
          <w:szCs w:val="24"/>
          <w:u w:val="none"/>
          <w:lang w:val="en-US" w:eastAsia="zh-CN"/>
        </w:rPr>
      </w:pPr>
      <w:r>
        <w:rPr>
          <w:rFonts w:hint="eastAsia" w:ascii="Times New Roman Regular" w:hAnsi="Times New Roman Regular" w:cs="Times New Roman Regular"/>
          <w:b/>
          <w:bCs/>
          <w:sz w:val="24"/>
          <w:szCs w:val="24"/>
          <w:u w:val="none"/>
          <w:lang w:val="en-US" w:eastAsia="zh-CN"/>
        </w:rPr>
        <w:t>【考点10：用益物权】</w:t>
      </w:r>
    </w:p>
    <w:p w14:paraId="4F69EE1F">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一、土地承包经营权</w:t>
      </w:r>
    </w:p>
    <w:p w14:paraId="75B975E3">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1.设立时点：土地承包经营权合同生效时</w:t>
      </w:r>
    </w:p>
    <w:p w14:paraId="7B9155A5">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2.转让与互换：转让、互换合同生效时土地承包经营权移转，未登记不得对抗善意第三人</w:t>
      </w:r>
    </w:p>
    <w:p w14:paraId="66F22C63">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3.两类设立时点：（1）流转期限5年以下的，类似于租赁权，合同生效时土地经营权设立；（2）流转期限5年以上的，类似于用益物权，合同生效时土地经营权设立，未经登记不得对抗善意第三人</w:t>
      </w:r>
    </w:p>
    <w:p w14:paraId="57375A95">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二、地役权</w:t>
      </w:r>
    </w:p>
    <w:p w14:paraId="0749134B">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（一）地役权的从属性</w:t>
      </w:r>
    </w:p>
    <w:p w14:paraId="4EF9E2E8">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地役权的从属性，指的是地役权从属于需役地的所有权或其他权利（土地经营权、建设用地使用权等）而存在，并与该主权利同其命运。在功能上，地役权因为需役地利用之便利而存在，因此地役权不能脱离权利人对需役地之权利而独立创设和存续。在创设地役权后，该权利也不得与其所附属的主权利分离而让与，或成为其他权利的标的物。从备考的角度，掌握以下两个具体规则即可：（1）土地承包经营权、建设用地使用权等主权利转让的，地役权原则上一并转让（《民法典》第380条）；（2）土地承包经营权、建设用地使用权等主权利抵押时，在实现抵押权时，地役权一并转让（《民法典》第381条）。</w:t>
      </w:r>
    </w:p>
    <w:p w14:paraId="7D26B13D">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（二）地役权的设立</w:t>
      </w:r>
    </w:p>
    <w:p w14:paraId="764ACE8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地役权自地役权合同生效时设立，未登记不得对抗善意第三人（</w:t>
      </w:r>
      <w:r>
        <w:rPr>
          <w:rFonts w:hint="eastAsia" w:ascii="Times New Roman Regular" w:hAnsi="Times New Roman Regular" w:cs="Times New Roman Regular"/>
          <w:sz w:val="24"/>
          <w:szCs w:val="24"/>
          <w:u w:val="none"/>
          <w:lang w:val="en-US" w:eastAsia="zh-CN"/>
        </w:rPr>
        <w:t>主要是指不得对抗供役地的买受人）。</w:t>
      </w:r>
      <w:bookmarkStart w:id="0" w:name="_GoBack"/>
      <w:bookmarkEnd w:id="0"/>
    </w:p>
    <w:p w14:paraId="72D1E22E">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E50002FF" w:usb1="500079DB" w:usb2="00000010" w:usb3="00000000" w:csb0="00000000" w:csb1="00000000"/>
  </w:font>
  <w:font w:name="汉仪书宋二KW">
    <w:panose1 w:val="00020600040101010101"/>
    <w:charset w:val="86"/>
    <w:family w:val="auto"/>
    <w:pitch w:val="default"/>
    <w:sig w:usb0="A00002BF" w:usb1="18EF7CFA" w:usb2="00000016" w:usb3="00000000" w:csb0="00040000" w:csb1="00000000"/>
  </w:font>
  <w:font w:name="汉仪书宋二简">
    <w:altName w:val="华文宋体"/>
    <w:panose1 w:val="02010600000101010101"/>
    <w:charset w:val="86"/>
    <w:family w:val="modern"/>
    <w:pitch w:val="default"/>
    <w:sig w:usb0="00000000" w:usb1="00000000" w:usb2="00000002" w:usb3="00000000" w:csb0="00040000" w:csb1="00000000"/>
  </w:font>
  <w:font w:name="华文宋体">
    <w:panose1 w:val="02010600040101010101"/>
    <w:charset w:val="86"/>
    <w:family w:val="auto"/>
    <w:pitch w:val="default"/>
    <w:sig w:usb0="80000287" w:usb1="280F3C52" w:usb2="00000016" w:usb3="00000000" w:csb0="0004001F" w:csb1="00000000"/>
  </w:font>
  <w:font w:name="Times New Roman Regular">
    <w:panose1 w:val="02020503050405090304"/>
    <w:charset w:val="00"/>
    <w:family w:val="auto"/>
    <w:pitch w:val="default"/>
    <w:sig w:usb0="E0000AFF" w:usb1="00007843" w:usb2="00000001" w:usb3="00000000" w:csb0="400001BF" w:csb1="DFF70000"/>
  </w:font>
  <w:font w:name="汉仪中黑简">
    <w:altName w:val="汉仪中黑KW"/>
    <w:panose1 w:val="02010609000101010101"/>
    <w:charset w:val="86"/>
    <w:family w:val="modern"/>
    <w:pitch w:val="default"/>
    <w:sig w:usb0="00000000" w:usb1="00000000" w:usb2="00000012" w:usb3="00000000" w:csb0="00040000" w:csb1="00000000"/>
  </w:font>
  <w:font w:name="汉仪中黑KW">
    <w:panose1 w:val="00020600040101010101"/>
    <w:charset w:val="86"/>
    <w:family w:val="auto"/>
    <w:pitch w:val="default"/>
    <w:sig w:usb0="A00002BF" w:usb1="18EF7CFA" w:usb2="00000016" w:usb3="00000000" w:csb0="00040000" w:csb1="00000000"/>
  </w:font>
  <w:font w:name="汉仪书宋一简">
    <w:altName w:val="华文宋体"/>
    <w:panose1 w:val="02010609000101010101"/>
    <w:charset w:val="86"/>
    <w:family w:val="modern"/>
    <w:pitch w:val="default"/>
    <w:sig w:usb0="00000000" w:usb1="00000000" w:usb2="00000012" w:usb3="00000000" w:csb0="00040000" w:csb1="00000000"/>
  </w:font>
  <w:font w:name="汉仪粗黑简">
    <w:altName w:val="汉仪中黑KW"/>
    <w:panose1 w:val="02010609000101010101"/>
    <w:charset w:val="86"/>
    <w:family w:val="modern"/>
    <w:pitch w:val="default"/>
    <w:sig w:usb0="00000000" w:usb1="00000000" w:usb2="00000012"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CFBDAEF9"/>
    <w:rsid w:val="0D9A55A2"/>
    <w:rsid w:val="177DA370"/>
    <w:rsid w:val="1FFDE82A"/>
    <w:rsid w:val="2E3C6D94"/>
    <w:rsid w:val="37F9300F"/>
    <w:rsid w:val="3DDD8785"/>
    <w:rsid w:val="3EFFCDE3"/>
    <w:rsid w:val="3F7D6D90"/>
    <w:rsid w:val="4F7E5D39"/>
    <w:rsid w:val="576C6A1C"/>
    <w:rsid w:val="5BF630B3"/>
    <w:rsid w:val="5D9CC53C"/>
    <w:rsid w:val="5FDFC522"/>
    <w:rsid w:val="6CFC5835"/>
    <w:rsid w:val="6FE9DFA5"/>
    <w:rsid w:val="6FF7B5C8"/>
    <w:rsid w:val="74EF0DAF"/>
    <w:rsid w:val="76576194"/>
    <w:rsid w:val="77D7C777"/>
    <w:rsid w:val="78FF9F1C"/>
    <w:rsid w:val="7BFFD2F7"/>
    <w:rsid w:val="7D473A11"/>
    <w:rsid w:val="7D7FD33D"/>
    <w:rsid w:val="7DF9200D"/>
    <w:rsid w:val="7EFFC158"/>
    <w:rsid w:val="7F695405"/>
    <w:rsid w:val="8ABEE47C"/>
    <w:rsid w:val="AEAF67DC"/>
    <w:rsid w:val="AECFAD74"/>
    <w:rsid w:val="B3FEA9EF"/>
    <w:rsid w:val="B7FEF551"/>
    <w:rsid w:val="BBD68691"/>
    <w:rsid w:val="BFD7C2A8"/>
    <w:rsid w:val="CBDA46FA"/>
    <w:rsid w:val="CFBDAEF9"/>
    <w:rsid w:val="CFFF1593"/>
    <w:rsid w:val="D7F8DDAE"/>
    <w:rsid w:val="E5DD9418"/>
    <w:rsid w:val="E7BFCB01"/>
    <w:rsid w:val="EBD730EB"/>
    <w:rsid w:val="EC2D9E1A"/>
    <w:rsid w:val="EF06E542"/>
    <w:rsid w:val="EF7FB042"/>
    <w:rsid w:val="EFB7ADF2"/>
    <w:rsid w:val="EFCFFD3A"/>
    <w:rsid w:val="EFE712E6"/>
    <w:rsid w:val="F0D7EC59"/>
    <w:rsid w:val="F5EEDA60"/>
    <w:rsid w:val="F6DFFC0C"/>
    <w:rsid w:val="F73F225B"/>
    <w:rsid w:val="FABE4737"/>
    <w:rsid w:val="FAE5872A"/>
    <w:rsid w:val="FBFF7EF4"/>
    <w:rsid w:val="FD375179"/>
    <w:rsid w:val="FD6C9E97"/>
    <w:rsid w:val="FEA64923"/>
    <w:rsid w:val="FED769C8"/>
    <w:rsid w:val="FF6F6FFE"/>
    <w:rsid w:val="FF7BF13D"/>
    <w:rsid w:val="FFEFF665"/>
    <w:rsid w:val="FFFBE5A1"/>
    <w:rsid w:val="FFFF3C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unhideWhenUsed/>
    <w:qFormat/>
    <w:uiPriority w:val="99"/>
    <w:pPr>
      <w:widowControl/>
      <w:spacing w:before="100" w:beforeAutospacing="1" w:after="100" w:afterAutospacing="1" w:line="384" w:lineRule="exact"/>
      <w:ind w:firstLine="721" w:firstLineChars="200"/>
      <w:jc w:val="left"/>
    </w:pPr>
    <w:rPr>
      <w:rFonts w:ascii="宋体" w:hAnsi="宋体" w:eastAsia="汉仪书宋二简" w:cs="宋体"/>
      <w:color w:val="auto"/>
      <w:kern w:val="0"/>
      <w:sz w:val="24"/>
      <w:szCs w:val="24"/>
      <w:lang w:val="en-US" w:eastAsia="zh-CN" w:bidi="ar-SA"/>
    </w:rPr>
  </w:style>
  <w:style w:type="table" w:styleId="4">
    <w:name w:val="Table Gri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3</TotalTime>
  <ScaleCrop>false</ScaleCrop>
  <LinksUpToDate>false</LinksUpToDate>
  <CharactersWithSpaces>0</CharactersWithSpaces>
  <Application>WPS Office_12.1.24031.24031_F1E327BC-269C-435d-A152-05C5408002CA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2026-01-30T08:22:00Z</dcterms:created>
  <dc:creator>Arthur (Xiao) Dong</dc:creator>
  <cp:lastModifiedBy>Arthur (Xiao）Dong</cp:lastModifiedBy>
  <dcterms:modified xsi:type="dcterms:W3CDTF">2026-03-11T23:04:58Z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2052-12.1.24031.24031</vt:lpwstr>
  </property>
  <property fmtid="{D5CDD505-2E9C-101B-9397-08002B2CF9AE}" pid="3" name="ICV">
    <vt:lpwstr>3A31E5C62E8666FD53247769E1688135_41</vt:lpwstr>
  </property>
</Properties>
</file>