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6"/>
          <w:szCs w:val="36"/>
          <w:lang w:val="en-US" w:eastAsia="zh-CN"/>
        </w:rPr>
      </w:pPr>
      <w:r>
        <w:rPr>
          <w:rFonts w:hint="eastAsia"/>
          <w:b/>
          <w:bCs/>
          <w:sz w:val="36"/>
          <w:szCs w:val="36"/>
          <w:lang w:val="en-US" w:eastAsia="zh-CN"/>
        </w:rPr>
        <w:t>民法第五讲课堂笔记（考点7-8）</w:t>
      </w:r>
    </w:p>
    <w:p w14:paraId="56B4F0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【考点7:物权一般原理】</w:t>
      </w:r>
    </w:p>
    <w:p w14:paraId="77F092C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一、区分原则：负担行为和处分行为各自独立生效，是否办理不动产登记，不影响买卖合同本身的效力。</w:t>
      </w:r>
    </w:p>
    <w:p w14:paraId="75D7979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二、不动产登记</w:t>
      </w:r>
    </w:p>
    <w:p w14:paraId="14F018A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（一）登记的原则和例外</w:t>
      </w:r>
    </w:p>
    <w:p w14:paraId="730DAD9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原则上不动产物权的变动都需要登记，但是有以下例外：（1）土地承包经营权自土地承包经营权合同生效时设立，登记不是土地承包经营权设立的要件；（2）土地承包经营权设立后的转让和互换，自合同生效时移转，未登记不得对抗善意第三人；（3）宅基地使用权的物权变动不以登记为其要件；（4）地役权自地役权合同生效时设立，未登记不得对抗善意第三人，而非生效要件。</w:t>
      </w:r>
    </w:p>
    <w:p w14:paraId="34E9E90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（二）更正登记</w:t>
      </w:r>
    </w:p>
    <w:p w14:paraId="39832B5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1.权利人发现登记簿记载错误，并在申请更正登记时提供证据加以证明的，不动产登记机构应予以更正；</w:t>
      </w:r>
    </w:p>
    <w:p w14:paraId="424DE64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2.如系登记簿记载的权利人以外的利害关系人（例如主张自己才是不动产真正的所有权人之人）提出更正登记，则只有在不动产登记簿记载的权利人书面同意之时，登记机构才能予以更正。</w:t>
      </w:r>
    </w:p>
    <w:p w14:paraId="77FA18E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（三）异议登记</w:t>
      </w:r>
    </w:p>
    <w:p w14:paraId="5B85F41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异议登记将使记载于登记簿上的物权失去公信力，从而使第三人无从主张根据登记的公信力善意取得不动产物权。</w:t>
      </w:r>
    </w:p>
    <w:p w14:paraId="25924A2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异议登记是一种临时性保护措施。登记机构在进行异议登记之后，申请人应在异议登记之日起15日内向人民法院提起诉讼，要求确认自己在不动产上的物权。逾期不起诉的，异议登记失去效力。</w:t>
      </w:r>
    </w:p>
    <w:p w14:paraId="53EEE8F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（四）预告登记</w:t>
      </w:r>
    </w:p>
    <w:p w14:paraId="1D4E90E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1.一般的预告登记：在进行预告登记后，未经登记权利人的同意，房屋出卖人不得另行处分该房屋；实施处分行为的，该处分不发生物权的效力。但是，处分不动产的合同效力不受影响。</w:t>
      </w:r>
    </w:p>
    <w:p w14:paraId="300D4C2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《民法典物权编解释一》第4条  未经预告登记的权利人同意，转让不动产所有权等物权，或者设立建设用地使用权、居住权、地役权、抵押权等其他物权的，应当依照民法典第二百二十一条第一款的规定，认定其不发生物权效力。</w:t>
      </w:r>
    </w:p>
    <w:p w14:paraId="6FD71BC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【注意】预告登记后，债权消灭或者自能够进行不动产登记之日起三个月内未申请登记的，预告登记失效。例如，在期房买卖中，房子建好后三个月内如果不办理本登记，则预告登记失效。</w:t>
      </w:r>
    </w:p>
    <w:p w14:paraId="5182C92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2.抵押预告登记</w:t>
      </w:r>
    </w:p>
    <w:p w14:paraId="023FA87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《民法典担保制度解释》第52条</w:t>
      </w:r>
      <w:r>
        <w:rPr>
          <w:rFonts w:hint="eastAsia" w:ascii="Times New Roman Regular" w:hAnsi="Times New Roman Regular" w:cs="Times New Roman Regular"/>
          <w:sz w:val="24"/>
          <w:szCs w:val="24"/>
          <w:lang w:val="en-US" w:eastAsia="zh-CN"/>
        </w:rPr>
        <w:t>：</w:t>
      </w:r>
      <w:r>
        <w:rPr>
          <w:rFonts w:hint="default" w:ascii="Times New Roman Regular" w:hAnsi="Times New Roman Regular" w:cs="Times New Roman Regular"/>
          <w:sz w:val="24"/>
          <w:szCs w:val="24"/>
          <w:lang w:val="en-US" w:eastAsia="zh-CN"/>
        </w:rPr>
        <w:t>当事人办理抵押预告登记后，预告登记权利人请求就抵押财产优先受偿，经审查存在尚未办理建筑物所有权首次登记、预告登记的财产与办理建筑物所有权首次登记时的财产不一致、抵押预告登记已经失效等情形，导致不具备办理抵押登记条件的，人民法院不予支持；经审查已经办理建筑物所有权首次登记，且不存在预告登记失效等情形的，人民法院应予支持，并应当认定抵押权自预告登记之日起设立。</w:t>
      </w:r>
    </w:p>
    <w:p w14:paraId="56E0FE9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当事人办理了抵押预告登记，抵押人破产，经审查抵押财产属于破产财产，预告登记权利人主张就抵押财产优先受偿的，人民法院应当在受理破产申请时抵押财产的价值范围内予以支持，但是在人民法院受理破产申请前一年内，债务人对没有财产担保的债务设立抵押预告登记的除外。</w:t>
      </w:r>
    </w:p>
    <w:p w14:paraId="2B37328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三、动产交付</w:t>
      </w:r>
    </w:p>
    <w:p w14:paraId="4B46582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所谓“动产物权的设立和转让”，包括两种具体情形：（1）动产所有权转移，即普通动产依法律行为而转移所有权的，自出让人交付动产于受让人时发生移转效果；（2）质权设立（《民法典》第429条），即通过质权合同创立质权的，该质权自出质人交付质物于质权人时发生效力。</w:t>
      </w:r>
    </w:p>
    <w:p w14:paraId="1FAE82F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（一）交付的方式：包括现实交付、简易交付、指示交付和占有改定（后三种统称为观念交付，需要重点掌握</w:t>
      </w:r>
      <w:bookmarkStart w:id="0" w:name="_GoBack"/>
      <w:bookmarkEnd w:id="0"/>
      <w:r>
        <w:rPr>
          <w:rFonts w:hint="eastAsia" w:ascii="Times New Roman Regular" w:hAnsi="Times New Roman Regular" w:cs="Times New Roman Regular"/>
          <w:sz w:val="24"/>
          <w:szCs w:val="24"/>
          <w:lang w:val="en-US" w:eastAsia="zh-CN"/>
        </w:rPr>
        <w:t>）</w:t>
      </w:r>
    </w:p>
    <w:p w14:paraId="1FA33E4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1.简易交付：在当事人实施动产物权变动行为之前，权利的受让人已经由于某种原因占有了该动产，此时，实际交付当然就不再需要。</w:t>
      </w:r>
    </w:p>
    <w:p w14:paraId="73A1156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2.指示交付：从占有的角度，指示交付意味着出让人将自己的间接占有移转给受让人。</w:t>
      </w:r>
    </w:p>
    <w:p w14:paraId="0A4693A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3.占有改定：在占有改定中，物权变动的时点是占有媒介关系生效时。</w:t>
      </w:r>
    </w:p>
    <w:p w14:paraId="47CB984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【例】2月1日，甲、乙约定，甲将一台设备卖给乙。3月1日，甲、乙约定，设备所有权移转给乙，但甲继续租赁该设备一个月。</w:t>
      </w:r>
    </w:p>
    <w:p w14:paraId="53D5A49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在此例中，甲与乙存在三重行为：（1）2月1日发生的买卖合同（负担行为）；（2）3月1日发生的所有权转移合意（处分行为）；（3）3月1日发生的租赁合同（占有媒介关系）。结合《民法典》第228条的规定，在甲与乙达成占有媒介关系的时候，乙就取得设备的所有权。</w:t>
      </w:r>
    </w:p>
    <w:p w14:paraId="680AEB8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【注意】善意取得和质权设定不能通过占有改定进行。</w:t>
      </w:r>
    </w:p>
    <w:p w14:paraId="598EB08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（二）特殊动产（机动车、船舶、航空器）</w:t>
      </w:r>
    </w:p>
    <w:p w14:paraId="5991F3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特殊动产的物权变动规则可归结为“交付变动、登记对抗”。</w:t>
      </w:r>
    </w:p>
    <w:p w14:paraId="0CE48C8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注意】关于本条所称“未经登记，不得对抗善意第三人”，应注意《民法典物权编解释一》第6条，即此处的善意第三人原则上应是对该特殊动产有直接交易利益的交易关系中的第三人（如买受人），而不包括转让人的一般债权人。后者以已交付给第三人的特殊动产未办理登记为由要求人民法院强制执行的，人民法院不予支持。</w:t>
      </w:r>
    </w:p>
    <w:p w14:paraId="7F1CF14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四、非基于法律行为的物权变动</w:t>
      </w:r>
    </w:p>
    <w:p w14:paraId="5F6876E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（一）依裁判文书等发生物权变动</w:t>
      </w:r>
    </w:p>
    <w:p w14:paraId="2F1C44C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具体包括以下两类：（1）法院、仲裁机构作出的改变原有物权关系的判决书、裁决书、调解书，即形成性法律文书。形成性法律文书对应民法上的形成诉权；（2）法院在执行程序中作出的拍卖成交裁定书、变卖成交裁定书、以物抵债裁定书。</w:t>
      </w:r>
    </w:p>
    <w:p w14:paraId="7503F8A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【注意】以物抵债协议的诉讼中作出的调解书不是以物抵债裁定书，不具有物权效力，需要经过履行或者强制执行才能导致物权变动。</w:t>
      </w:r>
    </w:p>
    <w:p w14:paraId="68DEE08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【拓展】在民事诉讼法上，民事判决包括给付判决、确认判决和形成判决，其中只有形成判决才能直接导致物权变动。</w:t>
      </w:r>
    </w:p>
    <w:p w14:paraId="48138F0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（二）因继承发生物权变动</w:t>
      </w:r>
    </w:p>
    <w:p w14:paraId="51570CC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在因继承引起物权变动的情形，无论是法定继承还是遗嘱继承，物权变动的效果均自继承开始之时（即被继承人死亡之时）发生。被继承人死亡时，其主体资格消灭从而也就丧失了其生前所享有的物权，此时，应在这一时点上确认继承人取得物权，否则将会产生财产无主的问题。</w:t>
      </w:r>
    </w:p>
    <w:p w14:paraId="592484B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（三）因事实行为发生物权变动</w:t>
      </w:r>
    </w:p>
    <w:p w14:paraId="460F710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合法建造、拆除行为属于事实行为，不要求行为人具有民事行为能力，自事实行为成就时就发生物权变动的效力。《民法典》230条使用了“合法建造”这一措辞，这意味着，只有合法建筑才能取得所有权。对于违法建筑，需要注意：（1）违法建筑指未取得建设工程规划许可证或者未按照建设工程规划许可证的规定建设的建筑物；（2）违法建筑的买卖、租赁或抵押，相应的买卖合同、租赁合同与抵押合同都是无效的。</w:t>
      </w:r>
    </w:p>
    <w:p w14:paraId="1BCD3AF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（四）后续登记的问题（也叫宣示登记）</w:t>
      </w:r>
    </w:p>
    <w:p w14:paraId="2F23F44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尽管取得不动产物权的时候不需要登记，但如果要进一步</w:t>
      </w:r>
      <w:r>
        <w:rPr>
          <w:rFonts w:hint="default" w:ascii="Times New Roman Regular" w:hAnsi="Times New Roman Regular" w:cs="Times New Roman Regular"/>
          <w:sz w:val="24"/>
          <w:szCs w:val="24"/>
          <w:lang w:val="en-US" w:eastAsia="zh-CN"/>
        </w:rPr>
        <w:t>处分不动产物权，依照法律规定需要办理登记的，未经登记，不发生物权效力。</w:t>
      </w:r>
    </w:p>
    <w:p w14:paraId="03F2CB8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五、物权请求权</w:t>
      </w:r>
    </w:p>
    <w:p w14:paraId="2CA5A76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（一）返还原物请求权</w:t>
      </w:r>
    </w:p>
    <w:p w14:paraId="1286BF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1.构成要件</w:t>
      </w:r>
    </w:p>
    <w:p w14:paraId="4861DEC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w:t>
      </w:r>
      <w:r>
        <w:rPr>
          <w:rFonts w:hint="default" w:ascii="Times New Roman Regular" w:hAnsi="Times New Roman Regular" w:cs="Times New Roman Regular"/>
          <w:sz w:val="24"/>
          <w:szCs w:val="24"/>
          <w:lang w:val="en-US" w:eastAsia="zh-CN"/>
        </w:rPr>
        <w:t>请求方是包含占有权能的物权人</w:t>
      </w:r>
      <w:r>
        <w:rPr>
          <w:rFonts w:hint="eastAsia" w:ascii="Times New Roman Regular" w:hAnsi="Times New Roman Regular" w:cs="Times New Roman Regular"/>
          <w:sz w:val="24"/>
          <w:szCs w:val="24"/>
          <w:lang w:val="en-US" w:eastAsia="zh-CN"/>
        </w:rPr>
        <w:t>，不限于所有权人</w:t>
      </w:r>
      <w:r>
        <w:rPr>
          <w:rFonts w:hint="default" w:ascii="Times New Roman Regular" w:hAnsi="Times New Roman Regular" w:cs="Times New Roman Regular"/>
          <w:sz w:val="24"/>
          <w:szCs w:val="24"/>
          <w:lang w:val="en-US" w:eastAsia="zh-CN"/>
        </w:rPr>
        <w:t>。并非所有的物权人都享有返还原物请求权，包含占有权能的物权人是可以主张返还原物请求权的，具体包括所有权、大部分用益物权、动产质权与留置权。不包含占有权能的物权人是不能主张返还原物请求权的，典型的情形是抵押权。抵押权是不移转抵押财产的占有的，因此抵押权存续期间，抵押权人并不占有抵押财产。如果抵押财产被第三人侵占，抵押权人也不得主张返还原物请求权。</w:t>
      </w:r>
    </w:p>
    <w:p w14:paraId="6E640D2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w:t>
      </w:r>
      <w:r>
        <w:rPr>
          <w:rFonts w:hint="default" w:ascii="Times New Roman Regular" w:hAnsi="Times New Roman Regular" w:cs="Times New Roman Regular"/>
          <w:sz w:val="24"/>
          <w:szCs w:val="24"/>
          <w:lang w:val="en-US" w:eastAsia="zh-CN"/>
        </w:rPr>
        <w:t>相对方是现在的无权占有人。对此需要注意两点：</w:t>
      </w:r>
      <w:r>
        <w:rPr>
          <w:rFonts w:hint="eastAsia" w:ascii="Times New Roman Regular" w:hAnsi="Times New Roman Regular" w:cs="Times New Roman Regular"/>
          <w:sz w:val="24"/>
          <w:szCs w:val="24"/>
          <w:lang w:val="en-US" w:eastAsia="zh-CN"/>
        </w:rPr>
        <w:t>第一，</w:t>
      </w:r>
      <w:r>
        <w:rPr>
          <w:rFonts w:hint="default" w:ascii="Times New Roman Regular" w:hAnsi="Times New Roman Regular" w:cs="Times New Roman Regular"/>
          <w:sz w:val="24"/>
          <w:szCs w:val="24"/>
          <w:lang w:val="en-US" w:eastAsia="zh-CN"/>
        </w:rPr>
        <w:t>相对方必须是现在的占有人；</w:t>
      </w:r>
      <w:r>
        <w:rPr>
          <w:rFonts w:hint="eastAsia" w:ascii="Times New Roman Regular" w:hAnsi="Times New Roman Regular" w:cs="Times New Roman Regular"/>
          <w:sz w:val="24"/>
          <w:szCs w:val="24"/>
          <w:lang w:val="en-US" w:eastAsia="zh-CN"/>
        </w:rPr>
        <w:t>第二，</w:t>
      </w:r>
      <w:r>
        <w:rPr>
          <w:rFonts w:hint="default" w:ascii="Times New Roman Regular" w:hAnsi="Times New Roman Regular" w:cs="Times New Roman Regular"/>
          <w:sz w:val="24"/>
          <w:szCs w:val="24"/>
          <w:lang w:val="en-US" w:eastAsia="zh-CN"/>
        </w:rPr>
        <w:t>相对方必须是无权占有人。如果相对方是有权占有人，则物权人不得主张返还原物请求权。相对方可能基于物权而有权占有，也可能基于债权而有权占有。</w:t>
      </w:r>
    </w:p>
    <w:p w14:paraId="35A838B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w:t>
      </w:r>
      <w:r>
        <w:rPr>
          <w:rFonts w:hint="default" w:ascii="Times New Roman Regular" w:hAnsi="Times New Roman Regular" w:cs="Times New Roman Regular"/>
          <w:sz w:val="24"/>
          <w:szCs w:val="24"/>
          <w:lang w:val="en-US" w:eastAsia="zh-CN"/>
        </w:rPr>
        <w:t>返还原物请求权的法律效果是：</w:t>
      </w:r>
    </w:p>
    <w:p w14:paraId="18CC8F2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（1）无权占有人须向物权人返还占有。对此需要注意，返还的客体是占有而非所有权；</w:t>
      </w:r>
    </w:p>
    <w:p w14:paraId="1594CFE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（2）返还占有的费用原则上由无权占有人承担；</w:t>
      </w:r>
    </w:p>
    <w:p w14:paraId="4873DA5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（3）在返还占有的同时可能会同时附带产生一些债法问题，包括使用收益与孳息的返还、必要费用的求偿以及客体物毁损灭失的损害赔偿</w:t>
      </w:r>
      <w:r>
        <w:rPr>
          <w:rFonts w:hint="eastAsia" w:ascii="Times New Roman Regular" w:hAnsi="Times New Roman Regular" w:cs="Times New Roman Regular"/>
          <w:sz w:val="24"/>
          <w:szCs w:val="24"/>
          <w:lang w:val="en-US" w:eastAsia="zh-CN"/>
        </w:rPr>
        <w:t>。</w:t>
      </w:r>
    </w:p>
    <w:p w14:paraId="6A3ABC9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【提示】不动产、需要登记的特殊动产的返还原物请求权不适用诉讼时效，普通动产的返还原物请求权适用诉讼时效。</w:t>
      </w:r>
    </w:p>
    <w:p w14:paraId="3368B65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（二）排除妨害请求权</w:t>
      </w:r>
    </w:p>
    <w:p w14:paraId="1F40CED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（三）消除危险请求权</w:t>
      </w:r>
    </w:p>
    <w:p w14:paraId="75774BC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【提示】排除妨害请求权和消除危险请求权不适用诉讼时效。</w:t>
      </w:r>
    </w:p>
    <w:p w14:paraId="4D86F4C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p w14:paraId="77926D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p w14:paraId="3DC6923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【考点8】所有权的特殊取得方式</w:t>
      </w:r>
    </w:p>
    <w:p w14:paraId="7814A28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未正式开始</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书宋一简">
    <w:altName w:val="华文宋体"/>
    <w:panose1 w:val="02010609000101010101"/>
    <w:charset w:val="86"/>
    <w:family w:val="modern"/>
    <w:pitch w:val="default"/>
    <w:sig w:usb0="00000000" w:usb1="00000000" w:usb2="00000012" w:usb3="00000000" w:csb0="00040000" w:csb1="00000000"/>
  </w:font>
  <w:font w:name="汉仪中黑简">
    <w:altName w:val="汉仪中黑KW"/>
    <w:panose1 w:val="02010609000101010101"/>
    <w:charset w:val="86"/>
    <w:family w:val="modern"/>
    <w:pitch w:val="default"/>
    <w:sig w:usb0="00000000" w:usb1="00000000" w:usb2="00000012" w:usb3="00000000" w:csb0="00040000" w:csb1="00000000"/>
  </w:font>
  <w:font w:name="汉仪中黑KW">
    <w:panose1 w:val="00020600040101010101"/>
    <w:charset w:val="86"/>
    <w:family w:val="auto"/>
    <w:pitch w:val="default"/>
    <w:sig w:usb0="A00002BF" w:usb1="18EF7CFA" w:usb2="00000016" w:usb3="00000000" w:csb0="00040000" w:csb1="00000000"/>
  </w:font>
  <w:font w:name="汉仪粗黑简">
    <w:altName w:val="汉仪中黑KW"/>
    <w:panose1 w:val="02010609000101010101"/>
    <w:charset w:val="86"/>
    <w:family w:val="modern"/>
    <w:pitch w:val="default"/>
    <w:sig w:usb0="00000000" w:usb1="00000000" w:usb2="00000012"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177DA370"/>
    <w:rsid w:val="1FFDE82A"/>
    <w:rsid w:val="37F9300F"/>
    <w:rsid w:val="3AFF6CB2"/>
    <w:rsid w:val="3DDD8785"/>
    <w:rsid w:val="3EFFCDE3"/>
    <w:rsid w:val="476F4769"/>
    <w:rsid w:val="4B76FC03"/>
    <w:rsid w:val="4F7E5D39"/>
    <w:rsid w:val="5BF630B3"/>
    <w:rsid w:val="5FDFC522"/>
    <w:rsid w:val="74EF0DAF"/>
    <w:rsid w:val="76576194"/>
    <w:rsid w:val="76FFC346"/>
    <w:rsid w:val="78FF9F1C"/>
    <w:rsid w:val="79FD0C96"/>
    <w:rsid w:val="7BFFD2F7"/>
    <w:rsid w:val="7D7FD33D"/>
    <w:rsid w:val="7DE55D99"/>
    <w:rsid w:val="7DF9200D"/>
    <w:rsid w:val="7EFFC158"/>
    <w:rsid w:val="8ABEE47C"/>
    <w:rsid w:val="AEAF67DC"/>
    <w:rsid w:val="AECFAD74"/>
    <w:rsid w:val="AFD7A0CB"/>
    <w:rsid w:val="B3FEA9EF"/>
    <w:rsid w:val="B7F581D8"/>
    <w:rsid w:val="B7FEF551"/>
    <w:rsid w:val="B987EA90"/>
    <w:rsid w:val="BBD68691"/>
    <w:rsid w:val="BFD7C2A8"/>
    <w:rsid w:val="CBDA46FA"/>
    <w:rsid w:val="CFBDAEF9"/>
    <w:rsid w:val="E2EA5598"/>
    <w:rsid w:val="E5DD9418"/>
    <w:rsid w:val="EBD730EB"/>
    <w:rsid w:val="EC2D9E1A"/>
    <w:rsid w:val="EF06E542"/>
    <w:rsid w:val="EF7FB042"/>
    <w:rsid w:val="EFB7ADF2"/>
    <w:rsid w:val="EFCFFD3A"/>
    <w:rsid w:val="EFE712E6"/>
    <w:rsid w:val="F0D7EC59"/>
    <w:rsid w:val="F5EEDA60"/>
    <w:rsid w:val="F6DFFC0C"/>
    <w:rsid w:val="F73F225B"/>
    <w:rsid w:val="FA9B9776"/>
    <w:rsid w:val="FABE4737"/>
    <w:rsid w:val="FBDEBE55"/>
    <w:rsid w:val="FBFB9623"/>
    <w:rsid w:val="FD375179"/>
    <w:rsid w:val="FD6C9E97"/>
    <w:rsid w:val="FD7FE3B1"/>
    <w:rsid w:val="FED769C8"/>
    <w:rsid w:val="FF6F6FFE"/>
    <w:rsid w:val="FF7BF13D"/>
    <w:rsid w:val="FFEFF665"/>
    <w:rsid w:val="FFFBE5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50</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2026-01-30T08:22:00Z</dcterms:created>
  <dc:creator>Arthur (Xiao) Dong</dc:creator>
  <cp:lastModifiedBy>Arthur (Xiao）Dong</cp:lastModifiedBy>
  <dcterms:modified xsi:type="dcterms:W3CDTF">2026-03-09T22:58:32Z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