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sz w:val="24"/>
          <w:szCs w:val="24"/>
          <w:lang w:val="en-US" w:eastAsia="zh-CN"/>
        </w:rPr>
      </w:pPr>
      <w:r>
        <w:rPr>
          <w:rFonts w:hint="eastAsia"/>
          <w:b/>
          <w:bCs/>
          <w:sz w:val="24"/>
          <w:szCs w:val="24"/>
          <w:lang w:val="en-US" w:eastAsia="zh-CN"/>
        </w:rPr>
        <w:t>民法第四讲课堂笔记（考点5-7）</w:t>
      </w:r>
    </w:p>
    <w:p w14:paraId="56B4F06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【考点5:代理】</w:t>
      </w:r>
    </w:p>
    <w:p w14:paraId="43C5AD5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一、代理与相关制度的区分</w:t>
      </w:r>
    </w:p>
    <w:p w14:paraId="461F1DC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1．无权代理与无权处分</w:t>
      </w:r>
    </w:p>
    <w:p w14:paraId="448A2F6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二者之间的核心差异是实施民事法律行为的名义：以自己名义交易且无处分权构成无权处分；以他人名义且无代理权则构成无权代理。</w:t>
      </w:r>
    </w:p>
    <w:p w14:paraId="615D0F7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【例1：无权处分】甲将一幅画交给乙保管，保管期间乙以自己名义擅自将画卖给丙并交付。</w:t>
      </w:r>
    </w:p>
    <w:p w14:paraId="1AB4FB0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【例2：无权代理】甲将一幅画交给乙保管，保管期间乙擅自以甲的名义将画卖给丙并交付。</w:t>
      </w:r>
    </w:p>
    <w:p w14:paraId="5ED4ED2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正确区分无权处分与无权代理具有重要意义：善意取得规则的适用以无权处分为前提，如果是无权代理行为，则不可能适用善意取得规则；同理，表见代理规则的适用以无权代理为前提，如果是无权处分，则不可能适用表见代理规则。</w:t>
      </w:r>
    </w:p>
    <w:p w14:paraId="573590F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2．代理与中介</w:t>
      </w:r>
    </w:p>
    <w:p w14:paraId="2BF57DA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中介与代理的区别在于：在中介合同里，中介人所实施的行为是报告订立合同的机会或者提供订立合同的媒介服务，中介人本身并不会为委托人实施民事法律行为。代理行为是代理人以被代理人的名义实施民事法律行为（签合同）。</w:t>
      </w:r>
    </w:p>
    <w:p w14:paraId="61D9765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3．代理与冒名行为</w:t>
      </w:r>
    </w:p>
    <w:p w14:paraId="46DA0F2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冒名行为是指将他人的名义当做自己的名义而实施民事法律行为。冒名行为是声称自己是所冒名之人。冒名行为的例证：甲将一幅画交给乙保管，保管期间乙声称自己是甲，擅自将画卖给丙。冒名行为有两种：</w:t>
      </w:r>
    </w:p>
    <w:p w14:paraId="6EA6AD8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（1）姓名冒用。行为人只冒用了他人的姓名，但没有将法律效果归属给他人的意思。</w:t>
      </w:r>
    </w:p>
    <w:p w14:paraId="03B6091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【例】甲想在京东平台买书但自己没有账号，偷用乙的账号登录下单，此时买卖合同的当事人是甲而非乙，无须类推适用无权代理规则。</w:t>
      </w:r>
    </w:p>
    <w:p w14:paraId="35E1E34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（2）身份冒用。尽管行为人也没有将法律效果归属于他人的意思，但相对方善意地认为法律效果应归属于被冒用之人。此时类推适用无权代理的规则。</w:t>
      </w:r>
    </w:p>
    <w:p w14:paraId="3DA64CA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【例】甲有一套房，乙伪造甲的身份证等证件，并声称自己是甲，将该房卖给丙，丙善意地相信乙就是甲。</w:t>
      </w:r>
    </w:p>
    <w:p w14:paraId="694436F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总结：姓名冒用不影响法律行为的效力，法律效果归属于行为人自己；身份冒用准用无权代理，是否对被冒名人发生效力，取决于是否追认以及是否构成表见代理。</w:t>
      </w:r>
    </w:p>
    <w:p w14:paraId="5F1FF93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二、无权代理：表见代理和狭义的无权代理都是无权代理</w:t>
      </w:r>
    </w:p>
    <w:p w14:paraId="3F7F267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（一）表见代理</w:t>
      </w:r>
    </w:p>
    <w:p w14:paraId="09DCEFF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1</w:t>
      </w:r>
      <w:r>
        <w:rPr>
          <w:rFonts w:hint="default" w:ascii="Times New Roman Regular" w:hAnsi="Times New Roman Regular" w:cs="Times New Roman Regular"/>
          <w:sz w:val="24"/>
          <w:szCs w:val="24"/>
          <w:lang w:val="en-US" w:eastAsia="zh-CN"/>
        </w:rPr>
        <w:t>．表见代理的构成要件</w:t>
      </w:r>
    </w:p>
    <w:p w14:paraId="5BE1F2F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（1）代理人欠缺代理权。</w:t>
      </w:r>
    </w:p>
    <w:p w14:paraId="073EF2F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（2）存在代理权外观。</w:t>
      </w:r>
    </w:p>
    <w:p w14:paraId="38CF81D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（3）代理权外观可归责于被代理人。</w:t>
      </w:r>
    </w:p>
    <w:p w14:paraId="4299EBE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（4）相对方善意</w:t>
      </w:r>
      <w:r>
        <w:rPr>
          <w:rFonts w:hint="eastAsia" w:ascii="Times New Roman Regular" w:hAnsi="Times New Roman Regular" w:cs="Times New Roman Regular"/>
          <w:sz w:val="24"/>
          <w:szCs w:val="24"/>
          <w:lang w:val="en-US" w:eastAsia="zh-CN"/>
        </w:rPr>
        <w:t>且无过失</w:t>
      </w:r>
    </w:p>
    <w:p w14:paraId="2E6DB93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2</w:t>
      </w:r>
      <w:r>
        <w:rPr>
          <w:rFonts w:hint="default" w:ascii="Times New Roman Regular" w:hAnsi="Times New Roman Regular" w:cs="Times New Roman Regular"/>
          <w:sz w:val="24"/>
          <w:szCs w:val="24"/>
          <w:lang w:val="en-US" w:eastAsia="zh-CN"/>
        </w:rPr>
        <w:t>．表见代理的法律效果</w:t>
      </w:r>
    </w:p>
    <w:p w14:paraId="1791BC7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（1）被代理人与相对方之间缔结有效的民事法律行为关系，发生相当于有权代理的法律效果；</w:t>
      </w:r>
    </w:p>
    <w:p w14:paraId="52280E4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（2）在代理人与第三人之间不发生法律关系；</w:t>
      </w:r>
    </w:p>
    <w:p w14:paraId="16CCEFC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（3）被代理人可能因表见代理而受到损害，对于该损害，被代理人视情况有权向代理人主张违约责任或者侵权损害赔偿等救济。</w:t>
      </w:r>
    </w:p>
    <w:p w14:paraId="33C38DF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（二）狭义的无权代理</w:t>
      </w:r>
    </w:p>
    <w:p w14:paraId="29FB163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无权代理行为，若不构成表见代理，则构成狭义的无权代理。结合《民法典》第171条，狭义的无权代理发生以下法律效果：</w:t>
      </w:r>
    </w:p>
    <w:p w14:paraId="01D5F64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1．代理行为效力待定</w:t>
      </w:r>
      <w:r>
        <w:rPr>
          <w:rFonts w:hint="eastAsia" w:ascii="Times New Roman Regular" w:hAnsi="Times New Roman Regular" w:cs="Times New Roman Regular"/>
          <w:sz w:val="24"/>
          <w:szCs w:val="24"/>
          <w:lang w:val="en-US" w:eastAsia="zh-CN"/>
        </w:rPr>
        <w:t>：</w:t>
      </w:r>
      <w:r>
        <w:rPr>
          <w:rFonts w:hint="default" w:ascii="Times New Roman Regular" w:hAnsi="Times New Roman Regular" w:cs="Times New Roman Regular"/>
          <w:sz w:val="24"/>
          <w:szCs w:val="24"/>
          <w:lang w:val="en-US" w:eastAsia="zh-CN"/>
        </w:rPr>
        <w:t>其最终效力取决于被代理人是否追认。</w:t>
      </w:r>
    </w:p>
    <w:p w14:paraId="51BEB21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2．相对方的催告权</w:t>
      </w:r>
      <w:r>
        <w:rPr>
          <w:rFonts w:hint="eastAsia" w:ascii="Times New Roman Regular" w:hAnsi="Times New Roman Regular" w:cs="Times New Roman Regular"/>
          <w:sz w:val="24"/>
          <w:szCs w:val="24"/>
          <w:lang w:val="en-US" w:eastAsia="zh-CN"/>
        </w:rPr>
        <w:t>：</w:t>
      </w:r>
      <w:r>
        <w:rPr>
          <w:rFonts w:hint="default" w:ascii="Times New Roman Regular" w:hAnsi="Times New Roman Regular" w:cs="Times New Roman Regular"/>
          <w:sz w:val="24"/>
          <w:szCs w:val="24"/>
          <w:lang w:val="en-US" w:eastAsia="zh-CN"/>
        </w:rPr>
        <w:t>《民法典》第171条第2款赋予相对人催告权（不论善恶意），其有权催告被代理人在30日内追认。如果被代理人在这30日的期间内仍然保持沉默，此时解释为拒绝追认，代理行为确定不生效。</w:t>
      </w:r>
    </w:p>
    <w:p w14:paraId="72164E5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3．善意相对人的撤销权</w:t>
      </w:r>
      <w:r>
        <w:rPr>
          <w:rFonts w:hint="eastAsia" w:ascii="Times New Roman Regular" w:hAnsi="Times New Roman Regular" w:cs="Times New Roman Regular"/>
          <w:sz w:val="24"/>
          <w:szCs w:val="24"/>
          <w:lang w:val="en-US" w:eastAsia="zh-CN"/>
        </w:rPr>
        <w:t>：</w:t>
      </w:r>
      <w:r>
        <w:rPr>
          <w:rFonts w:hint="default" w:ascii="Times New Roman Regular" w:hAnsi="Times New Roman Regular" w:cs="Times New Roman Regular"/>
          <w:sz w:val="24"/>
          <w:szCs w:val="24"/>
          <w:lang w:val="en-US" w:eastAsia="zh-CN"/>
        </w:rPr>
        <w:t>如果相对人是善意的，完全由被代理人一人决定代理行为的效力，并不合理，应当赋予善意相对人从代理行为中解脱出来的权利。基于这一考虑，《民法典》第171条第2款还赋予了善意相对人的撤销权，其有权在被代理人追认之前以通知的方式撤销。</w:t>
      </w:r>
    </w:p>
    <w:p w14:paraId="3AD7C4A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4．代理行为未被追认时相对人的救济。如果被代理人拒绝追认狭义无权代理行为，此时代理行为就确定不生效了，相对人的权益受损，尤其如果相对人是善意的，此时就更值得救济。《民法典》第171条第3款与第4款区分相对人善意与恶意，配置了不同的救济规则：</w:t>
      </w:r>
    </w:p>
    <w:p w14:paraId="462B35A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（1）善意相对人的救济方式。依据《民法典》第171条第3款，善意相对人有权请求无权代理人履行债务或者就其受到的损害请求行为人赔偿，不过，赔偿的范围不能超过被代理人追认时相对人所能获得的利益；</w:t>
      </w:r>
    </w:p>
    <w:p w14:paraId="54B3926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（2）相对人恶意时的救济。相对人恶意时，其救济的正当性相对较小，其只能请求无权代理人承担损害赔偿责任，即按照双方的过错承担赔偿责任。</w:t>
      </w:r>
    </w:p>
    <w:p w14:paraId="191880E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p>
    <w:p w14:paraId="403B0CE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p>
    <w:p w14:paraId="0F5CC7C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【考点6:诉讼时效】</w:t>
      </w:r>
    </w:p>
    <w:p w14:paraId="696CEF6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一、诉讼时效的强制性</w:t>
      </w:r>
    </w:p>
    <w:p w14:paraId="440F5A4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诉讼时效具有法定性，相关规范具有强制性，当事人不得约定排除，诉讼时效利益也不得预先放弃。</w:t>
      </w:r>
    </w:p>
    <w:p w14:paraId="0F3606E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二、诉讼时效的适用范围</w:t>
      </w:r>
    </w:p>
    <w:p w14:paraId="78A1FF4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1．停止侵害、排除妨碍与消除危险请求权（民196）</w:t>
      </w:r>
    </w:p>
    <w:p w14:paraId="015939D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2．不动产与登记动产的返还原物请求权（民196）</w:t>
      </w:r>
    </w:p>
    <w:p w14:paraId="38222D6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【注意】未登记动产的返还原物请求权适用诉讼时效</w:t>
      </w:r>
    </w:p>
    <w:p w14:paraId="1EA5898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3．抚养费、赡养费与扶养费请求权（民196）</w:t>
      </w:r>
    </w:p>
    <w:p w14:paraId="5C0AB85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4．侵害人格权的受害人停止侵害、排除妨碍、消除危险、消除影响、恢复名誉、赔礼道歉请求权（民995）</w:t>
      </w:r>
    </w:p>
    <w:p w14:paraId="36BAFFC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5．存款本金及利息债权（诉讼时效规定1）</w:t>
      </w:r>
    </w:p>
    <w:p w14:paraId="48977E7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6．国债、金融债券、向不特定对象发行的企业债券本息债权（诉讼时效规定1）</w:t>
      </w:r>
    </w:p>
    <w:p w14:paraId="58CDCBB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7．基于投资关系产生的缴付出资债权（诉讼时效规定1）</w:t>
      </w:r>
    </w:p>
    <w:p w14:paraId="08E59A4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8．请求业主缴纳专项维修资金的债权（最高法院指导性案例第65号）</w:t>
      </w:r>
    </w:p>
    <w:p w14:paraId="4B29279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三、诉讼时效的长度：3年，最长期限为20年</w:t>
      </w:r>
    </w:p>
    <w:p w14:paraId="5F805C3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四、诉讼时效的起算：本质上就是看权利是否可以开始行使</w:t>
      </w:r>
    </w:p>
    <w:p w14:paraId="5635939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（一）一般起算点</w:t>
      </w:r>
    </w:p>
    <w:p w14:paraId="5B1CCA3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权利人知道或者应当知道权利受到损害以及义务人之日（民188）</w:t>
      </w:r>
    </w:p>
    <w:p w14:paraId="1C7077D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（二）特殊起算点</w:t>
      </w:r>
    </w:p>
    <w:p w14:paraId="6CE606D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1．无民事行为能力人或限制民事行为能力人的权利受到损害：其法定代理人知道或应当知道权利受到损害以及义务人之日（民法典总则编解释36）</w:t>
      </w:r>
    </w:p>
    <w:p w14:paraId="3857BD7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2．同一债务分期履行：最后一期履行期限届满之日（民189）</w:t>
      </w:r>
    </w:p>
    <w:p w14:paraId="6FBAEE6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【注意】租金不属于同一债务分期履行</w:t>
      </w:r>
    </w:p>
    <w:p w14:paraId="032C03C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3．无民事行为能力人或限制民事行为能力人对其法定代理人的请求权：法定代理终止之日（民190）</w:t>
      </w:r>
    </w:p>
    <w:p w14:paraId="2BBA287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【注意】法定代理终止不等于成年，因为可能更换监护人。</w:t>
      </w:r>
    </w:p>
    <w:p w14:paraId="352FBB9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4．未成年人遭受性侵害的损害赔偿请求权：受害人年满18周岁之日（民191）</w:t>
      </w:r>
    </w:p>
    <w:p w14:paraId="24B0022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五、诉讼时效的中止：本质是权利行使遇到客观障碍</w:t>
      </w:r>
    </w:p>
    <w:p w14:paraId="5207F5A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1．不可抗力，如因自然灾害引起交通、通讯中断</w:t>
      </w:r>
    </w:p>
    <w:p w14:paraId="168D961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2．权利被侵害的无民事行为能力人、限制民事行为能力人没有法定代理人，或者法定代理人死亡、丧失代理权、丧失行为能力</w:t>
      </w:r>
    </w:p>
    <w:p w14:paraId="37551A8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3．继承开始后未确定继承人或者遗产管理人</w:t>
      </w:r>
    </w:p>
    <w:p w14:paraId="508F4E2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4．权利人被义务人或者其他人控制而无法主张权利</w:t>
      </w:r>
    </w:p>
    <w:p w14:paraId="30ADC63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5．其他导致权利人不能行使请求权的障碍，如权利人因患传染病被隔离</w:t>
      </w:r>
    </w:p>
    <w:p w14:paraId="1C80390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【注意】债务人失踪并非中止事由</w:t>
      </w:r>
    </w:p>
    <w:p w14:paraId="64336E2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六、诉讼时效的中断：本质是权利人没有躺在权利上睡觉，而是积极行使了权利</w:t>
      </w:r>
    </w:p>
    <w:p w14:paraId="5205933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（一）事由</w:t>
      </w:r>
    </w:p>
    <w:p w14:paraId="16D8440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1．权利人向义务人提出履行请求</w:t>
      </w:r>
    </w:p>
    <w:p w14:paraId="7623084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2．义务人同意履行</w:t>
      </w:r>
    </w:p>
    <w:p w14:paraId="6CBCCB6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3．权利人提起诉讼或者申请仲裁</w:t>
      </w:r>
    </w:p>
    <w:p w14:paraId="5F99C12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4．与提起诉讼或者申请仲裁具有同等效力的其他情形</w:t>
      </w:r>
    </w:p>
    <w:p w14:paraId="5FB1282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5．其他事由</w:t>
      </w:r>
      <w:r>
        <w:rPr>
          <w:rFonts w:hint="eastAsia" w:ascii="Times New Roman Regular" w:hAnsi="Times New Roman Regular" w:cs="Times New Roman Regular"/>
          <w:sz w:val="24"/>
          <w:szCs w:val="24"/>
          <w:lang w:val="en-US" w:eastAsia="zh-CN"/>
        </w:rPr>
        <w:t>：债权转让的，应当认定诉讼时效从债权转让通知到达债务人之日起中断。债务承担情形下，构成原债务人对债务承认的，应当认定诉讼时效从债务承担意思表示到达债权人之日起中断。</w:t>
      </w:r>
    </w:p>
    <w:p w14:paraId="3EC253E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（二）法律后果</w:t>
      </w:r>
    </w:p>
    <w:p w14:paraId="4644897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1．已经经过的诉讼时效归于无效，诉讼时效期间重新起算。需要注意：诉讼时效的中断并无次数限制，理论上可以反复无限次中断。</w:t>
      </w:r>
    </w:p>
    <w:p w14:paraId="77D4EB4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2．对于连带债权人中的一人发生诉讼时效中断效力的事由，应当认定对其他连带债权人也发生诉讼时效中断的效力。对于连带债务人中的一人发生诉讼时效中断效力的事由，应当认定对其他连带债务人也发生诉讼时效中断的效力</w:t>
      </w:r>
      <w:r>
        <w:rPr>
          <w:rFonts w:hint="eastAsia" w:ascii="Times New Roman Regular" w:hAnsi="Times New Roman Regular" w:cs="Times New Roman Regular"/>
          <w:sz w:val="24"/>
          <w:szCs w:val="24"/>
          <w:lang w:val="en-US" w:eastAsia="zh-CN"/>
        </w:rPr>
        <w:t>。</w:t>
      </w:r>
    </w:p>
    <w:p w14:paraId="2C146AE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七、诉讼时效届满的效力</w:t>
      </w:r>
    </w:p>
    <w:p w14:paraId="23B2DE6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（一）</w:t>
      </w:r>
      <w:r>
        <w:rPr>
          <w:rFonts w:hint="default" w:ascii="Times New Roman Regular" w:hAnsi="Times New Roman Regular" w:cs="Times New Roman Regular"/>
          <w:sz w:val="24"/>
          <w:szCs w:val="24"/>
          <w:lang w:val="en-US" w:eastAsia="zh-CN"/>
        </w:rPr>
        <w:t>义务人可以主张诉讼时效届满的抗辩权</w:t>
      </w:r>
    </w:p>
    <w:p w14:paraId="5CB5D64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（二）</w:t>
      </w:r>
      <w:r>
        <w:rPr>
          <w:rFonts w:hint="default" w:ascii="Times New Roman Regular" w:hAnsi="Times New Roman Regular" w:cs="Times New Roman Regular"/>
          <w:sz w:val="24"/>
          <w:szCs w:val="24"/>
          <w:lang w:val="en-US" w:eastAsia="zh-CN"/>
        </w:rPr>
        <w:t>时效届满的抗辩权是否主张，由当事人自行决定，法院不得依职权主动地适用诉讼时效</w:t>
      </w:r>
    </w:p>
    <w:p w14:paraId="58277A4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（三）</w:t>
      </w:r>
      <w:r>
        <w:rPr>
          <w:rFonts w:hint="default" w:ascii="Times New Roman Regular" w:hAnsi="Times New Roman Regular" w:cs="Times New Roman Regular"/>
          <w:sz w:val="24"/>
          <w:szCs w:val="24"/>
          <w:lang w:val="en-US" w:eastAsia="zh-CN"/>
        </w:rPr>
        <w:t>诉讼时效期间届满后，如果义务人履行了债务，履行的部分不构成不当得利，不得请求返还；如果义务人作出了同意履行的表示，应解释为放弃诉讼时效抗辩权，此后不得再主张诉讼时效届满的抗辩权</w:t>
      </w:r>
    </w:p>
    <w:p w14:paraId="5C8FF8F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p>
    <w:p w14:paraId="3282EB3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p>
    <w:p w14:paraId="069CE55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【考点7:物权一般原理】</w:t>
      </w:r>
    </w:p>
    <w:p w14:paraId="20DF391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未正式开始。</w:t>
      </w:r>
      <w:bookmarkStart w:id="0" w:name="_GoBack"/>
      <w:bookmarkEnd w:id="0"/>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书宋一简">
    <w:altName w:val="华文宋体"/>
    <w:panose1 w:val="02010609000101010101"/>
    <w:charset w:val="86"/>
    <w:family w:val="modern"/>
    <w:pitch w:val="default"/>
    <w:sig w:usb0="00000000" w:usb1="00000000" w:usb2="00000012" w:usb3="00000000" w:csb0="00040000" w:csb1="00000000"/>
  </w:font>
  <w:font w:name="汉仪中黑简">
    <w:altName w:val="汉仪中黑KW"/>
    <w:panose1 w:val="02010609000101010101"/>
    <w:charset w:val="86"/>
    <w:family w:val="modern"/>
    <w:pitch w:val="default"/>
    <w:sig w:usb0="00000000" w:usb1="00000000" w:usb2="00000012" w:usb3="00000000" w:csb0="00040000" w:csb1="00000000"/>
  </w:font>
  <w:font w:name="汉仪中黑KW">
    <w:panose1 w:val="00020600040101010101"/>
    <w:charset w:val="86"/>
    <w:family w:val="auto"/>
    <w:pitch w:val="default"/>
    <w:sig w:usb0="A00002BF" w:usb1="18EF7CFA" w:usb2="00000016" w:usb3="00000000" w:csb0="00040000" w:csb1="00000000"/>
  </w:font>
  <w:font w:name="汉仪粗黑简">
    <w:altName w:val="汉仪中黑KW"/>
    <w:panose1 w:val="02010609000101010101"/>
    <w:charset w:val="86"/>
    <w:family w:val="modern"/>
    <w:pitch w:val="default"/>
    <w:sig w:usb0="00000000" w:usb1="00000000" w:usb2="00000012" w:usb3="00000000" w:csb0="00040000" w:csb1="00000000"/>
  </w:font>
  <w:font w:name="Kingsoft Sign">
    <w:panose1 w:val="05050102010706020507"/>
    <w:charset w:val="00"/>
    <w:family w:val="auto"/>
    <w:pitch w:val="default"/>
    <w:sig w:usb0="00000000" w:usb1="10000000" w:usb2="00000000" w:usb3="00000000" w:csb0="00000001" w:csb1="00000000"/>
  </w:font>
  <w:font w:name="Apple Color Emoji">
    <w:panose1 w:val="00000000000000000000"/>
    <w:charset w:val="00"/>
    <w:family w:val="auto"/>
    <w:pitch w:val="default"/>
    <w:sig w:usb0="00000003" w:usb1="18000000" w:usb2="14000000" w:usb3="00000000" w:csb0="00000001" w:csb1="00000000"/>
  </w:font>
  <w:font w:name="宋体-简">
    <w:panose1 w:val="02010800040101010101"/>
    <w:charset w:val="86"/>
    <w:family w:val="auto"/>
    <w:pitch w:val="default"/>
    <w:sig w:usb0="00000001" w:usb1="080F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177DA370"/>
    <w:rsid w:val="1FFDE82A"/>
    <w:rsid w:val="2DD9DD2E"/>
    <w:rsid w:val="37F9300F"/>
    <w:rsid w:val="3DDD8785"/>
    <w:rsid w:val="3EFFCDE3"/>
    <w:rsid w:val="3FFFFB76"/>
    <w:rsid w:val="4F7E5D39"/>
    <w:rsid w:val="5BF630B3"/>
    <w:rsid w:val="5F77DF93"/>
    <w:rsid w:val="5FDFC522"/>
    <w:rsid w:val="6D52BDCB"/>
    <w:rsid w:val="6FD95C32"/>
    <w:rsid w:val="76576194"/>
    <w:rsid w:val="78FF9F1C"/>
    <w:rsid w:val="7BFFD2F7"/>
    <w:rsid w:val="7D7E92FD"/>
    <w:rsid w:val="7D7FD33D"/>
    <w:rsid w:val="7DF9200D"/>
    <w:rsid w:val="7EFFC158"/>
    <w:rsid w:val="7F35C5C2"/>
    <w:rsid w:val="8ABEE47C"/>
    <w:rsid w:val="A7F584D0"/>
    <w:rsid w:val="AECFAD74"/>
    <w:rsid w:val="B3FEA9EF"/>
    <w:rsid w:val="B46F5CFF"/>
    <w:rsid w:val="B77ECDDD"/>
    <w:rsid w:val="B7FEF551"/>
    <w:rsid w:val="BBD68691"/>
    <w:rsid w:val="BFD7C2A8"/>
    <w:rsid w:val="CBDA46FA"/>
    <w:rsid w:val="CFBDAEF9"/>
    <w:rsid w:val="E5DD9418"/>
    <w:rsid w:val="EB7DB539"/>
    <w:rsid w:val="EBD730EB"/>
    <w:rsid w:val="EC2D9E1A"/>
    <w:rsid w:val="EDFE9665"/>
    <w:rsid w:val="EF06E542"/>
    <w:rsid w:val="EFB7ADF2"/>
    <w:rsid w:val="EFE712E6"/>
    <w:rsid w:val="F6DFFC0C"/>
    <w:rsid w:val="FABE4737"/>
    <w:rsid w:val="FD6C9E97"/>
    <w:rsid w:val="FF6F6FFE"/>
    <w:rsid w:val="FF7BF13D"/>
    <w:rsid w:val="FFD701BB"/>
    <w:rsid w:val="FFDF09AE"/>
    <w:rsid w:val="FFEFF665"/>
    <w:rsid w:val="FFFBE5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37</TotalTime>
  <ScaleCrop>false</ScaleCrop>
  <LinksUpToDate>false</LinksUpToDate>
  <CharactersWithSpaces>0</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2026-01-30T00:22:00Z</dcterms:created>
  <dc:creator>Arthur (Xiao) Dong</dc:creator>
  <cp:lastModifiedBy>Arthur (Xiao）Dong</cp:lastModifiedBy>
  <dcterms:modified xsi:type="dcterms:W3CDTF">2026-03-08T23:04:36Z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3A31E5C62E8666FD53247769E1688135_41</vt:lpwstr>
  </property>
</Properties>
</file>