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4C7D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sz w:val="36"/>
          <w:szCs w:val="36"/>
          <w:lang w:val="en-US" w:eastAsia="zh-CN"/>
        </w:rPr>
      </w:pPr>
      <w:r>
        <w:rPr>
          <w:rFonts w:hint="eastAsia"/>
          <w:b/>
          <w:bCs/>
          <w:sz w:val="36"/>
          <w:szCs w:val="36"/>
          <w:lang w:val="en-US" w:eastAsia="zh-CN"/>
        </w:rPr>
        <w:t>民法第三讲考点4-5课堂笔记</w:t>
      </w:r>
    </w:p>
    <w:p w14:paraId="56B4F06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bCs/>
          <w:sz w:val="24"/>
          <w:szCs w:val="24"/>
          <w:lang w:val="en-US" w:eastAsia="zh-CN"/>
        </w:rPr>
      </w:pPr>
      <w:r>
        <w:rPr>
          <w:rFonts w:hint="eastAsia" w:ascii="Times New Roman Regular" w:hAnsi="Times New Roman Regular" w:cs="Times New Roman Regular"/>
          <w:b/>
          <w:bCs/>
          <w:sz w:val="24"/>
          <w:szCs w:val="24"/>
          <w:lang w:val="en-US" w:eastAsia="zh-CN"/>
        </w:rPr>
        <w:t>【考点4:民事法律行为】</w:t>
      </w:r>
    </w:p>
    <w:p w14:paraId="0129E35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一、待批准生效的合同</w:t>
      </w:r>
    </w:p>
    <w:p w14:paraId="7B65F48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1．批准生效合同批准前的效力状态</w:t>
      </w:r>
    </w:p>
    <w:p w14:paraId="27A2F51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现行法上，某些合同的特别生效要件是获得有关部门的批准（如商业银行法、证券法、保险法等法律规定购买商业银行、证券公司、保险公司5%以上股权须经相关主管部门批准）。考生需要注意的是，对于哪些合同属于批准生效合同，并非民法客观题的考查对象，通常涉及这一考点时，命题人会给定一个合同并说明该合同需要批准才能生效。</w:t>
      </w:r>
    </w:p>
    <w:p w14:paraId="10037BF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依据《民法典》第502条第2款，批准生效合同批准前的效力状态需要拆分出两个部分分别评价：（1）合同中履行报批等义务条款以及相关条款的效力在合同成立时就独立生效了。这一安排旨在推动报批义务的履行；（2）合同中的其他条款处于已经成立但尚未生效的状态。</w:t>
      </w:r>
    </w:p>
    <w:p w14:paraId="79ACD55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2．报批义务不履行时的法律救济</w:t>
      </w:r>
    </w:p>
    <w:p w14:paraId="40E9037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如果报批义务人不履行报批义务，此时相对方可选择以下救济方式：（1）请求继续履行报批义务；（2）请求解除合同，并主张损害赔偿（《民法典合同编解释》第12条第1款）。这里的损害赔偿需要区分两种情形：其一，如果当事人在报批义务条款之外也针对报批义务的不履行约定了违约责任（如违约金），此时该条款独立生效，当事人在解除合同的同时，可以基于约定请求报批义务人承担违约责任；其二，如果合同未专门针对报批义务约定违约责任的，此时当事人只能请求报批义务人承担整个合同的缔约过失责任。</w:t>
      </w:r>
    </w:p>
    <w:p w14:paraId="66658E1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3．法院支持报批义务的继续履行后报批义务人仍不履行时的法律后果</w:t>
      </w:r>
    </w:p>
    <w:p w14:paraId="189B7CE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报批义务人不履行报批义务时，相对方有权起诉请求其继续履行报批义务，人民法院在审理后可以作出支持继续履行的判决。判决作出后如果报批义务人仍不履行报批义务，依据《民法典合同编通则解释》第12条第2款，对方可以主张解除合同并参照违反合同的违约责任请求其承担赔偿责任，之所以此时参照违约责任，是因为其过错更重。</w:t>
      </w:r>
    </w:p>
    <w:p w14:paraId="18EBD61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4．批准前当事人一方请求履行合同主要义务时的法院处理</w:t>
      </w:r>
    </w:p>
    <w:p w14:paraId="5664814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依据《民法典》第502条第2款，在批准前，合同的大部分条款处于成立但尚未生效的状态，如果在批准前合同一方起诉请求对方履行合同的主要义务，此时依据《民法典合同编通则解释》第12条第3款，法院应先释明，告知其将诉讼请求变更为继续履行报批义务。经释明后当事人仍拒绝变更诉讼请求的，可以驳回其诉讼请求。驳回后当事人仍可另行提起诉讼，请求报批义务人履行报批义务，并不会违反一事不再理的原则。此外，如果当事人直接请求确认合同无效的，人民法院也应当向其释明，告知其请求解除合同或者继续履行报批义务；经释明后当事人仍拒绝变更诉讼请求的，可以驳回其诉讼请求。对于这一知识点，可能涉及民法与民诉法的交叉。</w:t>
      </w:r>
    </w:p>
    <w:p w14:paraId="48DB4C2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5．批准机关不予批准时的法律后果</w:t>
      </w:r>
    </w:p>
    <w:p w14:paraId="2CE6EC1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报批义务人履行报批义务后，可能存在两种结果：其一是批准机关予以批准，此时合同因生效要件满足而全部生效（原则上自批准时生效），进入履行阶段；其二是批准机关不予批准，此时合同整体终局地不生效。在批准机关不予批准时，原则上报批义务人无需在批准机关不予批准后承担损害赔偿责任，因为批准机关不予批准的原因是多元的，通常而言不可归责于报批义务方。不过也存在例外，即不予批准的原因可以归责于报批义务方时，此时报批义务方需要就对方因此遭受的损失，依据《民法典》第157条承担损害赔偿责任，此种损害赔偿责任的性质为缔约过失责任（《民法典合同编通则解释》第12条第4款）。不予批准可归责于报批义务人的典型情形，例如本来可以获得批准，但报批义务人怠于履行报批义务，后因政策调整而不予批准。</w:t>
      </w:r>
    </w:p>
    <w:p w14:paraId="745B6AB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二、民事法律行为的效力瑕疵有三种：无效、可撤销和效力待定</w:t>
      </w:r>
    </w:p>
    <w:p w14:paraId="2D4BD2C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三、民事法律行为无效的事由</w:t>
      </w:r>
    </w:p>
    <w:p w14:paraId="4B91BCC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（一）无民事行为能力人</w:t>
      </w:r>
    </w:p>
    <w:p w14:paraId="386EBD3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（二）虚假通谋行为</w:t>
      </w:r>
    </w:p>
    <w:p w14:paraId="6FF9EC5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1</w:t>
      </w:r>
      <w:r>
        <w:rPr>
          <w:rFonts w:hint="default" w:ascii="Times New Roman Regular" w:hAnsi="Times New Roman Regular" w:cs="Times New Roman Regular"/>
          <w:sz w:val="24"/>
          <w:szCs w:val="24"/>
          <w:lang w:val="en-US" w:eastAsia="zh-CN"/>
        </w:rPr>
        <w:t>．表面行为的效力</w:t>
      </w:r>
    </w:p>
    <w:p w14:paraId="7BFAE91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当事人实施虚假通谋行为时，其表面行为是无效的（《民法典》第146条第1款）。其无效的原因不在于不法，而在于双方实际上均不想使虚假的意思表示发生效力。</w:t>
      </w:r>
    </w:p>
    <w:p w14:paraId="7B45B4D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2</w:t>
      </w:r>
      <w:r>
        <w:rPr>
          <w:rFonts w:hint="default" w:ascii="Times New Roman Regular" w:hAnsi="Times New Roman Regular" w:cs="Times New Roman Regular"/>
          <w:sz w:val="24"/>
          <w:szCs w:val="24"/>
          <w:lang w:val="en-US" w:eastAsia="zh-CN"/>
        </w:rPr>
        <w:t>．隐藏行为的效力</w:t>
      </w:r>
    </w:p>
    <w:p w14:paraId="301A2AC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对于隐藏行为的效力，应单独评价，如果不存在效力瑕疵事由，则隐藏行为有效；如果存在欺诈、胁迫等因素，则隐藏行为可撤销。如果隐藏合同存在规避法律、行政法规的强制性规定的情形，此时应依据《民法典》第153条第1款认定隐藏合同的效力。如果隐藏合同旨在规避批准生效合同的批准手续，此时应依据《民法典》第502条第2款认定隐藏合同的效力。</w:t>
      </w:r>
    </w:p>
    <w:p w14:paraId="7FE866C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（三）违反法律、行政法规的强制性规定</w:t>
      </w:r>
    </w:p>
    <w:p w14:paraId="2C0FF17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（四）违背公序良俗</w:t>
      </w:r>
    </w:p>
    <w:p w14:paraId="76B601C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（五）恶意串通</w:t>
      </w:r>
    </w:p>
    <w:p w14:paraId="2D0BEC7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四、可撤销的民事法律行为</w:t>
      </w:r>
    </w:p>
    <w:p w14:paraId="794007F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（一）事由</w:t>
      </w:r>
    </w:p>
    <w:p w14:paraId="6B0C72C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1．重大误解</w:t>
      </w:r>
    </w:p>
    <w:p w14:paraId="59C7135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依据《民法典》第147条，基于重大误解实施的民事法律行为是可撤销的。重大误解是指行为人对行为的性质、对方当事人或者标的物的品种、质量、规格、价格、数量等产生错误认识，按照通常理解如果不发生该错误认识行为人就不会作出相应意思表示（《民法典总则编解释》第19条）。重大误解来自行为人本身的认知或表示错误，且必须具有重大性。一般来说，意思表示内容（当事人、标的、法律行为的性质）的错误及表示本身的错误（口误、笔误）可以撤销，而单纯的动机错误通常不能撤销（交易上重要的性质错误除外）。</w:t>
      </w:r>
    </w:p>
    <w:p w14:paraId="6068C9D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2．欺诈</w:t>
      </w:r>
    </w:p>
    <w:p w14:paraId="7836703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欺诈是指以虚构事实或隐瞒事实的方式使表意人陷入错误、维持错误或加深错误，并基于错误作出意思表示。在受欺诈的状态下，表意人的意思表示是不自由的，如果让此种民事法律行为确定有效，有违私法自治原则。因此有必要给受欺诈者一定的救济渠道，应允许其撤销民事法律行为。《民法典》第148条与第149条区分了相对人欺诈与第三人欺诈，其中第三人欺诈由于涉及三方当事人，利益关系会更加复杂一些，需要特别的规则。</w:t>
      </w:r>
    </w:p>
    <w:p w14:paraId="0B202D5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（1）相对人欺诈</w:t>
      </w:r>
    </w:p>
    <w:p w14:paraId="1761335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（2）第三人欺诈</w:t>
      </w:r>
    </w:p>
    <w:p w14:paraId="67E35BF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实践中，实施欺诈行为者未必是民事法律行为的相对人，而可能是第三人。在第三人欺诈时，被欺诈方与民事法律行为的相对人存在利益冲突：一方面，受欺诈方的意思表示是不自由的，应允许其撤销意思表示；另一方面，相对人未必知晓欺诈事实，其主观上可能善意地信赖受欺诈方是自愿作出的意思表示，并信赖该民事法律行为没有效力瑕疵，此种信赖有保护的必要。因此第三人欺诈时，不能一刀切地保护其中一方。《民法典》第149条采取的方法是区分相对人的善恶意，只有相对人恶意（知道或者应当知道该欺诈行为）时，受欺诈方才能撤销民事法律行为。</w:t>
      </w:r>
    </w:p>
    <w:p w14:paraId="0AE01CB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3．胁迫</w:t>
      </w:r>
    </w:p>
    <w:p w14:paraId="0F903DC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不论是相对人胁迫还是第三人胁迫，受胁迫方都有权撤销民事法律行为。</w:t>
      </w:r>
      <w:r>
        <w:rPr>
          <w:rFonts w:hint="eastAsia" w:ascii="Times New Roman Regular" w:hAnsi="Times New Roman Regular" w:cs="Times New Roman Regular"/>
          <w:sz w:val="24"/>
          <w:szCs w:val="24"/>
          <w:lang w:val="en-US" w:eastAsia="zh-CN"/>
        </w:rPr>
        <w:tab/>
      </w:r>
      <w:r>
        <w:rPr>
          <w:rFonts w:hint="default" w:ascii="Times New Roman Regular" w:hAnsi="Times New Roman Regular" w:cs="Times New Roman Regular"/>
          <w:sz w:val="24"/>
          <w:szCs w:val="24"/>
          <w:lang w:val="en-US" w:eastAsia="zh-CN"/>
        </w:rPr>
        <w:t>4．显失公平</w:t>
      </w:r>
    </w:p>
    <w:p w14:paraId="2842BC6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依据《民法典》第151条，显失公平的民事法律行为是可撤销的。显失公平的构成需要满足两个要件（缺一不可）：（1）主观要件，即一方利用对方处于危困状态、缺乏判断能力等情形。其中危困状态包括一方生存困难、有急迫的融资需求、企业经营不善濒临破产等；缺乏判断能力则仅适用于自然人，法人或非法人组织不得以缺乏判断能力为由主张构成显失公平，进而撤销合同；（2）客观要件，即致使民事法律行为成立时显失公平（《民法典》第151条）。客观要件中显失公平的判断时间点为“民事法律行为成立时”。</w:t>
      </w:r>
    </w:p>
    <w:p w14:paraId="75F4C19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（二）撤销权的除斥期间</w:t>
      </w:r>
    </w:p>
    <w:p w14:paraId="6A73F3B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1.欺诈和显失公平的法律行为除斥期间是一年。从权利人知道或者应当知道撤销事由时起算时间。</w:t>
      </w:r>
    </w:p>
    <w:p w14:paraId="262E496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2.重大误解的法律行为撤销权除斥期间是九十日，从撤销权知道或者应当知道撤销事由之日起计算。</w:t>
      </w:r>
    </w:p>
    <w:p w14:paraId="1CCB9FF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3.受胁迫的法律行为除斥期间为一年，从胁迫行为终止之日起算时间。</w:t>
      </w:r>
    </w:p>
    <w:p w14:paraId="77EBDAE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4.最长保护期：从法律行为发生之日起五年。</w:t>
      </w:r>
    </w:p>
    <w:p w14:paraId="790EBFA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五、效力待定的民事法律行为</w:t>
      </w:r>
    </w:p>
    <w:p w14:paraId="6115D3F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效力待定的民事法律行为主要有以下情形：（1）限制民事行为能力人实施超越其民事行为能力的民事法律行为；（2）无权处分行为；（3）狭义无权代理行为。</w:t>
      </w:r>
    </w:p>
    <w:p w14:paraId="7B96B86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无权处分行为中，负担行为有效，处分行为的效力待定。</w:t>
      </w:r>
    </w:p>
    <w:p w14:paraId="1A414D2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eastAsia" w:ascii="Times New Roman Regular" w:hAnsi="Times New Roman Regular" w:cs="Times New Roman Regular"/>
          <w:sz w:val="24"/>
          <w:szCs w:val="24"/>
          <w:lang w:val="en-US" w:eastAsia="zh-CN"/>
        </w:rPr>
        <w:t>六</w:t>
      </w:r>
      <w:bookmarkStart w:id="0" w:name="_GoBack"/>
      <w:bookmarkEnd w:id="0"/>
      <w:r>
        <w:rPr>
          <w:rFonts w:hint="default" w:ascii="Times New Roman Regular" w:hAnsi="Times New Roman Regular" w:cs="Times New Roman Regular"/>
          <w:sz w:val="24"/>
          <w:szCs w:val="24"/>
          <w:lang w:val="en-US" w:eastAsia="zh-CN"/>
        </w:rPr>
        <w:t>、民事法律行为不成立、无效、被撤销或者确定不发生效力的法律效果</w:t>
      </w:r>
    </w:p>
    <w:p w14:paraId="45958ED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1．返还财产</w:t>
      </w:r>
    </w:p>
    <w:p w14:paraId="04D98C9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返还财产是指民事法律行为无效时，已经给付的财产，物权不发生变动，所有权人可以主张返还原物，具体通过返还占有、办理更正登记等方式返还，在返还原物的同时，还可以请求返还孳息（返还价款的一方需要返还价款的利息）和使用收益（返还物的一方需要支付标的物使用费）。</w:t>
      </w:r>
    </w:p>
    <w:p w14:paraId="61E334C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2．折价补偿</w:t>
      </w:r>
    </w:p>
    <w:p w14:paraId="4FCCDD8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折价补偿适用于“不能返还或者没有必要返还的”情形，不能返还包括法律上不能返还（如标的物已经被第三人善意取得）与事实上不能返还（标的物已经毁损灭失）。没有必要返还指虽然并非事实上或法律上不能返还，但实际返还财产在经济上不合理且会造成资源的极大浪费。例如建筑物的装饰装修合同，施工人已经根据合同将建筑物需要的设备全部安装到位，如果全部拆除返还给施工人虽在客观上可行，但对一方或者双方当事人不具有经济性，还会造成社会资源的浪费。折价补偿在性质上是一种不当得利返还请求权。</w:t>
      </w:r>
    </w:p>
    <w:p w14:paraId="55FDB6C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3．损害赔偿</w:t>
      </w:r>
    </w:p>
    <w:p w14:paraId="3DF70A8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lang w:val="en-US" w:eastAsia="zh-CN"/>
        </w:rPr>
      </w:pPr>
      <w:r>
        <w:rPr>
          <w:rFonts w:hint="default" w:ascii="Times New Roman Regular" w:hAnsi="Times New Roman Regular" w:cs="Times New Roman Regular"/>
          <w:sz w:val="24"/>
          <w:szCs w:val="24"/>
          <w:lang w:val="en-US" w:eastAsia="zh-CN"/>
        </w:rPr>
        <w:t>《民法典》第157条所提及的损害赔偿，在性质上属于缔约过失责任（与《民法典》第500条相同），以过错为前提，赔偿范围限于信赖利益。人民法院应当结合财产返还或者折价补偿的情况，综合考虑财产增值收益和贬值损失、交易成本的支出等事实，按照双方当事人的过错程度及原因力大小，根据诚信原则和公平原则，合理确定损失赔偿额。</w:t>
      </w: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汉仪书宋二简">
    <w:altName w:val="华文宋体"/>
    <w:panose1 w:val="02010600000101010101"/>
    <w:charset w:val="86"/>
    <w:family w:val="modern"/>
    <w:pitch w:val="default"/>
    <w:sig w:usb0="00000000" w:usb1="00000000" w:usb2="00000002" w:usb3="00000000" w:csb0="00040000" w:csb1="00000000"/>
  </w:font>
  <w:font w:name="华文宋体">
    <w:panose1 w:val="02010600040101010101"/>
    <w:charset w:val="86"/>
    <w:family w:val="auto"/>
    <w:pitch w:val="default"/>
    <w:sig w:usb0="80000287" w:usb1="280F3C52" w:usb2="00000016" w:usb3="00000000" w:csb0="0004001F" w:csb1="00000000"/>
  </w:font>
  <w:font w:name="Times New Roman Regular">
    <w:panose1 w:val="02020503050405090304"/>
    <w:charset w:val="00"/>
    <w:family w:val="auto"/>
    <w:pitch w:val="default"/>
    <w:sig w:usb0="E0000AFF" w:usb1="00007843" w:usb2="00000001" w:usb3="00000000" w:csb0="400001BF" w:csb1="DFF7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8"/>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CFBDAEF9"/>
    <w:rsid w:val="177DA370"/>
    <w:rsid w:val="1FFDE82A"/>
    <w:rsid w:val="37F9300F"/>
    <w:rsid w:val="3DDD8785"/>
    <w:rsid w:val="3EFFCDE3"/>
    <w:rsid w:val="5BBF9BF9"/>
    <w:rsid w:val="5FDFC522"/>
    <w:rsid w:val="76FD9925"/>
    <w:rsid w:val="78FF9F1C"/>
    <w:rsid w:val="7BFFD2F7"/>
    <w:rsid w:val="7D7FD33D"/>
    <w:rsid w:val="7EFFC158"/>
    <w:rsid w:val="8ABEE47C"/>
    <w:rsid w:val="9D77F1EF"/>
    <w:rsid w:val="B3FEA9EF"/>
    <w:rsid w:val="BBD68691"/>
    <w:rsid w:val="BFD7C2A8"/>
    <w:rsid w:val="CBDA46FA"/>
    <w:rsid w:val="CFBDAEF9"/>
    <w:rsid w:val="E5DD9418"/>
    <w:rsid w:val="EC2D9E1A"/>
    <w:rsid w:val="EFE712E6"/>
    <w:rsid w:val="F6DFFC0C"/>
    <w:rsid w:val="F7B010E4"/>
    <w:rsid w:val="FABE4737"/>
    <w:rsid w:val="FBDC3EA0"/>
    <w:rsid w:val="FF6F6FFE"/>
    <w:rsid w:val="FF7BF13D"/>
    <w:rsid w:val="FF9F66F9"/>
    <w:rsid w:val="FFEFF665"/>
    <w:rsid w:val="FFFBE5A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unhideWhenUsed/>
    <w:qFormat/>
    <w:uiPriority w:val="99"/>
    <w:pPr>
      <w:widowControl/>
      <w:spacing w:before="100" w:beforeAutospacing="1" w:after="100" w:afterAutospacing="1" w:line="384" w:lineRule="exact"/>
      <w:ind w:firstLine="721" w:firstLineChars="200"/>
      <w:jc w:val="left"/>
    </w:pPr>
    <w:rPr>
      <w:rFonts w:ascii="宋体" w:hAnsi="宋体" w:eastAsia="汉仪书宋二简" w:cs="宋体"/>
      <w:color w:val="auto"/>
      <w:kern w:val="0"/>
      <w:sz w:val="24"/>
      <w:szCs w:val="24"/>
      <w:lang w:val="en-US" w:eastAsia="zh-CN" w:bidi="ar-SA"/>
    </w:rPr>
  </w:style>
  <w:style w:type="table" w:styleId="4">
    <w:name w:val="Table Grid"/>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2</TotalTime>
  <ScaleCrop>false</ScaleCrop>
  <LinksUpToDate>false</LinksUpToDate>
  <CharactersWithSpaces>0</CharactersWithSpaces>
  <Application>WPS Office_12.1.24031.24031_F1E327BC-269C-435d-A152-05C5408002CA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2026-01-30T00:22:00Z</dcterms:created>
  <dc:creator>Arthur (Xiao) Dong</dc:creator>
  <cp:lastModifiedBy>Arthur (Xiao）Dong</cp:lastModifiedBy>
  <dcterms:modified xsi:type="dcterms:W3CDTF">2026-03-08T11:56:41Z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2052-12.1.24031.24031</vt:lpwstr>
  </property>
  <property fmtid="{D5CDD505-2E9C-101B-9397-08002B2CF9AE}" pid="3" name="ICV">
    <vt:lpwstr>3A31E5C62E8666FD53247769E1688135_41</vt:lpwstr>
  </property>
</Properties>
</file>