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6"/>
          <w:szCs w:val="36"/>
          <w:lang w:val="en-US" w:eastAsia="zh-CN"/>
        </w:rPr>
      </w:pPr>
      <w:r>
        <w:rPr>
          <w:rFonts w:hint="eastAsia"/>
          <w:b/>
          <w:bCs/>
          <w:sz w:val="36"/>
          <w:szCs w:val="36"/>
          <w:lang w:val="en-US" w:eastAsia="zh-CN"/>
        </w:rPr>
        <w:t>民法第三讲考点4-5课堂笔记</w:t>
      </w:r>
    </w:p>
    <w:p w14:paraId="56B4F0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【考点4:民事法律行为】</w:t>
      </w:r>
    </w:p>
    <w:p w14:paraId="0129E3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一、待批准生效的合同</w:t>
      </w:r>
    </w:p>
    <w:p w14:paraId="7B65F48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1．批准生效合同批准前的效力状态</w:t>
      </w:r>
    </w:p>
    <w:p w14:paraId="27A2F51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现行法上，某些合同的特别生效要件是获得有关部门的批准（如商业银行法、证券法、保险法等法律规定购买商业银行、证券公司、保险公司5%以上股权须经相关主管部门批准）。考生需要注意的是，对于哪些合同属于批准生效合同，并非民法客观题的考查对象，通常涉及这一考点时，命题人会给定一个合同并说明该合同需要批准才能生效。</w:t>
      </w:r>
    </w:p>
    <w:p w14:paraId="10037BF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依据《民法典》第502条第2款，批准生效合同批准前的效力状态需要拆分出两个部分分别评价：（1）合同中履行报批等义务条款以及相关条款的效力在合同成立时就独立生效了。这一安排旨在推动报批义务的履行；（2）合同中的其他条款处于已经成立但尚未生效的状态。</w:t>
      </w:r>
    </w:p>
    <w:p w14:paraId="79ACD5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2．报批义务不履行时的法律救济</w:t>
      </w:r>
    </w:p>
    <w:p w14:paraId="40E9037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如果报批义务人不履行报批义务，此时相对方可选择以下救济方式：（1）请求继续履行报批义务；（2）请求解除合同，并主张损害赔偿（《民法典合同编解释》第12条第1款）。这里的损害赔偿需要区分两种情形：其一，如果当事人在报批义务条款之外也针对报批义务的不履行约定了违约责任（如违约金），此时该条款独立生效，当事人在解除合同的同时，可以基于约定请求报批义务人承担违约责任；其二，如果合同未专门针对报批义务约定违约责任的，此时当事人只能请求报批义务人承担整个合同的缔约过失责任。</w:t>
      </w:r>
    </w:p>
    <w:p w14:paraId="66658E1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3．法院支持报批义务的继续履行后报批义务人仍不履行时的法律后果</w:t>
      </w:r>
    </w:p>
    <w:p w14:paraId="189B7CE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报批义务人不履行报批义务时，相对方有权起诉请求其继续履行报批义务，人民法院在审理后可以作出支持继续履行的判决。判决作出后如果报批义务人仍不履行报批义务，依据《民法典合同编通则解释》第12条第2款，对方可以主张解除合同并参照违反合同的违约责任请求其承担赔偿责任，之所以此时参照违约责任，是因为其过错更重。</w:t>
      </w:r>
    </w:p>
    <w:p w14:paraId="18EBD61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4．批准前当事人一方请求履行合同主要义务时的法院处理</w:t>
      </w:r>
    </w:p>
    <w:p w14:paraId="5664814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依据《民法典》第502条第2款，在批准前，合同的大部分条款处于成立但尚未生效的状态，如果在批准前合同一方起诉请求对方履行合同的主要义务，此时依据《民法典合同编通则解释》第12条第3款，法院应先释明，告知其将诉讼请求变更为继续履行报批义务。经释明后当事人仍拒绝变更诉讼请求的，可以驳回其诉讼请求。驳回后当事人仍可另行提起诉讼，请求报批义务人履行报批义务，并不会违反一事不再理的原则。此外，如果当事人直接请求确认合同无效的，人民法院也应当向其释明，告知其请求解除合同或者继续履行报批义务；经释明后当事人仍拒绝变更诉讼请求的，可以驳回其诉讼请求。对于这一知识点，可能涉及民法与民诉法的交叉。</w:t>
      </w:r>
    </w:p>
    <w:p w14:paraId="48DB4C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5．批准机关不予批准时的法律后果</w:t>
      </w:r>
    </w:p>
    <w:p w14:paraId="2CE6EC1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报批义务人履行报批义务后，可能存在两种结果：其一是批准机关予以批准，此时合同因生效要件满足而全部生效（原则上自批准时生效），进入履行阶段；其二是批准机关不予批准，此时合同整体终局地不生效。在批准机关不予批准时，原则上报批义务人无需在批准机关不予批准后承担损害赔偿责任，因为批准机关不予批准的原因是多元的，通常而言不可归责于报批义务方。不过也存在例外，即不予批准的原因可以归责于报批义务方时，此时报批义务方需要就对方因此遭受的损失，依据《民法典》第157条承担损害赔偿责任，此种损害赔偿责任的性质为缔约过失责任（《民法典合同编通则解释》第12条第4款）。不予批准可归责于报批义务人的典型情形，例如本来可以获得批准，但报批义务人怠于履行报批义务，后因政策调整而不予批准。</w:t>
      </w:r>
    </w:p>
    <w:p w14:paraId="745B6AB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二、民事法律行为的效力瑕疵有三种：无效、可撤销和效力待定</w:t>
      </w:r>
    </w:p>
    <w:p w14:paraId="2D4BD2C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三、民事法律行为无效的事由</w:t>
      </w:r>
    </w:p>
    <w:p w14:paraId="4B91BCC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（一）无民事行为能力人</w:t>
      </w:r>
    </w:p>
    <w:p w14:paraId="386EBD3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（二）虚假通谋行为</w:t>
      </w:r>
    </w:p>
    <w:p w14:paraId="6FF9EC5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w:t>
      </w:r>
      <w:r>
        <w:rPr>
          <w:rFonts w:hint="default" w:ascii="Times New Roman Regular" w:hAnsi="Times New Roman Regular" w:cs="Times New Roman Regular"/>
          <w:sz w:val="24"/>
          <w:szCs w:val="24"/>
          <w:lang w:val="en-US" w:eastAsia="zh-CN"/>
        </w:rPr>
        <w:t>．表面行为的效力</w:t>
      </w:r>
    </w:p>
    <w:p w14:paraId="7BFAE91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当事人实施虚假通谋行为时，其表面行为是无效的（《民法典》第146条第1款）。其无效的原因不在于不法，而在于双方实际上均不想使虚假的意思表示发生效力。</w:t>
      </w:r>
    </w:p>
    <w:p w14:paraId="7B45B4D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w:t>
      </w:r>
      <w:r>
        <w:rPr>
          <w:rFonts w:hint="default" w:ascii="Times New Roman Regular" w:hAnsi="Times New Roman Regular" w:cs="Times New Roman Regular"/>
          <w:sz w:val="24"/>
          <w:szCs w:val="24"/>
          <w:lang w:val="en-US" w:eastAsia="zh-CN"/>
        </w:rPr>
        <w:t>．隐藏行为的效力</w:t>
      </w:r>
    </w:p>
    <w:p w14:paraId="301A2AC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对于隐藏行为的效力，应单独评价，如果不存在效力瑕疵事由，则隐藏行为有效；如果存在欺诈、胁迫等因素，则隐藏行为可撤销。如果隐藏合同存在规避法律、行政法规的强制性规定的情形，此时应依据《民法典》第153条第1款认定隐藏合同的效力。如果隐藏合同旨在规避批准生效合同的批准手续，此时应依据《民法典》第502条第2款认定隐藏合同的效力。</w:t>
      </w:r>
    </w:p>
    <w:p w14:paraId="7FE866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（三）违反法律、行政法规的强制性规定</w:t>
      </w:r>
    </w:p>
    <w:p w14:paraId="2C0FF17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（四）违背公序良俗</w:t>
      </w:r>
    </w:p>
    <w:p w14:paraId="76B601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（五）恶意串通</w:t>
      </w:r>
    </w:p>
    <w:p w14:paraId="2D0BEC7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四、可撤销的民事法律行为</w:t>
      </w:r>
    </w:p>
    <w:p w14:paraId="794007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（一）事由</w:t>
      </w:r>
    </w:p>
    <w:p w14:paraId="6B0C72C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1．重大误解</w:t>
      </w:r>
    </w:p>
    <w:p w14:paraId="59C7135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依据《民法典》第147条，基于重大误解实施的民事法律行为是可撤销的。重大误解是指行为人对行为的性质、对方当事人或者标的物的品种、质量、规格、价格、数量等产生错误认识，按照通常理解如果不发生该错误认识行为人就不会作出相应意思表示（《民法典总则编解释》第19条）。重大误解来自行为人本身的认知或表示错误，且必须具有重大性。一般来说，意思表示内容（当事人、标的、法律行为的性质）的错误及表示本身的错误（口误、笔误）可以撤销，而单纯的动机错误通常不能撤销（交易上重要的性质错误除外）。</w:t>
      </w:r>
    </w:p>
    <w:p w14:paraId="6068C9D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2．欺诈</w:t>
      </w:r>
    </w:p>
    <w:p w14:paraId="7836703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欺诈是指以虚构事实或隐瞒事实的方式使表意人陷入错误、维持错误或加深错误，并基于错误作出意思表示。在受欺诈的状态下，表意人的意思表示是不自由的，如果让此种民事法律行为确定有效，有违私法自治原则。因此有必要给受欺诈者一定的救济渠道，应允许其撤销民事法律行为。《民法典》第148条与第149条区分了相对人欺诈与第三人欺诈，其中第三人欺诈由于涉及三方当事人，利益关系会更加复杂一些，需要特别的规则。</w:t>
      </w:r>
    </w:p>
    <w:p w14:paraId="0B202D5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（1）相对人欺诈</w:t>
      </w:r>
    </w:p>
    <w:p w14:paraId="1761335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（2）第三人欺诈</w:t>
      </w:r>
    </w:p>
    <w:p w14:paraId="67E35BF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实践中，实施欺诈行为者未必是民事法律行为的相对人，而可能是第三人。在第三人欺诈时，被欺诈方与民事法律行为的相对人存在利益冲突：一方面，受欺诈方的意思表示是不自由的，应允许其撤销意思表示；另一方面，相对人未必知晓欺诈事实，其主观上可能善意地信赖受欺诈方是自愿作出的意思表示，并信赖该民事法律行为没有效力瑕疵，此种信赖有保护的必要。因此第三人欺诈时，不能一刀切地保护其中一方。《民法典》第149条采取的方法是区分相对人的善恶意，只有相对人恶意（知道或者应当知道该欺诈行为）时，受欺诈方才能撤销民事法律行为。</w:t>
      </w:r>
    </w:p>
    <w:p w14:paraId="0AE01CB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3．胁迫</w:t>
      </w:r>
    </w:p>
    <w:p w14:paraId="0F903DC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不论是相对人胁迫还是第三人胁迫，受胁迫方都有权撤销民事法律行为。</w:t>
      </w:r>
      <w:r>
        <w:rPr>
          <w:rFonts w:hint="eastAsia" w:ascii="Times New Roman Regular" w:hAnsi="Times New Roman Regular" w:cs="Times New Roman Regular"/>
          <w:sz w:val="24"/>
          <w:szCs w:val="24"/>
          <w:lang w:val="en-US" w:eastAsia="zh-CN"/>
        </w:rPr>
        <w:tab/>
      </w:r>
      <w:r>
        <w:rPr>
          <w:rFonts w:hint="default" w:ascii="Times New Roman Regular" w:hAnsi="Times New Roman Regular" w:cs="Times New Roman Regular"/>
          <w:sz w:val="24"/>
          <w:szCs w:val="24"/>
          <w:lang w:val="en-US" w:eastAsia="zh-CN"/>
        </w:rPr>
        <w:t>4．显失公平</w:t>
      </w:r>
    </w:p>
    <w:p w14:paraId="2842BC6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依据《民法典》第151条，显失公平的民事法律行为是可撤销的。显失公平的构成需要满足两个要件（缺一不可）：（1）主观要件，即一方利用对方处于危困状态、缺乏判断能力等情形。其中危困状态包括一方生存困难、有急迫的融资需求、企业经营不善濒临破产等；缺乏判断能力则仅适用于自然人，法人或非法人组织不得以缺乏判断能力为由主张构成显失公平，进而撤销合同；（2）客观要件，即致使民事法律行为成立时显失公平（《民法典》第151条）。客观要件中显失公平的判断时间点为“民事法律行为成立时”。</w:t>
      </w:r>
    </w:p>
    <w:p w14:paraId="75F4C19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（二）撤销权的除斥期间</w:t>
      </w:r>
    </w:p>
    <w:p w14:paraId="6A73F3B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1.欺诈和显失公平的法律行为除斥期间是一年。从权利人知道或者应当知道撤销事由时起算时间。</w:t>
      </w:r>
    </w:p>
    <w:p w14:paraId="262E496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2.重大误解的法律行为撤销权除斥期间是九十日，从撤销权知道或者应当知道撤销事由之日起计算。</w:t>
      </w:r>
    </w:p>
    <w:p w14:paraId="1CCB9FF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3.受胁迫的法律行为除斥期间为一年，从胁迫行为终止之日起算时间。</w:t>
      </w:r>
    </w:p>
    <w:p w14:paraId="77EBDAE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4.最长保护期：从法律行为发生之日起五年。</w:t>
      </w:r>
    </w:p>
    <w:p w14:paraId="790EBFA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五、效力待定的民事法律行为</w:t>
      </w:r>
    </w:p>
    <w:p w14:paraId="6115D3F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效力待定的民事法律行为主要有以下情形：（1）限制民事行为能力人实施超越其民事行为能力的民事法律行为；（2）无权处分行为；（3）狭义无权代理行为。</w:t>
      </w:r>
    </w:p>
    <w:p w14:paraId="7B96B8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无权处分行为中，负担行为有效，处分行为的效力待定。</w:t>
      </w:r>
    </w:p>
    <w:p w14:paraId="1A414D2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六</w:t>
      </w:r>
      <w:bookmarkStart w:id="0" w:name="_GoBack"/>
      <w:bookmarkEnd w:id="0"/>
      <w:r>
        <w:rPr>
          <w:rFonts w:hint="default" w:ascii="Times New Roman Regular" w:hAnsi="Times New Roman Regular" w:cs="Times New Roman Regular"/>
          <w:sz w:val="24"/>
          <w:szCs w:val="24"/>
          <w:lang w:val="en-US" w:eastAsia="zh-CN"/>
        </w:rPr>
        <w:t>、民事法律行为不成立、无效、被撤销或者确定不发生效力的法律效果</w:t>
      </w:r>
    </w:p>
    <w:p w14:paraId="45958ED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1．返还财产</w:t>
      </w:r>
    </w:p>
    <w:p w14:paraId="04D98C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返还财产是指民事法律行为无效时，已经给付的财产，物权不发生变动，所有权人可以主张返还原物，具体通过返还占有、办理更正登记等方式返还，在返还原物的同时，还可以请求返还孳息（返还价款的一方需要返还价款的利息）和使用收益（返还物的一方需要支付标的物使用费）。</w:t>
      </w:r>
    </w:p>
    <w:p w14:paraId="61E334C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2．折价补偿</w:t>
      </w:r>
    </w:p>
    <w:p w14:paraId="4FCCDD8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折价补偿适用于“不能返还或者没有必要返还的”情形，不能返还包括法律上不能返还（如标的物已经被第三人善意取得）与事实上不能返还（标的物已经毁损灭失）。没有必要返还指虽然并非事实上或法律上不能返还，但实际返还财产在经济上不合理且会造成资源的极大浪费。例如建筑物的装饰装修合同，施工人已经根据合同将建筑物需要的设备全部安装到位，如果全部拆除返还给施工人虽在客观上可行，但对一方或者双方当事人不具有经济性，还会造成社会资源的浪费。折价补偿在性质上是一种不当得利返还请求权。</w:t>
      </w:r>
    </w:p>
    <w:p w14:paraId="55FDB6C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3．损害赔偿</w:t>
      </w:r>
    </w:p>
    <w:p w14:paraId="3DF70A8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民法典》第157条所提及的损害赔偿，在性质上属于缔约过失责任（与《民法典》第500条相同），以过错为前提，赔偿范围限于信赖利益。人民法院应当结合财产返还或者折价补偿的情况，综合考虑财产增值收益和贬值损失、交易成本的支出等事实，按照双方当事人的过错程度及原因力大小，根据诚信原则和公平原则，合理确定损失赔偿额。</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177DA370"/>
    <w:rsid w:val="1FFDE82A"/>
    <w:rsid w:val="37F9300F"/>
    <w:rsid w:val="3DDD8785"/>
    <w:rsid w:val="3EFFCDE3"/>
    <w:rsid w:val="5BBF9BF9"/>
    <w:rsid w:val="5FDFC522"/>
    <w:rsid w:val="76FD9925"/>
    <w:rsid w:val="78FF9F1C"/>
    <w:rsid w:val="7BFFD2F7"/>
    <w:rsid w:val="7D7FD33D"/>
    <w:rsid w:val="7EFFC158"/>
    <w:rsid w:val="8ABEE47C"/>
    <w:rsid w:val="9D77F1EF"/>
    <w:rsid w:val="B3FEA9EF"/>
    <w:rsid w:val="BBD68691"/>
    <w:rsid w:val="BFD7C2A8"/>
    <w:rsid w:val="CBDA46FA"/>
    <w:rsid w:val="CFBDAEF9"/>
    <w:rsid w:val="E5DD9418"/>
    <w:rsid w:val="EC2D9E1A"/>
    <w:rsid w:val="EFE712E6"/>
    <w:rsid w:val="F6DFFC0C"/>
    <w:rsid w:val="F7B010E4"/>
    <w:rsid w:val="FABE4737"/>
    <w:rsid w:val="FBDC3EA0"/>
    <w:rsid w:val="FF6F6FFE"/>
    <w:rsid w:val="FF7BF13D"/>
    <w:rsid w:val="FF9F66F9"/>
    <w:rsid w:val="FFEFF665"/>
    <w:rsid w:val="FFFBE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2026-01-30T00:22:00Z</dcterms:created>
  <dc:creator>Arthur (Xiao) Dong</dc:creator>
  <cp:lastModifiedBy>Arthur (Xiao）Dong</cp:lastModifiedBy>
  <dcterms:modified xsi:type="dcterms:W3CDTF">2026-03-08T11:56:41Z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