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6"/>
          <w:szCs w:val="36"/>
          <w:lang w:val="en-US" w:eastAsia="zh-CN"/>
        </w:rPr>
      </w:pPr>
      <w:r>
        <w:rPr>
          <w:rFonts w:hint="eastAsia"/>
          <w:b/>
          <w:bCs/>
          <w:sz w:val="36"/>
          <w:szCs w:val="36"/>
          <w:lang w:val="en-US" w:eastAsia="zh-CN"/>
        </w:rPr>
        <w:t>民法第二讲考点3-4课堂笔记</w:t>
      </w:r>
    </w:p>
    <w:p w14:paraId="59C165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【考点2：自然人】</w:t>
      </w:r>
    </w:p>
    <w:p w14:paraId="133E24C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四、宣告失踪与宣告死亡</w:t>
      </w:r>
    </w:p>
    <w:p w14:paraId="601E30F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1.宣告失踪的条件：（1）自然人下落不明满2年；（2）利害关系人（近亲属、继承人、债权人、债务人、合伙人）申请；（3）人民法院公告三个月后作出判决</w:t>
      </w:r>
    </w:p>
    <w:p w14:paraId="7F75C93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2.指定财产代管人：失踪人的财产由其配偶、成年子女、父母或者其他愿意担任财产代管人的人代管</w:t>
      </w:r>
    </w:p>
    <w:p w14:paraId="5B7EAA1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3.财产代管人的职责：</w:t>
      </w:r>
    </w:p>
    <w:p w14:paraId="314CA45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（1）财产代管人因故意或者重大过失造成失踪人财产损失的，应当承担赔偿责任；</w:t>
      </w:r>
    </w:p>
    <w:p w14:paraId="7B2296E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关联民诉法：失踪人的财产代管人向失踪人的债务人请求偿还债务时，应将财产代管人列为原告。债权人提起诉讼，请求失踪人的财产代管人支付失踪人所欠的债务和其他费用时，应当将财产代管人列为被告。</w:t>
      </w:r>
    </w:p>
    <w:p w14:paraId="2A5E62C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4.宣告死亡的条件</w:t>
      </w:r>
    </w:p>
    <w:p w14:paraId="4000B0D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（1）自然人下落不明满四年，或者因意外事件，下落不明满二年。因意外事件下落不明，经有关机关证明该自然人不可能生存的，申请宣告死亡不受二年时间的限制</w:t>
      </w:r>
    </w:p>
    <w:p w14:paraId="24CCA72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（2）利害关系人申请：虽然和宣告失踪有所不同，但不用专门记忆，和宣告失踪作类似把握即可</w:t>
      </w:r>
    </w:p>
    <w:p w14:paraId="33996FB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（3）人民法院判决</w:t>
      </w:r>
    </w:p>
    <w:p w14:paraId="01B2162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5.宣告死亡和宣告失踪的关系：宣告死亡不以宣告失踪为条件，有人申请宣告死亡有人申请宣告失踪的，只要符合宣告死亡的条件，就应当宣告死亡</w:t>
      </w:r>
    </w:p>
    <w:p w14:paraId="62DCBB7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6.宣告死亡的法律效果</w:t>
      </w:r>
    </w:p>
    <w:p w14:paraId="74AC544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推定下落不明人死亡：原则上以法院宣告死亡判决作出之日视为其死亡日期，因意外事件下落不明宣告死亡的，意外事件发生之日视为其死亡日期（关联保险法考点：宣告死亡日期在保险期间内的，死亡险也应当赔偿）。如果被宣告死亡之人实际上并未死亡，那么宣告死亡判决不影响其在被宣告死亡期间实施的民事法律行为的效力（即民事权利能力的消灭原因仅限于自然死亡）</w:t>
      </w:r>
    </w:p>
    <w:p w14:paraId="2A289C2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（2）婚姻关系：被宣告死亡的人的婚姻关系，自死亡宣告之日起消除，配偶可以再婚</w:t>
      </w:r>
    </w:p>
    <w:p w14:paraId="1462302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（3）父母子女关系：被宣告死亡的人的子女可以不经同意而被他人收养</w:t>
      </w:r>
    </w:p>
    <w:p w14:paraId="688CA3F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（4）财产关系：发生遗产继承</w:t>
      </w:r>
    </w:p>
    <w:p w14:paraId="2A73F78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7.死亡宣告的撤销：“亡者归来”</w:t>
      </w:r>
    </w:p>
    <w:p w14:paraId="43687B4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财产关系：继承人应当返还财产，无法返还的，应当给予适当补偿。如果财产已经被第三人合法取得，第三人原则上不负有返还义务。利害关系人隐瞒真实情况，致使他人被宣告死亡而取得其财产的，除应当返还财产外，还应当对由此造成的损失承担赔偿责任</w:t>
      </w:r>
    </w:p>
    <w:p w14:paraId="6D7579F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（2）婚姻关系：死亡宣告被撤销的，夫妻关系自撤销死亡宣告之日起自动恢复，但其配偶再婚（包括再婚后又离婚的）或向婚姻登记机关书面声明不愿意恢复的除外</w:t>
      </w:r>
    </w:p>
    <w:p w14:paraId="58DD47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（3）父母子女关系：被宣告死亡的人在被宣告死亡期间，其子女被他人依法收养，即使死亡宣告被撤销，收养也依然有效</w:t>
      </w:r>
    </w:p>
    <w:p w14:paraId="7546C61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p>
    <w:p w14:paraId="7E51B8F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p>
    <w:p w14:paraId="56B4F0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【考点3:法人与非法人组织】</w:t>
      </w:r>
    </w:p>
    <w:p w14:paraId="4BC8716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一、法人的独立性：法人的人格独立于其成员，对其财产有独立的所有权，法人自己承担无限责任，出资人原则上承担有限责任</w:t>
      </w:r>
    </w:p>
    <w:p w14:paraId="1996498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二、法人的分类：重点掌握社团法人和财团法人、营利法人和非营利法人</w:t>
      </w:r>
    </w:p>
    <w:p w14:paraId="2758E6F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1.社团法人和财团法人：财团法人对应捐助法人，社团法人不等于社会团体</w:t>
      </w:r>
    </w:p>
    <w:p w14:paraId="425E89E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2.营利法人和非营利法人的区别不在于是否盈利，而在于是否分配利润</w:t>
      </w:r>
    </w:p>
    <w:p w14:paraId="34620F2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三、法人的机关</w:t>
      </w:r>
    </w:p>
    <w:p w14:paraId="0768A31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1.社团法人的机关：意思机关、执行机关、监督机关、法定代表人</w:t>
      </w:r>
    </w:p>
    <w:p w14:paraId="259321C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2.财团法人的机关：执行机关、监督机关、法定代表人</w:t>
      </w:r>
    </w:p>
    <w:p w14:paraId="1BD1C8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四、法定代表人</w:t>
      </w:r>
    </w:p>
    <w:p w14:paraId="4E752CE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主要是掌握表见代表制度：法人章程或者法人权力机构对法定代表人代表权的限制，不得对抗善意相对人。（即相对人不知道也不应当知道这一限制的，则代表行为有效）</w:t>
      </w:r>
    </w:p>
    <w:p w14:paraId="7A5CC28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五、法人的分支机构</w:t>
      </w:r>
    </w:p>
    <w:p w14:paraId="5554FC0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w:t>
      </w:r>
      <w:r>
        <w:rPr>
          <w:rFonts w:hint="default" w:ascii="Times New Roman Regular" w:hAnsi="Times New Roman Regular" w:cs="Times New Roman Regular"/>
          <w:sz w:val="24"/>
          <w:szCs w:val="24"/>
          <w:lang w:val="en-US" w:eastAsia="zh-CN"/>
        </w:rPr>
        <w:t>法人的分支机构</w:t>
      </w:r>
      <w:r>
        <w:rPr>
          <w:rFonts w:hint="eastAsia" w:ascii="Times New Roman Regular" w:hAnsi="Times New Roman Regular" w:cs="Times New Roman Regular"/>
          <w:sz w:val="24"/>
          <w:szCs w:val="24"/>
          <w:lang w:val="en-US" w:eastAsia="zh-CN"/>
        </w:rPr>
        <w:t>（如分公司）</w:t>
      </w:r>
      <w:r>
        <w:rPr>
          <w:rFonts w:hint="default" w:ascii="Times New Roman Regular" w:hAnsi="Times New Roman Regular" w:cs="Times New Roman Regular"/>
          <w:sz w:val="24"/>
          <w:szCs w:val="24"/>
          <w:lang w:val="en-US" w:eastAsia="zh-CN"/>
        </w:rPr>
        <w:t>不具有法人资格，同时也不构成法人机关，是法人的一部分</w:t>
      </w:r>
      <w:r>
        <w:rPr>
          <w:rFonts w:hint="eastAsia" w:ascii="Times New Roman Regular" w:hAnsi="Times New Roman Regular" w:cs="Times New Roman Regular"/>
          <w:sz w:val="24"/>
          <w:szCs w:val="24"/>
          <w:lang w:val="en-US" w:eastAsia="zh-CN"/>
        </w:rPr>
        <w:t>（类似于法人的一个部门）</w:t>
      </w:r>
      <w:r>
        <w:rPr>
          <w:rFonts w:hint="default" w:ascii="Times New Roman Regular" w:hAnsi="Times New Roman Regular" w:cs="Times New Roman Regular"/>
          <w:sz w:val="24"/>
          <w:szCs w:val="24"/>
          <w:lang w:val="en-US" w:eastAsia="zh-CN"/>
        </w:rPr>
        <w:t>。不过，分支机构可以作为市场主体办理登记</w:t>
      </w:r>
      <w:r>
        <w:rPr>
          <w:rFonts w:hint="eastAsia" w:ascii="Times New Roman Regular" w:hAnsi="Times New Roman Regular" w:cs="Times New Roman Regular"/>
          <w:sz w:val="24"/>
          <w:szCs w:val="24"/>
          <w:lang w:val="en-US" w:eastAsia="zh-CN"/>
        </w:rPr>
        <w:t>。</w:t>
      </w:r>
    </w:p>
    <w:p w14:paraId="48D78F9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2.人分支机构所产生的责任，由法人承担。法人分支机构的责任由法人承担，并不是说法人与分支机构之间承担连带责任，而是法人自己承担自己的责任（单独责任）</w:t>
      </w:r>
    </w:p>
    <w:p w14:paraId="7B8B6F5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六、设立中法人的责任</w:t>
      </w:r>
    </w:p>
    <w:p w14:paraId="02001D2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为设立法人以法人名义实施法律行为的，法人成立的法人承担，法人未成立的设立人承担连带责任；为设立法人以自己名义实施法律行为的，法人成立的第三人可以选择法人或者设立人承担，法人未成立的由设立人承担责任。</w:t>
      </w:r>
    </w:p>
    <w:p w14:paraId="6F5C52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七、非法人组织的责任承担</w:t>
      </w:r>
    </w:p>
    <w:p w14:paraId="3D71A28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先用非法人组织自己的财产清偿，不足以清偿的，出资人或者设立人承担无限连带责任。</w:t>
      </w:r>
    </w:p>
    <w:p w14:paraId="0579580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p>
    <w:p w14:paraId="07E37AF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p>
    <w:p w14:paraId="5A61A4A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b/>
          <w:bCs/>
          <w:sz w:val="24"/>
          <w:szCs w:val="24"/>
          <w:lang w:val="en-US" w:eastAsia="zh-CN"/>
        </w:rPr>
        <w:t>【考点4：民事法律行为】</w:t>
      </w:r>
    </w:p>
    <w:p w14:paraId="4B03E60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一、法律行为的分类</w:t>
      </w:r>
    </w:p>
    <w:p w14:paraId="57A2ADF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（一）以主体为标准分为：</w:t>
      </w:r>
    </w:p>
    <w:p w14:paraId="1E657F1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1.单方法律行为：例如遗嘱</w:t>
      </w:r>
    </w:p>
    <w:p w14:paraId="70B03D9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2.合同：包括对向合同（如买卖合同）和共同行为（如合伙协议）</w:t>
      </w:r>
    </w:p>
    <w:p w14:paraId="5B07D47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3.决议：如股东会决议</w:t>
      </w:r>
    </w:p>
    <w:p w14:paraId="56AD856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（二）根据法律效果所处的法律领域，分为财产行为（如合同）和身份行为（如结婚、离婚、收养）</w:t>
      </w:r>
    </w:p>
    <w:p w14:paraId="3D45B4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1.财产行为直接适用《民法典》总则编、物权编、合同编的规则。</w:t>
      </w:r>
    </w:p>
    <w:p w14:paraId="16CEB2F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2.身份行为的法律适用：可以直接适用《民法典》总则编；婚姻、收养、监护等有关身份关系的协议，适用有关该身份关系的法律规定，没有规定的，可以根据其性质参照适用《民法典》合同编的规定</w:t>
      </w:r>
    </w:p>
    <w:p w14:paraId="3DE82CA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（三）依据是否以物的交付为成立要件，可以将民事法律行为区分为诺成行为与实践行为</w:t>
      </w:r>
    </w:p>
    <w:p w14:paraId="5522E5F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诺成行为是指当事人意思表示达成一致即可成立的民事法律行为。实践行为又称要物行为，是指在合意之外，以物的交付为特别成立要件的民事法律行为。民事法律行为原则上都是诺成行为，实践行为属于例外，且以现行法明确规定为限。现行法上的实践行为包括定金合同、保管合同和自然人之间的借款合同。</w:t>
      </w:r>
    </w:p>
    <w:p w14:paraId="7A84380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（四）以是否以法定或约定形式为特别成立要件，民事法律行为可以分为要式行为与不要式行为。</w:t>
      </w:r>
    </w:p>
    <w:p w14:paraId="00C7941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不要式行为可以采用书面、口头或者其他方式，而要式行为则要求采用书面形式，例如成年人意定监护协议。</w:t>
      </w:r>
    </w:p>
    <w:p w14:paraId="59A30AE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（五）根据法律行为的效力，可以分为负担行为和处分行为</w:t>
      </w:r>
    </w:p>
    <w:p w14:paraId="2D6799D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负担行为是指使一方相对于他方承担一定给付义务的民事法律行为。处分行为是指直接让与权利、变更权利内容、设定权利负担或废止权利的民事法律行为。处分行为会直接减少处分人的积极财产。</w:t>
      </w:r>
    </w:p>
    <w:p w14:paraId="7BA5972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关于负担行为和处分行为，不必掌握得过分艰深，关键要会判断考点：（1）如果当事人签了合同，但是没有处分权，或者没有办理不动产登记，都不影响合同的效力，只要合同签订，且不存在法律规定的效力瑕疵，即可有效；（2）如果当事人一物二卖，两个买卖合同都有效，如果出卖人将房屋过户给了其中一个买受人，则这个买受人可以取得所有权，另外一个买受人可以请求这个出卖人承担违约责任。</w:t>
      </w:r>
    </w:p>
    <w:p w14:paraId="3A39400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二、意思表示</w:t>
      </w:r>
    </w:p>
    <w:p w14:paraId="5B3D037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（一）意思表示的构成</w:t>
      </w:r>
    </w:p>
    <w:p w14:paraId="7D18DAF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不需要从理论层面掌握意思表示的构成，只需要了解</w:t>
      </w:r>
      <w:bookmarkStart w:id="0" w:name="_GoBack"/>
      <w:bookmarkEnd w:id="0"/>
      <w:r>
        <w:rPr>
          <w:rFonts w:hint="eastAsia" w:ascii="Times New Roman Regular" w:hAnsi="Times New Roman Regular" w:cs="Times New Roman Regular"/>
          <w:sz w:val="24"/>
          <w:szCs w:val="24"/>
          <w:lang w:val="en-US" w:eastAsia="zh-CN"/>
        </w:rPr>
        <w:t>：如果不存在意思表示，则法律行为是不成立；如果存在意思表示，但意思表示不真实，则法律行为可能是无效或者可撤销。</w:t>
      </w:r>
    </w:p>
    <w:p w14:paraId="7CFA649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（二）意思表示的生效</w:t>
      </w:r>
    </w:p>
    <w:p w14:paraId="21C4AA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无相对人的意思表示：完成时</w:t>
      </w:r>
    </w:p>
    <w:p w14:paraId="0BF2AAA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有相对人的意思表示：对话自相对人知道时；非对话自到达相对人时；公告自公告发布时</w:t>
      </w:r>
    </w:p>
    <w:p w14:paraId="28B442A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（三）意思表示的形式</w:t>
      </w:r>
    </w:p>
    <w:p w14:paraId="7A05E0A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包括明示、默示和沉默，沉默只有在法律规定、当事人约定或者存在交易习惯的情况下才构成意思表示。</w:t>
      </w:r>
    </w:p>
    <w:p w14:paraId="745B6AB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177DA370"/>
    <w:rsid w:val="1FFDE82A"/>
    <w:rsid w:val="37F9300F"/>
    <w:rsid w:val="3DDD8785"/>
    <w:rsid w:val="3EFFCDE3"/>
    <w:rsid w:val="477D2A48"/>
    <w:rsid w:val="5FDFC522"/>
    <w:rsid w:val="78FF9F1C"/>
    <w:rsid w:val="7D7FD33D"/>
    <w:rsid w:val="7DFB6A91"/>
    <w:rsid w:val="8ABEE47C"/>
    <w:rsid w:val="B3FEA9EF"/>
    <w:rsid w:val="BFD33C50"/>
    <w:rsid w:val="BFD7C2A8"/>
    <w:rsid w:val="CBDA46FA"/>
    <w:rsid w:val="CFBDAEF9"/>
    <w:rsid w:val="E4EF1AED"/>
    <w:rsid w:val="EC2D9E1A"/>
    <w:rsid w:val="EFE712E6"/>
    <w:rsid w:val="F5FA6221"/>
    <w:rsid w:val="F6DFFC0C"/>
    <w:rsid w:val="FABE4737"/>
    <w:rsid w:val="FDFF360C"/>
    <w:rsid w:val="FF6F6FFE"/>
    <w:rsid w:val="FF7BF13D"/>
    <w:rsid w:val="FFEFF665"/>
    <w:rsid w:val="FFFBE5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2026-01-29T00:22:00Z</dcterms:created>
  <dc:creator>Arthur (Xiao) Dong</dc:creator>
  <cp:lastModifiedBy>Arthur (Xiao）Dong</cp:lastModifiedBy>
  <dcterms:modified xsi:type="dcterms:W3CDTF">2026-03-07T17:56:02Z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