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4C7D7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sz w:val="36"/>
          <w:szCs w:val="36"/>
          <w:lang w:val="en-US" w:eastAsia="zh-CN"/>
        </w:rPr>
      </w:pPr>
      <w:r>
        <w:rPr>
          <w:rFonts w:hint="eastAsia"/>
          <w:b/>
          <w:bCs/>
          <w:sz w:val="36"/>
          <w:szCs w:val="36"/>
          <w:lang w:val="en-US" w:eastAsia="zh-CN"/>
        </w:rPr>
        <w:t>民法第二讲考点3-4课堂笔记</w:t>
      </w:r>
    </w:p>
    <w:p w14:paraId="59C1651B">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b/>
          <w:bCs/>
          <w:sz w:val="24"/>
          <w:szCs w:val="24"/>
          <w:lang w:val="en-US" w:eastAsia="zh-CN"/>
        </w:rPr>
      </w:pPr>
      <w:r>
        <w:rPr>
          <w:rFonts w:hint="eastAsia" w:ascii="Times New Roman Regular" w:hAnsi="Times New Roman Regular" w:cs="Times New Roman Regular"/>
          <w:b/>
          <w:bCs/>
          <w:sz w:val="24"/>
          <w:szCs w:val="24"/>
          <w:lang w:val="en-US" w:eastAsia="zh-CN"/>
        </w:rPr>
        <w:t>【考点2：自然人】</w:t>
      </w:r>
    </w:p>
    <w:p w14:paraId="133E24CF">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b w:val="0"/>
          <w:bCs w:val="0"/>
          <w:sz w:val="24"/>
          <w:szCs w:val="24"/>
          <w:lang w:val="en-US" w:eastAsia="zh-CN"/>
        </w:rPr>
      </w:pPr>
      <w:r>
        <w:rPr>
          <w:rFonts w:hint="default" w:ascii="Times New Roman Regular" w:hAnsi="Times New Roman Regular" w:cs="Times New Roman Regular"/>
          <w:b w:val="0"/>
          <w:bCs w:val="0"/>
          <w:sz w:val="24"/>
          <w:szCs w:val="24"/>
          <w:lang w:val="en-US" w:eastAsia="zh-CN"/>
        </w:rPr>
        <w:t>四、宣告失踪与宣告死亡</w:t>
      </w:r>
    </w:p>
    <w:p w14:paraId="601E30FA">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b w:val="0"/>
          <w:bCs w:val="0"/>
          <w:sz w:val="24"/>
          <w:szCs w:val="24"/>
          <w:lang w:val="en-US" w:eastAsia="zh-CN"/>
        </w:rPr>
      </w:pPr>
      <w:r>
        <w:rPr>
          <w:rFonts w:hint="default" w:ascii="Times New Roman Regular" w:hAnsi="Times New Roman Regular" w:cs="Times New Roman Regular"/>
          <w:b w:val="0"/>
          <w:bCs w:val="0"/>
          <w:sz w:val="24"/>
          <w:szCs w:val="24"/>
          <w:lang w:val="en-US" w:eastAsia="zh-CN"/>
        </w:rPr>
        <w:t>1.宣告失踪的条件：（1）自然人下落不明满2年；（2）利害关系人（近亲属、继承人、债权人、债务人、合伙人）申请；（3）人民法院公告三个月后作出判决</w:t>
      </w:r>
    </w:p>
    <w:p w14:paraId="7F75C933">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b w:val="0"/>
          <w:bCs w:val="0"/>
          <w:sz w:val="24"/>
          <w:szCs w:val="24"/>
          <w:lang w:val="en-US" w:eastAsia="zh-CN"/>
        </w:rPr>
      </w:pPr>
      <w:r>
        <w:rPr>
          <w:rFonts w:hint="default" w:ascii="Times New Roman Regular" w:hAnsi="Times New Roman Regular" w:cs="Times New Roman Regular"/>
          <w:b w:val="0"/>
          <w:bCs w:val="0"/>
          <w:sz w:val="24"/>
          <w:szCs w:val="24"/>
          <w:lang w:val="en-US" w:eastAsia="zh-CN"/>
        </w:rPr>
        <w:t>2.指定财产代管人：失踪人的财产由其配偶、成年子女、父母或者其他愿意担任财产代管人的人代管</w:t>
      </w:r>
    </w:p>
    <w:p w14:paraId="5B7EAA18">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b w:val="0"/>
          <w:bCs w:val="0"/>
          <w:sz w:val="24"/>
          <w:szCs w:val="24"/>
          <w:lang w:val="en-US" w:eastAsia="zh-CN"/>
        </w:rPr>
      </w:pPr>
      <w:r>
        <w:rPr>
          <w:rFonts w:hint="default" w:ascii="Times New Roman Regular" w:hAnsi="Times New Roman Regular" w:cs="Times New Roman Regular"/>
          <w:b w:val="0"/>
          <w:bCs w:val="0"/>
          <w:sz w:val="24"/>
          <w:szCs w:val="24"/>
          <w:lang w:val="en-US" w:eastAsia="zh-CN"/>
        </w:rPr>
        <w:t>3.财产代管人的职责：</w:t>
      </w:r>
    </w:p>
    <w:p w14:paraId="314CA458">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b w:val="0"/>
          <w:bCs w:val="0"/>
          <w:sz w:val="24"/>
          <w:szCs w:val="24"/>
          <w:lang w:val="en-US" w:eastAsia="zh-CN"/>
        </w:rPr>
      </w:pPr>
      <w:r>
        <w:rPr>
          <w:rFonts w:hint="default" w:ascii="Times New Roman Regular" w:hAnsi="Times New Roman Regular" w:cs="Times New Roman Regular"/>
          <w:b w:val="0"/>
          <w:bCs w:val="0"/>
          <w:sz w:val="24"/>
          <w:szCs w:val="24"/>
          <w:lang w:val="en-US" w:eastAsia="zh-CN"/>
        </w:rPr>
        <w:t>（1）财产代管人因故意或者重大过失造成失踪人财产损失的，应当承担赔偿责任；</w:t>
      </w:r>
    </w:p>
    <w:p w14:paraId="7B2296E1">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b w:val="0"/>
          <w:bCs w:val="0"/>
          <w:sz w:val="24"/>
          <w:szCs w:val="24"/>
          <w:lang w:val="en-US" w:eastAsia="zh-CN"/>
        </w:rPr>
      </w:pPr>
      <w:r>
        <w:rPr>
          <w:rFonts w:hint="default" w:ascii="Times New Roman Regular" w:hAnsi="Times New Roman Regular" w:cs="Times New Roman Regular"/>
          <w:b w:val="0"/>
          <w:bCs w:val="0"/>
          <w:sz w:val="24"/>
          <w:szCs w:val="24"/>
          <w:lang w:val="en-US" w:eastAsia="zh-CN"/>
        </w:rPr>
        <w:t>（2）关联民诉法：失踪人的财产代管人向失踪人的债务人请求偿还债务时，应将财产代管人列为原告。债权人提起诉讼，请求失踪人的财产代管人支付失踪人所欠的债务和其他费用时，应当将财产代管人列为被告。</w:t>
      </w:r>
    </w:p>
    <w:p w14:paraId="2A5E62CA">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b w:val="0"/>
          <w:bCs w:val="0"/>
          <w:sz w:val="24"/>
          <w:szCs w:val="24"/>
          <w:lang w:val="en-US" w:eastAsia="zh-CN"/>
        </w:rPr>
      </w:pPr>
      <w:r>
        <w:rPr>
          <w:rFonts w:hint="default" w:ascii="Times New Roman Regular" w:hAnsi="Times New Roman Regular" w:cs="Times New Roman Regular"/>
          <w:b w:val="0"/>
          <w:bCs w:val="0"/>
          <w:sz w:val="24"/>
          <w:szCs w:val="24"/>
          <w:lang w:val="en-US" w:eastAsia="zh-CN"/>
        </w:rPr>
        <w:t>4.宣告死亡的条件</w:t>
      </w:r>
    </w:p>
    <w:p w14:paraId="4000B0DB">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b w:val="0"/>
          <w:bCs w:val="0"/>
          <w:sz w:val="24"/>
          <w:szCs w:val="24"/>
          <w:lang w:val="en-US" w:eastAsia="zh-CN"/>
        </w:rPr>
      </w:pPr>
      <w:r>
        <w:rPr>
          <w:rFonts w:hint="default" w:ascii="Times New Roman Regular" w:hAnsi="Times New Roman Regular" w:cs="Times New Roman Regular"/>
          <w:b w:val="0"/>
          <w:bCs w:val="0"/>
          <w:sz w:val="24"/>
          <w:szCs w:val="24"/>
          <w:lang w:val="en-US" w:eastAsia="zh-CN"/>
        </w:rPr>
        <w:t>（1）自然人下落不明满四年，或者因意外事件，下落不明满二年。因意外事件下落不明，经有关机关证明该自然人不可能生存的，申请宣告死亡不受二年时间的限制</w:t>
      </w:r>
    </w:p>
    <w:p w14:paraId="24CCA72C">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b w:val="0"/>
          <w:bCs w:val="0"/>
          <w:sz w:val="24"/>
          <w:szCs w:val="24"/>
          <w:lang w:val="en-US" w:eastAsia="zh-CN"/>
        </w:rPr>
      </w:pPr>
      <w:r>
        <w:rPr>
          <w:rFonts w:hint="default" w:ascii="Times New Roman Regular" w:hAnsi="Times New Roman Regular" w:cs="Times New Roman Regular"/>
          <w:b w:val="0"/>
          <w:bCs w:val="0"/>
          <w:sz w:val="24"/>
          <w:szCs w:val="24"/>
          <w:lang w:val="en-US" w:eastAsia="zh-CN"/>
        </w:rPr>
        <w:t>（2）利害关系人申请：虽然和宣告失踪有所不同，但不用专门记忆，和宣告失踪作类似把握即可</w:t>
      </w:r>
    </w:p>
    <w:p w14:paraId="33996FBC">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b w:val="0"/>
          <w:bCs w:val="0"/>
          <w:sz w:val="24"/>
          <w:szCs w:val="24"/>
          <w:lang w:val="en-US" w:eastAsia="zh-CN"/>
        </w:rPr>
      </w:pPr>
      <w:r>
        <w:rPr>
          <w:rFonts w:hint="default" w:ascii="Times New Roman Regular" w:hAnsi="Times New Roman Regular" w:cs="Times New Roman Regular"/>
          <w:b w:val="0"/>
          <w:bCs w:val="0"/>
          <w:sz w:val="24"/>
          <w:szCs w:val="24"/>
          <w:lang w:val="en-US" w:eastAsia="zh-CN"/>
        </w:rPr>
        <w:t>（3）人民法院判决</w:t>
      </w:r>
    </w:p>
    <w:p w14:paraId="01B21628">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b w:val="0"/>
          <w:bCs w:val="0"/>
          <w:sz w:val="24"/>
          <w:szCs w:val="24"/>
          <w:lang w:val="en-US" w:eastAsia="zh-CN"/>
        </w:rPr>
      </w:pPr>
      <w:r>
        <w:rPr>
          <w:rFonts w:hint="default" w:ascii="Times New Roman Regular" w:hAnsi="Times New Roman Regular" w:cs="Times New Roman Regular"/>
          <w:b w:val="0"/>
          <w:bCs w:val="0"/>
          <w:sz w:val="24"/>
          <w:szCs w:val="24"/>
          <w:lang w:val="en-US" w:eastAsia="zh-CN"/>
        </w:rPr>
        <w:t>5.宣告死亡和宣告失踪的关系：宣告死亡不以宣告失踪为条件，有人申请宣告死亡有人申请宣告失踪的，只要符合宣告死亡的条件，就应当宣告死亡</w:t>
      </w:r>
    </w:p>
    <w:p w14:paraId="62DCBB7D">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b w:val="0"/>
          <w:bCs w:val="0"/>
          <w:sz w:val="24"/>
          <w:szCs w:val="24"/>
          <w:lang w:val="en-US" w:eastAsia="zh-CN"/>
        </w:rPr>
      </w:pPr>
      <w:r>
        <w:rPr>
          <w:rFonts w:hint="default" w:ascii="Times New Roman Regular" w:hAnsi="Times New Roman Regular" w:cs="Times New Roman Regular"/>
          <w:b w:val="0"/>
          <w:bCs w:val="0"/>
          <w:sz w:val="24"/>
          <w:szCs w:val="24"/>
          <w:lang w:val="en-US" w:eastAsia="zh-CN"/>
        </w:rPr>
        <w:t>6.宣告死亡的法律效果</w:t>
      </w:r>
    </w:p>
    <w:p w14:paraId="74AC544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b w:val="0"/>
          <w:bCs w:val="0"/>
          <w:sz w:val="24"/>
          <w:szCs w:val="24"/>
          <w:lang w:val="en-US" w:eastAsia="zh-CN"/>
        </w:rPr>
      </w:pPr>
      <w:r>
        <w:rPr>
          <w:rFonts w:hint="default" w:ascii="Times New Roman Regular" w:hAnsi="Times New Roman Regular" w:cs="Times New Roman Regular"/>
          <w:b w:val="0"/>
          <w:bCs w:val="0"/>
          <w:sz w:val="24"/>
          <w:szCs w:val="24"/>
          <w:lang w:val="en-US" w:eastAsia="zh-CN"/>
        </w:rPr>
        <w:t>（1）推定下落不明人死亡：原则上以法院宣告死亡判决作出之日视为其死亡日期，因意外事件下落不明宣告死亡的，意外事件发生之日视为其死亡日期（关联保险法考点：宣告死亡日期在保险期间内的，死亡险也应当赔偿）。如果被宣告死亡之人实际上并未死亡，那么宣告死亡判决不影响其在被宣告死亡期间实施的民事法律行为的效力（即民事权利能力的消灭原因仅限于自然死亡）</w:t>
      </w:r>
    </w:p>
    <w:p w14:paraId="2A289C2D">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b w:val="0"/>
          <w:bCs w:val="0"/>
          <w:sz w:val="24"/>
          <w:szCs w:val="24"/>
          <w:lang w:val="en-US" w:eastAsia="zh-CN"/>
        </w:rPr>
      </w:pPr>
      <w:r>
        <w:rPr>
          <w:rFonts w:hint="default" w:ascii="Times New Roman Regular" w:hAnsi="Times New Roman Regular" w:cs="Times New Roman Regular"/>
          <w:b w:val="0"/>
          <w:bCs w:val="0"/>
          <w:sz w:val="24"/>
          <w:szCs w:val="24"/>
          <w:lang w:val="en-US" w:eastAsia="zh-CN"/>
        </w:rPr>
        <w:t>（2）婚姻关系：被宣告死亡的人的婚姻关系，自死亡宣告之日起消除，配偶可以再婚</w:t>
      </w:r>
    </w:p>
    <w:p w14:paraId="14623028">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b w:val="0"/>
          <w:bCs w:val="0"/>
          <w:sz w:val="24"/>
          <w:szCs w:val="24"/>
          <w:lang w:val="en-US" w:eastAsia="zh-CN"/>
        </w:rPr>
      </w:pPr>
      <w:r>
        <w:rPr>
          <w:rFonts w:hint="default" w:ascii="Times New Roman Regular" w:hAnsi="Times New Roman Regular" w:cs="Times New Roman Regular"/>
          <w:b w:val="0"/>
          <w:bCs w:val="0"/>
          <w:sz w:val="24"/>
          <w:szCs w:val="24"/>
          <w:lang w:val="en-US" w:eastAsia="zh-CN"/>
        </w:rPr>
        <w:t>（3）父母子女关系：被宣告死亡的人的子女可以不经同意而被他人收养</w:t>
      </w:r>
    </w:p>
    <w:p w14:paraId="688CA3FE">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b w:val="0"/>
          <w:bCs w:val="0"/>
          <w:sz w:val="24"/>
          <w:szCs w:val="24"/>
          <w:lang w:val="en-US" w:eastAsia="zh-CN"/>
        </w:rPr>
      </w:pPr>
      <w:r>
        <w:rPr>
          <w:rFonts w:hint="default" w:ascii="Times New Roman Regular" w:hAnsi="Times New Roman Regular" w:cs="Times New Roman Regular"/>
          <w:b w:val="0"/>
          <w:bCs w:val="0"/>
          <w:sz w:val="24"/>
          <w:szCs w:val="24"/>
          <w:lang w:val="en-US" w:eastAsia="zh-CN"/>
        </w:rPr>
        <w:t>（4）财产关系：发生遗产继承</w:t>
      </w:r>
    </w:p>
    <w:p w14:paraId="2A73F780">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b w:val="0"/>
          <w:bCs w:val="0"/>
          <w:sz w:val="24"/>
          <w:szCs w:val="24"/>
          <w:lang w:val="en-US" w:eastAsia="zh-CN"/>
        </w:rPr>
      </w:pPr>
      <w:r>
        <w:rPr>
          <w:rFonts w:hint="default" w:ascii="Times New Roman Regular" w:hAnsi="Times New Roman Regular" w:cs="Times New Roman Regular"/>
          <w:b w:val="0"/>
          <w:bCs w:val="0"/>
          <w:sz w:val="24"/>
          <w:szCs w:val="24"/>
          <w:lang w:val="en-US" w:eastAsia="zh-CN"/>
        </w:rPr>
        <w:t>7.死亡宣告的撤销：“亡者归来”</w:t>
      </w:r>
    </w:p>
    <w:p w14:paraId="43687B42">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b w:val="0"/>
          <w:bCs w:val="0"/>
          <w:sz w:val="24"/>
          <w:szCs w:val="24"/>
          <w:lang w:val="en-US" w:eastAsia="zh-CN"/>
        </w:rPr>
      </w:pPr>
      <w:r>
        <w:rPr>
          <w:rFonts w:hint="default" w:ascii="Times New Roman Regular" w:hAnsi="Times New Roman Regular" w:cs="Times New Roman Regular"/>
          <w:b w:val="0"/>
          <w:bCs w:val="0"/>
          <w:sz w:val="24"/>
          <w:szCs w:val="24"/>
          <w:lang w:val="en-US" w:eastAsia="zh-CN"/>
        </w:rPr>
        <w:t>（1）财产关系：继承人应当返还财产，无法返还的，应当给予适当补偿。如果财产已经被第三人合法取得，第三人原则上不负有返还义务。利害关系人隐瞒真实情况，致使他人被宣告死亡而取得其财产的，除应当返还财产外，还应当对由此造成的损失承担赔偿责任</w:t>
      </w:r>
    </w:p>
    <w:p w14:paraId="6D7579FF">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b w:val="0"/>
          <w:bCs w:val="0"/>
          <w:sz w:val="24"/>
          <w:szCs w:val="24"/>
          <w:lang w:val="en-US" w:eastAsia="zh-CN"/>
        </w:rPr>
      </w:pPr>
      <w:r>
        <w:rPr>
          <w:rFonts w:hint="default" w:ascii="Times New Roman Regular" w:hAnsi="Times New Roman Regular" w:cs="Times New Roman Regular"/>
          <w:b w:val="0"/>
          <w:bCs w:val="0"/>
          <w:sz w:val="24"/>
          <w:szCs w:val="24"/>
          <w:lang w:val="en-US" w:eastAsia="zh-CN"/>
        </w:rPr>
        <w:t>（2）婚姻关系：死亡宣告被撤销的，夫妻关系自撤销死亡宣告之日起自动恢复，但其配偶再婚（包括再婚后又离婚的）或向婚姻登记机关书面声明不愿意恢复的除外</w:t>
      </w:r>
    </w:p>
    <w:p w14:paraId="58DD477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b w:val="0"/>
          <w:bCs w:val="0"/>
          <w:sz w:val="24"/>
          <w:szCs w:val="24"/>
          <w:lang w:val="en-US" w:eastAsia="zh-CN"/>
        </w:rPr>
      </w:pPr>
      <w:r>
        <w:rPr>
          <w:rFonts w:hint="default" w:ascii="Times New Roman Regular" w:hAnsi="Times New Roman Regular" w:cs="Times New Roman Regular"/>
          <w:b w:val="0"/>
          <w:bCs w:val="0"/>
          <w:sz w:val="24"/>
          <w:szCs w:val="24"/>
          <w:lang w:val="en-US" w:eastAsia="zh-CN"/>
        </w:rPr>
        <w:t>（3）父母子女关系：被宣告死亡的人在被宣告死亡期间，其子女被他人依法收养，即使死亡宣告被撤销，收养也依然有效</w:t>
      </w:r>
    </w:p>
    <w:p w14:paraId="7546C61E">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b/>
          <w:bCs/>
          <w:sz w:val="24"/>
          <w:szCs w:val="24"/>
          <w:lang w:val="en-US" w:eastAsia="zh-CN"/>
        </w:rPr>
      </w:pPr>
    </w:p>
    <w:p w14:paraId="7E51B8F8">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b/>
          <w:bCs/>
          <w:sz w:val="24"/>
          <w:szCs w:val="24"/>
          <w:lang w:val="en-US" w:eastAsia="zh-CN"/>
        </w:rPr>
      </w:pPr>
    </w:p>
    <w:p w14:paraId="56B4F06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b/>
          <w:bCs/>
          <w:sz w:val="24"/>
          <w:szCs w:val="24"/>
          <w:lang w:val="en-US" w:eastAsia="zh-CN"/>
        </w:rPr>
      </w:pPr>
      <w:r>
        <w:rPr>
          <w:rFonts w:hint="eastAsia" w:ascii="Times New Roman Regular" w:hAnsi="Times New Roman Regular" w:cs="Times New Roman Regular"/>
          <w:b/>
          <w:bCs/>
          <w:sz w:val="24"/>
          <w:szCs w:val="24"/>
          <w:lang w:val="en-US" w:eastAsia="zh-CN"/>
        </w:rPr>
        <w:t>【考点3:法人与非法人组织】</w:t>
      </w:r>
    </w:p>
    <w:p w14:paraId="4BC8716B">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一、法人的独立性：法人的人格独立于其成员，对其财产有独立的所有权，法人自己承担无限责任，出资人原则上承担有限责任</w:t>
      </w:r>
    </w:p>
    <w:p w14:paraId="1996498D">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二、法人的分类：重点掌握社团法人和财团法人、营利法人和非营利法人</w:t>
      </w:r>
    </w:p>
    <w:p w14:paraId="2758E6FA">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1.社团法人和财团法人：财团法人对应捐助法人，社团法人不等于社会团体</w:t>
      </w:r>
    </w:p>
    <w:p w14:paraId="425E89E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2.营利法人和非营利法人的区别不在于是否盈利，而在于是否分配利润</w:t>
      </w:r>
    </w:p>
    <w:p w14:paraId="34620F21">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三、法人的机关</w:t>
      </w:r>
    </w:p>
    <w:p w14:paraId="0768A310">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1.社团法人的机关：意思机关、执行机关、监督机关、法定代表人</w:t>
      </w:r>
    </w:p>
    <w:p w14:paraId="259321CE">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2.财团法人的机关：执行机关、监督机关、法定代表人</w:t>
      </w:r>
    </w:p>
    <w:p w14:paraId="1BD1C8A0">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四、法定代表人</w:t>
      </w:r>
    </w:p>
    <w:p w14:paraId="4E752CE3">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主要是掌握表见代表制度：法人章程或者法人权力机构对法定代表人代表权的限制，不得对抗善意相对人。（即相对人不知道也不应当知道这一限制的，则代表行为有效）</w:t>
      </w:r>
    </w:p>
    <w:p w14:paraId="7A5CC281">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五、法人的分支机构</w:t>
      </w:r>
    </w:p>
    <w:p w14:paraId="5554FC05">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1.</w:t>
      </w:r>
      <w:r>
        <w:rPr>
          <w:rFonts w:hint="default" w:ascii="Times New Roman Regular" w:hAnsi="Times New Roman Regular" w:cs="Times New Roman Regular"/>
          <w:sz w:val="24"/>
          <w:szCs w:val="24"/>
          <w:lang w:val="en-US" w:eastAsia="zh-CN"/>
        </w:rPr>
        <w:t>法人的分支机构</w:t>
      </w:r>
      <w:r>
        <w:rPr>
          <w:rFonts w:hint="eastAsia" w:ascii="Times New Roman Regular" w:hAnsi="Times New Roman Regular" w:cs="Times New Roman Regular"/>
          <w:sz w:val="24"/>
          <w:szCs w:val="24"/>
          <w:lang w:val="en-US" w:eastAsia="zh-CN"/>
        </w:rPr>
        <w:t>（如分公司）</w:t>
      </w:r>
      <w:r>
        <w:rPr>
          <w:rFonts w:hint="default" w:ascii="Times New Roman Regular" w:hAnsi="Times New Roman Regular" w:cs="Times New Roman Regular"/>
          <w:sz w:val="24"/>
          <w:szCs w:val="24"/>
          <w:lang w:val="en-US" w:eastAsia="zh-CN"/>
        </w:rPr>
        <w:t>不具有法人资格，同时也不构成法人机关，是法人的一部分</w:t>
      </w:r>
      <w:r>
        <w:rPr>
          <w:rFonts w:hint="eastAsia" w:ascii="Times New Roman Regular" w:hAnsi="Times New Roman Regular" w:cs="Times New Roman Regular"/>
          <w:sz w:val="24"/>
          <w:szCs w:val="24"/>
          <w:lang w:val="en-US" w:eastAsia="zh-CN"/>
        </w:rPr>
        <w:t>（类似于法人的一个部门）</w:t>
      </w:r>
      <w:r>
        <w:rPr>
          <w:rFonts w:hint="default" w:ascii="Times New Roman Regular" w:hAnsi="Times New Roman Regular" w:cs="Times New Roman Regular"/>
          <w:sz w:val="24"/>
          <w:szCs w:val="24"/>
          <w:lang w:val="en-US" w:eastAsia="zh-CN"/>
        </w:rPr>
        <w:t>。不过，分支机构可以作为市场主体办理登记</w:t>
      </w:r>
      <w:r>
        <w:rPr>
          <w:rFonts w:hint="eastAsia" w:ascii="Times New Roman Regular" w:hAnsi="Times New Roman Regular" w:cs="Times New Roman Regular"/>
          <w:sz w:val="24"/>
          <w:szCs w:val="24"/>
          <w:lang w:val="en-US" w:eastAsia="zh-CN"/>
        </w:rPr>
        <w:t>。</w:t>
      </w:r>
    </w:p>
    <w:p w14:paraId="48D78F93">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2.人分支机构所产生的责任，由法人承担。法人分支机构的责任由法人承担，并不是说法人与分支机构之间承担连带责任，而是法人自己承担自己的责任（单独责任）</w:t>
      </w:r>
    </w:p>
    <w:p w14:paraId="7B8B6F5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六、设立中法人的责任</w:t>
      </w:r>
    </w:p>
    <w:p w14:paraId="02001D22">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为设立法人以法人名义实施法律行为的，法人成立的法人承担，法人未成立的设立人承担连带责任；为设立法人以自己名义实施法律行为的，法人成立的第三人可以选择法人或者设立人承担，法人未成立的由设立人承担责任。</w:t>
      </w:r>
    </w:p>
    <w:p w14:paraId="6F5C52C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七、非法人组织的责任承担</w:t>
      </w:r>
    </w:p>
    <w:p w14:paraId="3D71A28A">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先用非法人组织自己的财产清偿，不足以清偿的，出资人或者设立人承担无限连带责任。</w:t>
      </w:r>
    </w:p>
    <w:p w14:paraId="0579580E">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p>
    <w:p w14:paraId="07E37AF2">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p>
    <w:p w14:paraId="5A61A4A5">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eastAsia" w:ascii="Times New Roman Regular" w:hAnsi="Times New Roman Regular" w:cs="Times New Roman Regular"/>
          <w:b/>
          <w:bCs/>
          <w:sz w:val="24"/>
          <w:szCs w:val="24"/>
          <w:lang w:val="en-US" w:eastAsia="zh-CN"/>
        </w:rPr>
        <w:t>【考点4：民事法律行为】</w:t>
      </w:r>
    </w:p>
    <w:p w14:paraId="4B03E607">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一、法律行为的分类</w:t>
      </w:r>
    </w:p>
    <w:p w14:paraId="57A2ADF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（一）以主体为标准分为：</w:t>
      </w:r>
    </w:p>
    <w:p w14:paraId="1E657F1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1.单方法律行为：例如遗嘱</w:t>
      </w:r>
    </w:p>
    <w:p w14:paraId="70B03D9C">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2.合同：包括对向合同（如买卖合同）和共同行为（如合伙协议）</w:t>
      </w:r>
    </w:p>
    <w:p w14:paraId="5B07D472">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3.决议：如股东会决议</w:t>
      </w:r>
    </w:p>
    <w:p w14:paraId="56AD8567">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（二）根据法律效果所处的法律领域，分为财产行为（如合同）和身份行为（如结婚、离婚、收养）</w:t>
      </w:r>
    </w:p>
    <w:p w14:paraId="3D45B4C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1.财产行为直接适用《民法典》总则编、物权编、合同编的规则。</w:t>
      </w:r>
    </w:p>
    <w:p w14:paraId="16CEB2F8">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2.身份行为的法律适用：可以直接适用《民法典》总则编；婚姻、收养、监护等有关身份关系的协议，适用有关该身份关系的法律规定，没有规定的，可以根据其性质参照适用《民法典》合同编的规定</w:t>
      </w:r>
    </w:p>
    <w:p w14:paraId="3DE82CAA">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（三）依据是否以物的交付为成立要件，可以将民事法律行为区分为诺成行为与实践行为</w:t>
      </w:r>
    </w:p>
    <w:p w14:paraId="5522E5F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诺成行为是指当事人意思表示达成一致即可成立的民事法律行为。实践行为又称要物行为，是指在合意之外，以物的交付为特别成立要件的民事法律行为。民事法律行为原则上都是诺成行为，实践行为属于例外，且以现行法明确规定为限。现行法上的实践行为包括定金合同、保管合同和自然人之间的借款合同。</w:t>
      </w:r>
    </w:p>
    <w:p w14:paraId="7A843807">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（四）以是否以法定或约定形式为特别成立要件，民事法律行为可以分为要式行为与不要式行为。</w:t>
      </w:r>
    </w:p>
    <w:p w14:paraId="00C79410">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不要式行为可以采用书面、口头或者其他方式，而要式行为则要求采用书面形式，例如成年人意定监护协议。</w:t>
      </w:r>
    </w:p>
    <w:p w14:paraId="59A30AE8">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（五）根据法律行为的效力，可以分为负担行为和处分行为</w:t>
      </w:r>
    </w:p>
    <w:p w14:paraId="2D6799D7">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t>负担行为是指使一方相对于他方承担一定给付义务的民事法律行为。处分行为是指直接让与权利、变更权利内容、设定权利负担或废止权利的民事法律行为。处分行为会直接减少处分人的积极财产。</w:t>
      </w:r>
    </w:p>
    <w:p w14:paraId="7BA5972F">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关于负担行为和处分行为，不必掌握得过分艰深，关键要会判断考点：（1）如果当事人签了合同，但是没有处分权，或者没有办理不动产登记，都不影响合同的效力，只要合同签订，且不存在法律规定的效力瑕疵，即可有效；（2）如果当事人一物二卖，两个买卖合同都有效，如果出卖人将房屋过户给了其中一个买受人，则这个买受人可以取得所有权，另外一个买受人可以请求这个出卖人承担违约责任。</w:t>
      </w:r>
    </w:p>
    <w:p w14:paraId="3A39400E">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二、意思表示</w:t>
      </w:r>
    </w:p>
    <w:p w14:paraId="5B3D0373">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（一）意思表示的构成</w:t>
      </w:r>
    </w:p>
    <w:p w14:paraId="7D18DAF5">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不需要从理论层面掌握意思表示的构成，只需要了解</w:t>
      </w:r>
      <w:bookmarkStart w:id="0" w:name="_GoBack"/>
      <w:bookmarkEnd w:id="0"/>
      <w:r>
        <w:rPr>
          <w:rFonts w:hint="eastAsia" w:ascii="Times New Roman Regular" w:hAnsi="Times New Roman Regular" w:cs="Times New Roman Regular"/>
          <w:sz w:val="24"/>
          <w:szCs w:val="24"/>
          <w:lang w:val="en-US" w:eastAsia="zh-CN"/>
        </w:rPr>
        <w:t>：如果不存在意思表示，则法律行为是不成立；如果存在意思表示，但意思表示不真实，则法律行为可能是无效或者可撤销。</w:t>
      </w:r>
    </w:p>
    <w:p w14:paraId="7CFA649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（二）意思表示的生效</w:t>
      </w:r>
    </w:p>
    <w:p w14:paraId="21C4AAB2">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无相对人的意思表示：完成时</w:t>
      </w:r>
    </w:p>
    <w:p w14:paraId="0BF2AAAD">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有相对人的意思表示：对话自相对人知道时；非对话自到达相对人时；公告自公告发布时</w:t>
      </w:r>
    </w:p>
    <w:p w14:paraId="28B442A1">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（三）意思表示的形式</w:t>
      </w:r>
    </w:p>
    <w:p w14:paraId="7A05E0AD">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包括明示、默示和沉默，沉默只有在法律规定、当事人约定或者存在交易习惯的情况下才构成意思表示。</w:t>
      </w:r>
    </w:p>
    <w:p w14:paraId="745B6AB3">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E50002FF" w:usb1="500079DB" w:usb2="00000010" w:usb3="00000000" w:csb0="00000000" w:csb1="00000000"/>
  </w:font>
  <w:font w:name="汉仪书宋二KW">
    <w:panose1 w:val="00020600040101010101"/>
    <w:charset w:val="86"/>
    <w:family w:val="auto"/>
    <w:pitch w:val="default"/>
    <w:sig w:usb0="A00002BF" w:usb1="18EF7CFA" w:usb2="00000016" w:usb3="00000000" w:csb0="00040000" w:csb1="00000000"/>
  </w:font>
  <w:font w:name="汉仪书宋二简">
    <w:altName w:val="华文宋体"/>
    <w:panose1 w:val="02010600000101010101"/>
    <w:charset w:val="86"/>
    <w:family w:val="modern"/>
    <w:pitch w:val="default"/>
    <w:sig w:usb0="00000000" w:usb1="00000000" w:usb2="00000002" w:usb3="00000000" w:csb0="00040000" w:csb1="00000000"/>
  </w:font>
  <w:font w:name="华文宋体">
    <w:panose1 w:val="02010600040101010101"/>
    <w:charset w:val="86"/>
    <w:family w:val="auto"/>
    <w:pitch w:val="default"/>
    <w:sig w:usb0="80000287" w:usb1="280F3C52" w:usb2="00000016" w:usb3="00000000" w:csb0="0004001F" w:csb1="00000000"/>
  </w:font>
  <w:font w:name="Times New Roman Regular">
    <w:panose1 w:val="02020503050405090304"/>
    <w:charset w:val="00"/>
    <w:family w:val="auto"/>
    <w:pitch w:val="default"/>
    <w:sig w:usb0="E0000AFF" w:usb1="00007843" w:usb2="00000001" w:usb3="00000000" w:csb0="400001BF" w:csb1="DFF7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CFBDAEF9"/>
    <w:rsid w:val="177DA370"/>
    <w:rsid w:val="1FFDE82A"/>
    <w:rsid w:val="37F9300F"/>
    <w:rsid w:val="3DDD8785"/>
    <w:rsid w:val="3EFFCDE3"/>
    <w:rsid w:val="477D2A48"/>
    <w:rsid w:val="5FDFC522"/>
    <w:rsid w:val="78FF9F1C"/>
    <w:rsid w:val="7D7FD33D"/>
    <w:rsid w:val="7DFB6A91"/>
    <w:rsid w:val="8ABEE47C"/>
    <w:rsid w:val="B3FEA9EF"/>
    <w:rsid w:val="BFD33C50"/>
    <w:rsid w:val="BFD7C2A8"/>
    <w:rsid w:val="CBDA46FA"/>
    <w:rsid w:val="CFBDAEF9"/>
    <w:rsid w:val="E4EF1AED"/>
    <w:rsid w:val="EC2D9E1A"/>
    <w:rsid w:val="EFE712E6"/>
    <w:rsid w:val="F5FA6221"/>
    <w:rsid w:val="F6DFFC0C"/>
    <w:rsid w:val="FABE4737"/>
    <w:rsid w:val="FDFF360C"/>
    <w:rsid w:val="FF6F6FFE"/>
    <w:rsid w:val="FF7BF13D"/>
    <w:rsid w:val="FFEFF665"/>
    <w:rsid w:val="FFFBE5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unhideWhenUsed/>
    <w:qFormat/>
    <w:uiPriority w:val="99"/>
    <w:pPr>
      <w:widowControl/>
      <w:spacing w:before="100" w:beforeAutospacing="1" w:after="100" w:afterAutospacing="1" w:line="384" w:lineRule="exact"/>
      <w:ind w:firstLine="721" w:firstLineChars="200"/>
      <w:jc w:val="left"/>
    </w:pPr>
    <w:rPr>
      <w:rFonts w:ascii="宋体" w:hAnsi="宋体" w:eastAsia="汉仪书宋二简" w:cs="宋体"/>
      <w:color w:val="auto"/>
      <w:kern w:val="0"/>
      <w:sz w:val="24"/>
      <w:szCs w:val="24"/>
      <w:lang w:val="en-US" w:eastAsia="zh-CN" w:bidi="ar-SA"/>
    </w:rPr>
  </w:style>
  <w:style w:type="table" w:styleId="4">
    <w:name w:val="Table Gri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1</TotalTime>
  <ScaleCrop>false</ScaleCrop>
  <LinksUpToDate>false</LinksUpToDate>
  <CharactersWithSpaces>0</CharactersWithSpaces>
  <Application>WPS Office_12.1.24031.24031_F1E327BC-269C-435d-A152-05C5408002CA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2026-01-29T00:22:00Z</dcterms:created>
  <dc:creator>Arthur (Xiao) Dong</dc:creator>
  <cp:lastModifiedBy>Arthur (Xiao）Dong</cp:lastModifiedBy>
  <dcterms:modified xsi:type="dcterms:W3CDTF">2026-03-07T17:56:02Z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2052-12.1.24031.24031</vt:lpwstr>
  </property>
  <property fmtid="{D5CDD505-2E9C-101B-9397-08002B2CF9AE}" pid="3" name="ICV">
    <vt:lpwstr>3A31E5C62E8666FD53247769E1688135_41</vt:lpwstr>
  </property>
</Properties>
</file>