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24"/>
          <w:szCs w:val="24"/>
          <w:lang w:val="en-US" w:eastAsia="zh-CN"/>
        </w:rPr>
      </w:pPr>
      <w:r>
        <w:rPr>
          <w:rFonts w:hint="eastAsia"/>
          <w:b/>
          <w:bCs/>
          <w:sz w:val="24"/>
          <w:szCs w:val="24"/>
          <w:lang w:val="en-US" w:eastAsia="zh-CN"/>
        </w:rPr>
        <w:t>民法第一讲课堂笔记（考点1-2）</w:t>
      </w:r>
    </w:p>
    <w:p w14:paraId="56B4F0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【考点1：民法概述】</w:t>
      </w:r>
    </w:p>
    <w:p w14:paraId="7502E61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一、民法的基本原则：重点掌握公平原则、诚实信用原则和公序良俗原则</w:t>
      </w:r>
    </w:p>
    <w:p w14:paraId="3BBC8F0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公平原则的体现：显失公平、情势变更、违约金的调整</w:t>
      </w:r>
    </w:p>
    <w:p w14:paraId="0C311F8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诚实信用原则：缔约过失责任，附随义务，后合同义务，禁止滥用权利</w:t>
      </w:r>
    </w:p>
    <w:p w14:paraId="44940FC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公序良俗原则：主要会导致法律行为无效</w:t>
      </w:r>
    </w:p>
    <w:p w14:paraId="6815EDF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二、民事法律关系（民法的调整对象）：排除情谊行为和行政法律关系</w:t>
      </w:r>
    </w:p>
    <w:p w14:paraId="207640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（一）法律关系与非法律关系</w:t>
      </w:r>
    </w:p>
    <w:p w14:paraId="7BDEFA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民事法律关系是指受民法调整的法律关系。只有受法律调整的生活事实，才能在法律上形成法律关系。典型的不受法律调整的生活事实是情谊行为</w:t>
      </w:r>
      <w:r>
        <w:rPr>
          <w:rFonts w:hint="eastAsia" w:ascii="Times New Roman Regular" w:hAnsi="Times New Roman Regular" w:cs="Times New Roman Regular"/>
          <w:sz w:val="24"/>
          <w:szCs w:val="24"/>
          <w:lang w:val="en-US" w:eastAsia="zh-CN"/>
        </w:rPr>
        <w:t>。</w:t>
      </w:r>
    </w:p>
    <w:p w14:paraId="38BC417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不过需要注意：在实施情谊行为时仍负有侵权法上的注意义务（注意义务可能减轻），如果违反此种注意义务侵害他人的人身财产，可能成立侵权责任。因此，情谊行为是有可能向民事法律关系转化的。</w:t>
      </w:r>
    </w:p>
    <w:p w14:paraId="6F1DFF9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（二）法律关系与民事法律关系</w:t>
      </w:r>
    </w:p>
    <w:p w14:paraId="71D884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并非所有的法律关系都能成为民事法律关系。有的法律关系受其他部门法调整，比如行政许可行为、行政处罚行为、征税行为等就受行政法调整，不是民事法律关系。</w:t>
      </w:r>
    </w:p>
    <w:p w14:paraId="19DCE39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三、民事权利：重点掌握绝对权和相对权，支配权、请求权、抗辩权和形成权</w:t>
      </w:r>
    </w:p>
    <w:p w14:paraId="603403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（一）绝对权和相对权</w:t>
      </w:r>
    </w:p>
    <w:p w14:paraId="44D8BB7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依据权利效力所及的范围大小，可以将民事权利分为绝对权与相对权。</w:t>
      </w:r>
    </w:p>
    <w:p w14:paraId="600522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绝对权。绝对权又称对世权，是指以不特定人为义务人的权利。物权、人格权、知识产权均属于绝对权。绝对权可以对抗所有人，世界上所有人都负有尊重该权利，不侵害该权利的义务。绝对权受侵权法保护</w:t>
      </w:r>
      <w:r>
        <w:rPr>
          <w:rFonts w:hint="eastAsia" w:ascii="Times New Roman Regular" w:hAnsi="Times New Roman Regular" w:cs="Times New Roman Regular"/>
          <w:sz w:val="24"/>
          <w:szCs w:val="24"/>
          <w:lang w:val="en-US" w:eastAsia="zh-CN"/>
        </w:rPr>
        <w:t>。</w:t>
      </w:r>
    </w:p>
    <w:p w14:paraId="6949CB5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相对权。相对权又称对人权，是指权利效力仅及于特定人的权利。债权就是典型的相对权。相对权通常不作为侵权法的保护对象，不过在例外情形下，如第三人以悖于善良风俗的方式侵害债权，也可成立侵权责任。</w:t>
      </w:r>
    </w:p>
    <w:p w14:paraId="04E650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（二）支配权、请求权、抗辩权和形成权</w:t>
      </w:r>
    </w:p>
    <w:p w14:paraId="0FBF647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依据权利的实现方式，可以将民事权利分为支配权、请求权、形成权与抗辩权。</w:t>
      </w:r>
    </w:p>
    <w:p w14:paraId="472AFA6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（1）支配权</w:t>
      </w:r>
    </w:p>
    <w:p w14:paraId="76951F6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支配权是指对特定客体予以直接支配的民事权利。物权、知识产权、人身权都是典型的支配权。</w:t>
      </w:r>
    </w:p>
    <w:p w14:paraId="58FAB7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（2）请求权</w:t>
      </w:r>
    </w:p>
    <w:p w14:paraId="35C0757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请求权是请求他人作为或者不作为的权利，债权是典型的请求权。与支配权不同，请求权的实现需要他人的协助，例如债权的实现需要债务人的给付行为。除债权以外，侵害绝对权所产生的请求权，如侵害物权产生的返还原物请求权（《民法典》第235条）、排除妨害请求权（《民法典》第236条）、消除危险请求权（《民法典》第236条）也属于请求权。</w:t>
      </w:r>
    </w:p>
    <w:p w14:paraId="3980FC1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（3）抗辩权</w:t>
      </w:r>
    </w:p>
    <w:p w14:paraId="4A1D066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抗辩权是与请求权相对的概念，是指阻止请求权行使的权利。“无请求则无抗辩”。</w:t>
      </w:r>
    </w:p>
    <w:p w14:paraId="15554D8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（4）形成权</w:t>
      </w:r>
    </w:p>
    <w:p w14:paraId="0C0B39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形成权是指通过单方的意思就可以改变特定法律状况的民事权利。</w:t>
      </w:r>
    </w:p>
    <w:p w14:paraId="5A3FD45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依据权利的行使方式，形成权可以分为简单形成权与形成诉权。简单形成权是无需以诉讼或仲裁的方式行使的形成权，此种形成权的行使，只需通过通知的方式行使即可。《民法典》第171条规定的追认权、《民法典》第563条第1款中的合同法定解除权都是简单形成权。</w:t>
      </w:r>
    </w:p>
    <w:p w14:paraId="6EB6BCB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形成诉权是指必须通过诉讼或者仲裁方式行使的形成权。现行法上的形成诉权包括：（1）可撤销民事法律行为中的撤销权（《民法典》第147-151条）；（2）情势变更中请求变更合同或解除合同的权利（《民法典》第533条）；（3）债权人撤销权（《民法典》第538-542条）；（4）违约方解除权（《民法典》第580条第2款）。</w:t>
      </w:r>
    </w:p>
    <w:p w14:paraId="67CA96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关联考点：在民事诉讼法上，如果原告行使的是简单形成权，则该诉讼属于确认之诉，如果原告行使的是形成诉权，则该诉讼属于形成之诉。</w:t>
      </w:r>
    </w:p>
    <w:p w14:paraId="3A52B59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四、民事权利的私力救济：重点掌握自助行为</w:t>
      </w:r>
    </w:p>
    <w:p w14:paraId="3CD94E7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自助行为是指在紧急情况下，为了保障请求权的实现，权利人对义务人的自由、财产加以约束、拘留或毁损的行为。《民法典》第1177条对此作出了明确规定。</w:t>
      </w:r>
      <w:r>
        <w:rPr>
          <w:rFonts w:hint="eastAsia" w:ascii="Times New Roman Regular" w:hAnsi="Times New Roman Regular" w:cs="Times New Roman Regular"/>
          <w:sz w:val="24"/>
          <w:szCs w:val="24"/>
          <w:lang w:val="en-US" w:eastAsia="zh-CN"/>
        </w:rPr>
        <w:t>典型的例子是突然遇到了偷自己东西的人，可以采取合理措施把自己的东西夺回来。</w:t>
      </w:r>
    </w:p>
    <w:p w14:paraId="7759FE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2．自助行为的法律效果</w:t>
      </w:r>
    </w:p>
    <w:p w14:paraId="50D1F69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构成自助行为时，可以阻却违法性，针对该自助行为所造成的人身财产损害，行为人无须承担赔偿责任，即自助行为属于免责事由之一。</w:t>
      </w:r>
      <w:bookmarkStart w:id="0" w:name="_GoBack"/>
      <w:bookmarkEnd w:id="0"/>
    </w:p>
    <w:p w14:paraId="6B5056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【考点2：自然人】</w:t>
      </w:r>
    </w:p>
    <w:p w14:paraId="1984A7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一、胎儿利益的保护</w:t>
      </w:r>
    </w:p>
    <w:p w14:paraId="111960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1．胎儿利益特殊保护的前提条件</w:t>
      </w:r>
      <w:r>
        <w:rPr>
          <w:rFonts w:hint="eastAsia" w:ascii="Times New Roman Regular" w:hAnsi="Times New Roman Regular" w:cs="Times New Roman Regular"/>
          <w:sz w:val="24"/>
          <w:szCs w:val="24"/>
          <w:lang w:val="en-US" w:eastAsia="zh-CN"/>
        </w:rPr>
        <w:t>：</w:t>
      </w:r>
      <w:r>
        <w:rPr>
          <w:rFonts w:hint="default" w:ascii="Times New Roman Regular" w:hAnsi="Times New Roman Regular" w:cs="Times New Roman Regular"/>
          <w:sz w:val="24"/>
          <w:szCs w:val="24"/>
          <w:lang w:val="en-US" w:eastAsia="zh-CN"/>
        </w:rPr>
        <w:t>（1）涉及的事项与胎儿的利益保护相关，如遗产继承、接受赠与以及遭受人身损害等；（2）胎儿出生时为活体。出生后随即夭折不影响胎儿利益的特殊保护。但出生时若为死体，则不得主张特殊保护。</w:t>
      </w:r>
    </w:p>
    <w:p w14:paraId="780ED1F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2．胎儿利益特殊保护的具体方式</w:t>
      </w:r>
    </w:p>
    <w:p w14:paraId="33BE50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满足上述构成要件后，胎儿被视为具有民事权利能力。这是一种法律拟制。具体而言，胎儿在出生前就可以接受赠与、参与继承以及主张人身损害赔偿。在胎儿出生前，父母作为法定代理人就可以主张上述权利（《民法典总则编解释》第4条）。如果胎儿娩出时为死体，其民事权利能力自始不存在，为其预留的遗产份额按照法定继承的规则处理（《民法典》第1155条）。</w:t>
      </w:r>
    </w:p>
    <w:p w14:paraId="3C85E8B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二、民事行为能力</w:t>
      </w:r>
    </w:p>
    <w:tbl>
      <w:tblPr>
        <w:tblStyle w:val="4"/>
        <w:tblW w:w="8505" w:type="dxa"/>
        <w:jc w:val="center"/>
        <w:tblBorders>
          <w:top w:val="single" w:color="FF0000" w:sz="8" w:space="0"/>
          <w:left w:val="single" w:color="FF0000" w:sz="8" w:space="0"/>
          <w:bottom w:val="single" w:color="FF0000" w:sz="8" w:space="0"/>
          <w:right w:val="single" w:color="FF0000" w:sz="8" w:space="0"/>
          <w:insideH w:val="single" w:color="FF0000" w:sz="8" w:space="0"/>
          <w:insideV w:val="single" w:color="FF0000" w:sz="8" w:space="0"/>
        </w:tblBorders>
        <w:tblLayout w:type="fixed"/>
        <w:tblCellMar>
          <w:top w:w="0" w:type="dxa"/>
          <w:left w:w="57" w:type="dxa"/>
          <w:bottom w:w="0" w:type="dxa"/>
          <w:right w:w="57" w:type="dxa"/>
        </w:tblCellMar>
      </w:tblPr>
      <w:tblGrid>
        <w:gridCol w:w="1266"/>
        <w:gridCol w:w="2977"/>
        <w:gridCol w:w="4262"/>
      </w:tblGrid>
      <w:tr w14:paraId="1AC436F6">
        <w:trPr>
          <w:trHeight w:val="20" w:hRule="atLeast"/>
          <w:jc w:val="center"/>
        </w:trPr>
        <w:tc>
          <w:tcPr>
            <w:tcW w:w="1266" w:type="dxa"/>
            <w:tcBorders>
              <w:tl2br w:val="single" w:color="FF0000" w:sz="8" w:space="0"/>
            </w:tcBorders>
            <w:vAlign w:val="center"/>
          </w:tcPr>
          <w:p w14:paraId="0D1B7E2A">
            <w:pPr>
              <w:tabs>
                <w:tab w:val="left" w:pos="420"/>
              </w:tabs>
              <w:spacing w:before="31" w:beforeLines="10" w:after="62" w:afterLines="20" w:line="280" w:lineRule="exact"/>
              <w:ind w:firstLine="420" w:firstLineChars="200"/>
              <w:rPr>
                <w:rFonts w:ascii="汉仪书宋一简" w:hAnsi="Times New Roman" w:eastAsia="汉仪书宋一简" w:cs="Times New Roman"/>
                <w:color w:val="000000"/>
                <w:szCs w:val="21"/>
              </w:rPr>
            </w:pPr>
          </w:p>
        </w:tc>
        <w:tc>
          <w:tcPr>
            <w:tcW w:w="2977" w:type="dxa"/>
            <w:vAlign w:val="center"/>
          </w:tcPr>
          <w:p w14:paraId="72C3DBCF">
            <w:pPr>
              <w:tabs>
                <w:tab w:val="left" w:pos="420"/>
              </w:tabs>
              <w:spacing w:before="31" w:beforeLines="10" w:after="62" w:afterLines="20" w:line="280" w:lineRule="exact"/>
              <w:ind w:firstLine="0" w:firstLineChars="0"/>
              <w:jc w:val="center"/>
              <w:rPr>
                <w:rFonts w:hint="eastAsia" w:ascii="汉仪中黑简" w:hAnsi="宋体" w:eastAsia="汉仪中黑简" w:cs="宋体"/>
                <w:bCs/>
                <w:iCs/>
                <w:color w:val="000000"/>
                <w:kern w:val="0"/>
                <w:sz w:val="20"/>
                <w:szCs w:val="21"/>
              </w:rPr>
            </w:pPr>
            <w:r>
              <w:rPr>
                <w:rFonts w:hint="eastAsia" w:ascii="汉仪中黑简" w:hAnsi="宋体" w:eastAsia="汉仪中黑简" w:cs="宋体"/>
                <w:bCs/>
                <w:iCs/>
                <w:color w:val="000000"/>
                <w:kern w:val="0"/>
                <w:sz w:val="20"/>
                <w:szCs w:val="21"/>
              </w:rPr>
              <w:t>范围</w:t>
            </w:r>
          </w:p>
        </w:tc>
        <w:tc>
          <w:tcPr>
            <w:tcW w:w="4262" w:type="dxa"/>
            <w:vAlign w:val="center"/>
          </w:tcPr>
          <w:p w14:paraId="5ED48A23">
            <w:pPr>
              <w:tabs>
                <w:tab w:val="left" w:pos="420"/>
              </w:tabs>
              <w:spacing w:before="31" w:beforeLines="10" w:after="62" w:afterLines="20" w:line="280" w:lineRule="exact"/>
              <w:ind w:firstLine="0" w:firstLineChars="0"/>
              <w:jc w:val="center"/>
              <w:rPr>
                <w:rFonts w:hint="eastAsia" w:ascii="汉仪中黑简" w:hAnsi="宋体" w:eastAsia="汉仪中黑简" w:cs="宋体"/>
                <w:bCs/>
                <w:iCs/>
                <w:color w:val="000000"/>
                <w:kern w:val="0"/>
                <w:sz w:val="20"/>
                <w:szCs w:val="21"/>
              </w:rPr>
            </w:pPr>
            <w:r>
              <w:rPr>
                <w:rFonts w:hint="eastAsia" w:ascii="汉仪中黑简" w:hAnsi="宋体" w:eastAsia="汉仪中黑简" w:cs="宋体"/>
                <w:bCs/>
                <w:iCs/>
                <w:color w:val="000000"/>
                <w:kern w:val="0"/>
                <w:sz w:val="20"/>
                <w:szCs w:val="21"/>
              </w:rPr>
              <w:t>独立实施的民事法律行为效力</w:t>
            </w:r>
          </w:p>
        </w:tc>
      </w:tr>
      <w:tr w14:paraId="75A467EC">
        <w:trPr>
          <w:trHeight w:val="20" w:hRule="atLeast"/>
          <w:jc w:val="center"/>
        </w:trPr>
        <w:tc>
          <w:tcPr>
            <w:tcW w:w="1266" w:type="dxa"/>
            <w:vAlign w:val="center"/>
          </w:tcPr>
          <w:p w14:paraId="747D3176">
            <w:pPr>
              <w:tabs>
                <w:tab w:val="left" w:pos="420"/>
              </w:tabs>
              <w:spacing w:before="31" w:beforeLines="10" w:after="62" w:afterLines="20" w:line="280" w:lineRule="exact"/>
              <w:ind w:firstLine="0" w:firstLineChars="0"/>
              <w:jc w:val="center"/>
              <w:rPr>
                <w:rFonts w:hint="eastAsia" w:ascii="汉仪中黑简" w:hAnsi="宋体" w:eastAsia="汉仪中黑简" w:cs="宋体"/>
                <w:bCs/>
                <w:iCs/>
                <w:color w:val="000000"/>
                <w:kern w:val="0"/>
                <w:sz w:val="20"/>
                <w:szCs w:val="21"/>
              </w:rPr>
            </w:pPr>
            <w:r>
              <w:rPr>
                <w:rFonts w:hint="eastAsia" w:ascii="汉仪中黑简" w:hAnsi="宋体" w:eastAsia="汉仪中黑简" w:cs="宋体"/>
                <w:bCs/>
                <w:iCs/>
                <w:color w:val="000000"/>
                <w:kern w:val="0"/>
                <w:sz w:val="20"/>
                <w:szCs w:val="21"/>
              </w:rPr>
              <w:t>完全民事行为能力人</w:t>
            </w:r>
          </w:p>
        </w:tc>
        <w:tc>
          <w:tcPr>
            <w:tcW w:w="2977" w:type="dxa"/>
            <w:vAlign w:val="center"/>
          </w:tcPr>
          <w:p w14:paraId="01DF819E">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1．成年人</w:t>
            </w:r>
          </w:p>
          <w:p w14:paraId="767C46B6">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2．16周岁以上，以自己的劳动收入为主要生活来源的未成年人</w:t>
            </w:r>
          </w:p>
        </w:tc>
        <w:tc>
          <w:tcPr>
            <w:tcW w:w="4262" w:type="dxa"/>
            <w:vAlign w:val="center"/>
          </w:tcPr>
          <w:p w14:paraId="18B1BCCB">
            <w:pPr>
              <w:tabs>
                <w:tab w:val="left" w:pos="420"/>
              </w:tabs>
              <w:spacing w:before="31" w:beforeLines="10" w:after="62" w:afterLines="20" w:line="280" w:lineRule="exact"/>
              <w:ind w:firstLine="0" w:firstLineChars="0"/>
              <w:jc w:val="center"/>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如无其他效力瑕疵，均有效</w:t>
            </w:r>
          </w:p>
        </w:tc>
      </w:tr>
      <w:tr w14:paraId="18F02C5A">
        <w:trPr>
          <w:trHeight w:val="20" w:hRule="atLeast"/>
          <w:jc w:val="center"/>
        </w:trPr>
        <w:tc>
          <w:tcPr>
            <w:tcW w:w="1266" w:type="dxa"/>
            <w:vAlign w:val="center"/>
          </w:tcPr>
          <w:p w14:paraId="3F33C112">
            <w:pPr>
              <w:tabs>
                <w:tab w:val="left" w:pos="420"/>
              </w:tabs>
              <w:spacing w:before="31" w:beforeLines="10" w:after="62" w:afterLines="20" w:line="280" w:lineRule="exact"/>
              <w:ind w:firstLine="0" w:firstLineChars="0"/>
              <w:jc w:val="center"/>
              <w:rPr>
                <w:rFonts w:hint="eastAsia" w:ascii="汉仪中黑简" w:hAnsi="宋体" w:eastAsia="汉仪中黑简" w:cs="宋体"/>
                <w:bCs/>
                <w:iCs/>
                <w:color w:val="000000"/>
                <w:kern w:val="0"/>
                <w:sz w:val="20"/>
                <w:szCs w:val="21"/>
              </w:rPr>
            </w:pPr>
            <w:r>
              <w:rPr>
                <w:rFonts w:hint="eastAsia" w:ascii="汉仪中黑简" w:hAnsi="宋体" w:eastAsia="汉仪中黑简" w:cs="宋体"/>
                <w:bCs/>
                <w:iCs/>
                <w:color w:val="000000"/>
                <w:kern w:val="0"/>
                <w:sz w:val="20"/>
                <w:szCs w:val="21"/>
              </w:rPr>
              <w:t>限制民事行为能力人</w:t>
            </w:r>
          </w:p>
        </w:tc>
        <w:tc>
          <w:tcPr>
            <w:tcW w:w="2977" w:type="dxa"/>
            <w:vAlign w:val="center"/>
          </w:tcPr>
          <w:p w14:paraId="3F829E97">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1．8周岁以上的未成年人</w:t>
            </w:r>
          </w:p>
          <w:p w14:paraId="110AD289">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2．不能完全辨认自己行为的成年人</w:t>
            </w:r>
          </w:p>
        </w:tc>
        <w:tc>
          <w:tcPr>
            <w:tcW w:w="4262" w:type="dxa"/>
            <w:vAlign w:val="center"/>
          </w:tcPr>
          <w:p w14:paraId="673B96C7">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1．纯获利益的民事法律行为—有效</w:t>
            </w:r>
          </w:p>
          <w:p w14:paraId="7414354B">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2．与其年龄、智力相适应的民事法律行为—有效</w:t>
            </w:r>
          </w:p>
          <w:p w14:paraId="464D78C1">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3．经过法定代理人事先同意的民事法律行为—有效</w:t>
            </w:r>
          </w:p>
          <w:p w14:paraId="251E5D5B">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4．其他民事法律行为—效力待定</w:t>
            </w:r>
          </w:p>
        </w:tc>
      </w:tr>
      <w:tr w14:paraId="5F3E73D6">
        <w:trPr>
          <w:trHeight w:val="20" w:hRule="atLeast"/>
          <w:jc w:val="center"/>
        </w:trPr>
        <w:tc>
          <w:tcPr>
            <w:tcW w:w="1266" w:type="dxa"/>
            <w:vAlign w:val="center"/>
          </w:tcPr>
          <w:p w14:paraId="50E22653">
            <w:pPr>
              <w:tabs>
                <w:tab w:val="left" w:pos="420"/>
              </w:tabs>
              <w:spacing w:before="31" w:beforeLines="10" w:after="62" w:afterLines="20" w:line="280" w:lineRule="exact"/>
              <w:ind w:firstLine="0" w:firstLineChars="0"/>
              <w:jc w:val="center"/>
              <w:rPr>
                <w:rFonts w:hint="eastAsia" w:ascii="汉仪中黑简" w:hAnsi="宋体" w:eastAsia="汉仪中黑简" w:cs="宋体"/>
                <w:bCs/>
                <w:iCs/>
                <w:color w:val="000000"/>
                <w:kern w:val="0"/>
                <w:sz w:val="20"/>
                <w:szCs w:val="21"/>
              </w:rPr>
            </w:pPr>
            <w:r>
              <w:rPr>
                <w:rFonts w:hint="eastAsia" w:ascii="汉仪中黑简" w:hAnsi="宋体" w:eastAsia="汉仪中黑简" w:cs="宋体"/>
                <w:bCs/>
                <w:iCs/>
                <w:color w:val="000000"/>
                <w:kern w:val="0"/>
                <w:sz w:val="20"/>
                <w:szCs w:val="21"/>
              </w:rPr>
              <w:t>无民事行为能力人</w:t>
            </w:r>
          </w:p>
        </w:tc>
        <w:tc>
          <w:tcPr>
            <w:tcW w:w="2977" w:type="dxa"/>
            <w:vAlign w:val="center"/>
          </w:tcPr>
          <w:p w14:paraId="0EE52FBF">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1．不满8周岁的未成年人</w:t>
            </w:r>
          </w:p>
          <w:p w14:paraId="096573F4">
            <w:pPr>
              <w:tabs>
                <w:tab w:val="left" w:pos="420"/>
              </w:tabs>
              <w:spacing w:before="31" w:beforeLines="10" w:after="62" w:afterLines="20" w:line="280" w:lineRule="exact"/>
              <w:ind w:firstLine="0" w:firstLineChars="0"/>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2．不能辨认自己行为的成年人和八周岁以上的未成年人</w:t>
            </w:r>
          </w:p>
        </w:tc>
        <w:tc>
          <w:tcPr>
            <w:tcW w:w="4262" w:type="dxa"/>
            <w:vAlign w:val="center"/>
          </w:tcPr>
          <w:p w14:paraId="141E08A6">
            <w:pPr>
              <w:tabs>
                <w:tab w:val="left" w:pos="420"/>
              </w:tabs>
              <w:spacing w:before="31" w:beforeLines="10" w:after="62" w:afterLines="20" w:line="280" w:lineRule="exact"/>
              <w:ind w:firstLine="0" w:firstLineChars="0"/>
              <w:jc w:val="center"/>
              <w:rPr>
                <w:rFonts w:hint="eastAsia" w:ascii="汉仪书宋一简" w:hAnsi="宋体" w:eastAsia="汉仪书宋一简" w:cs="宋体"/>
                <w:iCs/>
                <w:color w:val="000000"/>
                <w:kern w:val="0"/>
                <w:sz w:val="20"/>
                <w:szCs w:val="21"/>
              </w:rPr>
            </w:pPr>
            <w:r>
              <w:rPr>
                <w:rFonts w:hint="eastAsia" w:ascii="汉仪书宋一简" w:hAnsi="宋体" w:eastAsia="汉仪书宋一简" w:cs="宋体"/>
                <w:iCs/>
                <w:color w:val="000000"/>
                <w:kern w:val="0"/>
                <w:sz w:val="20"/>
                <w:szCs w:val="21"/>
              </w:rPr>
              <w:t>一律无效</w:t>
            </w:r>
          </w:p>
        </w:tc>
      </w:tr>
    </w:tbl>
    <w:p w14:paraId="0079E0B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三、监护</w:t>
      </w:r>
    </w:p>
    <w:p w14:paraId="0668E4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（一）法定监护</w:t>
      </w:r>
    </w:p>
    <w:p w14:paraId="1D295B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父母是未成年子女的当然的、第一位的法定监护人：</w:t>
      </w:r>
      <w:r>
        <w:rPr>
          <w:rFonts w:hint="default" w:ascii="Times New Roman Regular" w:hAnsi="Times New Roman Regular" w:cs="Times New Roman Regular"/>
          <w:sz w:val="24"/>
          <w:szCs w:val="24"/>
          <w:lang w:val="en-US" w:eastAsia="zh-CN"/>
        </w:rPr>
        <w:t>（1）父母作为监护人具有法定性与强制性，不得约定免除监护职责；（2）父母离婚不影响监护关系的存续；（3）涉及亲子关系的异议时，亲子关系异议之诉判决生效之前，监护关系不受影响。</w:t>
      </w:r>
    </w:p>
    <w:p w14:paraId="5E65A70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（二）协议监护</w:t>
      </w:r>
    </w:p>
    <w:p w14:paraId="793884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在尊重被监护人意愿的前提下，父母以外的有监护资格的主体之间可以通过协议的方式确定监护人，不同顺位的主体之间也可以订立此种协议。协议监护时不受顺位的限制，可以约定不同顺序的人共同担任监护人，也可以约定由顺序在后的人担任监护人</w:t>
      </w:r>
      <w:r>
        <w:rPr>
          <w:rFonts w:hint="eastAsia" w:ascii="Times New Roman Regular" w:hAnsi="Times New Roman Regular" w:cs="Times New Roman Regular"/>
          <w:sz w:val="24"/>
          <w:szCs w:val="24"/>
          <w:lang w:val="en-US" w:eastAsia="zh-CN"/>
        </w:rPr>
        <w:t>。</w:t>
      </w:r>
    </w:p>
    <w:p w14:paraId="60E6D40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（三）指定监护</w:t>
      </w:r>
    </w:p>
    <w:p w14:paraId="4B9FED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有权指定的组织或机关。依据《民法典》第31条第1款，有权指定的组织或机关包括被监护人住所地的居民委员会、村民委员会、民政部门以及人民法院。需要注意的是，当事人可以直接请求人民法院指定。</w:t>
      </w:r>
    </w:p>
    <w:p w14:paraId="058D03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指定的法律效果。监护人被指定后，就会成立监护关系，被指定人不得擅自变更，擅自变更的</w:t>
      </w:r>
      <w:r>
        <w:rPr>
          <w:rFonts w:hint="eastAsia" w:ascii="Times New Roman Regular" w:hAnsi="Times New Roman Regular" w:cs="Times New Roman Regular"/>
          <w:sz w:val="24"/>
          <w:szCs w:val="24"/>
          <w:lang w:val="en-US" w:eastAsia="zh-CN"/>
        </w:rPr>
        <w:t>，不免除其监护人责任。</w:t>
      </w:r>
    </w:p>
    <w:p w14:paraId="338A282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（四）遗嘱监护</w:t>
      </w:r>
    </w:p>
    <w:p w14:paraId="0D98F9D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遗嘱监护是指被监护人的父母担任监护人时通过遗嘱指定某人在其死后担任子女的监护人（《民法典》第29条）。对于遗嘱监护规则需要注意以下几点：</w:t>
      </w:r>
    </w:p>
    <w:p w14:paraId="5AC4BC4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1.</w:t>
      </w:r>
      <w:r>
        <w:rPr>
          <w:rFonts w:hint="default" w:ascii="Times New Roman Regular" w:hAnsi="Times New Roman Regular" w:cs="Times New Roman Regular"/>
          <w:sz w:val="24"/>
          <w:szCs w:val="24"/>
          <w:lang w:val="en-US" w:eastAsia="zh-CN"/>
        </w:rPr>
        <w:t>遗嘱人的范围：被监护人的父母+担任监护人（缺一不可）；</w:t>
      </w:r>
    </w:p>
    <w:p w14:paraId="445B2C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2.</w:t>
      </w:r>
      <w:r>
        <w:rPr>
          <w:rFonts w:hint="default" w:ascii="Times New Roman Regular" w:hAnsi="Times New Roman Regular" w:cs="Times New Roman Regular"/>
          <w:sz w:val="24"/>
          <w:szCs w:val="24"/>
          <w:lang w:val="en-US" w:eastAsia="zh-CN"/>
        </w:rPr>
        <w:t>被指定人的范围：不必限于有法定监护资格的主体；</w:t>
      </w:r>
    </w:p>
    <w:p w14:paraId="21FAED8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3.</w:t>
      </w:r>
      <w:r>
        <w:rPr>
          <w:rFonts w:hint="default" w:ascii="Times New Roman Regular" w:hAnsi="Times New Roman Regular" w:cs="Times New Roman Regular"/>
          <w:sz w:val="24"/>
          <w:szCs w:val="24"/>
          <w:lang w:val="en-US" w:eastAsia="zh-CN"/>
        </w:rPr>
        <w:t>遗嘱人死亡时监护人的确定：①配偶健在且有监护能力：配偶为监护人；②配偶已死亡或无监护能力：如果被指定人同意则被指定人担任监护人；如果被指定人不同意则按法定监护确定监护人。</w:t>
      </w:r>
    </w:p>
    <w:p w14:paraId="63BCEF9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（五）成年人意定监护</w:t>
      </w:r>
    </w:p>
    <w:p w14:paraId="69D49C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具有完全民事行为能力的成年人，可以与其近亲属、其他愿意担任监护人的个人或者组织事先协商，以书面形式确定自己的监护人，在自己丧失或者部分丧失民事行为能力时，由该监护人履行监护职责。</w:t>
      </w:r>
      <w:r>
        <w:rPr>
          <w:rFonts w:hint="eastAsia" w:ascii="Times New Roman Regular" w:hAnsi="Times New Roman Regular" w:cs="Times New Roman Regular"/>
          <w:sz w:val="24"/>
          <w:szCs w:val="24"/>
          <w:lang w:val="en-US" w:eastAsia="zh-CN"/>
        </w:rPr>
        <w:t>对于意定监护协议，</w:t>
      </w:r>
      <w:r>
        <w:rPr>
          <w:rFonts w:hint="default" w:ascii="Times New Roman Regular" w:hAnsi="Times New Roman Regular" w:cs="Times New Roman Regular"/>
          <w:sz w:val="24"/>
          <w:szCs w:val="24"/>
          <w:lang w:val="en-US" w:eastAsia="zh-CN"/>
        </w:rPr>
        <w:t>在未来的被监护人丧失或部分丧失民事行为能力之前，双方都享有任意解除权。</w:t>
      </w:r>
    </w:p>
    <w:p w14:paraId="210B5D8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（六）</w:t>
      </w:r>
      <w:r>
        <w:rPr>
          <w:rFonts w:hint="default" w:ascii="Times New Roman Regular" w:hAnsi="Times New Roman Regular" w:cs="Times New Roman Regular"/>
          <w:sz w:val="24"/>
          <w:szCs w:val="24"/>
          <w:lang w:val="en-US" w:eastAsia="zh-CN"/>
        </w:rPr>
        <w:t>委托监护</w:t>
      </w:r>
    </w:p>
    <w:p w14:paraId="1CBB3C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在委托监护的情形下，受托人并非监护人，仍以委托人为监护人，即委托监护不改变原有的监护关系</w:t>
      </w:r>
    </w:p>
    <w:p w14:paraId="31AE0F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w:t>
      </w:r>
      <w:r>
        <w:rPr>
          <w:rFonts w:hint="eastAsia" w:ascii="Times New Roman Regular" w:hAnsi="Times New Roman Regular" w:cs="Times New Roman Regular"/>
          <w:sz w:val="24"/>
          <w:szCs w:val="24"/>
          <w:lang w:val="en-US" w:eastAsia="zh-CN"/>
        </w:rPr>
        <w:t>七</w:t>
      </w:r>
      <w:r>
        <w:rPr>
          <w:rFonts w:hint="default" w:ascii="Times New Roman Regular" w:hAnsi="Times New Roman Regular" w:cs="Times New Roman Regular"/>
          <w:sz w:val="24"/>
          <w:szCs w:val="24"/>
          <w:lang w:val="en-US" w:eastAsia="zh-CN"/>
        </w:rPr>
        <w:t>）监护人的职责</w:t>
      </w:r>
    </w:p>
    <w:p w14:paraId="6577A49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1.关键理解：“监护”拆解开来就是“监督”和“保护”，因此监护人的职责就是监督被监护人，并对被监护人的合法权益进行保护。</w:t>
      </w:r>
    </w:p>
    <w:p w14:paraId="7E515C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2.监护人履行监护职责应奉行两个原则：（1）最有利于被监护人原则；（2）尊重被监护人真实意愿原则。</w:t>
      </w:r>
    </w:p>
    <w:p w14:paraId="6E18217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3.财产处分：监护人除为维护被监护人利益外，不得处分被监护人的财产（监护人如果不是为了维护被监护人的利益，而处分被监护人的财产，则构成无权处分）。</w:t>
      </w:r>
    </w:p>
    <w:p w14:paraId="533285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特殊规则：夫妻双方用夫妻共同财产购买房屋并登记在未成年子女名下后，又处分该房屋的，不得以不符合被监护人利益为由主张该民事法律行为无效（《民法典婚姻家庭编解释二》第15条）</w:t>
      </w:r>
    </w:p>
    <w:p w14:paraId="79A469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4.侵权责任：监护人不履行监护职责或者侵害被监护人合法权益的，应当承担侵权损害赔偿责任</w:t>
      </w:r>
    </w:p>
    <w:p w14:paraId="1B33863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w:t>
      </w:r>
      <w:r>
        <w:rPr>
          <w:rFonts w:hint="eastAsia" w:ascii="Times New Roman Regular" w:hAnsi="Times New Roman Regular" w:cs="Times New Roman Regular"/>
          <w:sz w:val="24"/>
          <w:szCs w:val="24"/>
          <w:lang w:val="en-US" w:eastAsia="zh-CN"/>
        </w:rPr>
        <w:t>八</w:t>
      </w:r>
      <w:r>
        <w:rPr>
          <w:rFonts w:hint="default" w:ascii="Times New Roman Regular" w:hAnsi="Times New Roman Regular" w:cs="Times New Roman Regular"/>
          <w:sz w:val="24"/>
          <w:szCs w:val="24"/>
          <w:lang w:val="en-US" w:eastAsia="zh-CN"/>
        </w:rPr>
        <w:t>）监护资格的撤销与恢复</w:t>
      </w:r>
    </w:p>
    <w:p w14:paraId="0A41B2E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1.撤销事由：（1）监护人实施严重损害被监护人身心健康的行为（如虐待被监护人）；（2）监护人怠于履行监护职责，或者无法履行监护职责且拒绝将监护职责部分或者全部委托给他人，导致被监护人处于危困状态（如遗弃被监护人）；（3）监护人实施严重侵害被监护人合法权益的其他行为（重点是前两种）</w:t>
      </w:r>
    </w:p>
    <w:p w14:paraId="3744B87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2.有权申请撤销的主体：非常广泛，沾边即可</w:t>
      </w:r>
    </w:p>
    <w:p w14:paraId="73F58D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3.有权撤销的机关：只有人民法院有权撤销监护人的监护资格</w:t>
      </w:r>
    </w:p>
    <w:p w14:paraId="5596F9F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4.撤销监护资格的法律效果：监护人需要被更换，原监护人如果有扶养义务的，该义务不受影响</w:t>
      </w:r>
    </w:p>
    <w:p w14:paraId="5679166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r>
        <w:rPr>
          <w:rFonts w:hint="default" w:ascii="Times New Roman Regular" w:hAnsi="Times New Roman Regular" w:cs="Times New Roman Regular"/>
          <w:sz w:val="24"/>
          <w:szCs w:val="24"/>
          <w:lang w:val="en-US" w:eastAsia="zh-CN"/>
        </w:rPr>
        <w:t>5.监护资格的恢复条件：（1）被撤销监护资格的人是被监护人的父母或子女，；（2）被撤销监护资格之人有悔改表现；（3）被撤销监护资格之人未对被监护人实施故意犯罪。</w:t>
      </w:r>
    </w:p>
    <w:p w14:paraId="751EC2E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书宋一简">
    <w:altName w:val="华文宋体"/>
    <w:panose1 w:val="02010609000101010101"/>
    <w:charset w:val="86"/>
    <w:family w:val="modern"/>
    <w:pitch w:val="default"/>
    <w:sig w:usb0="00000000" w:usb1="00000000" w:usb2="00000012" w:usb3="00000000" w:csb0="00040000" w:csb1="0000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177DA370"/>
    <w:rsid w:val="1FFDE82A"/>
    <w:rsid w:val="2BFB8AFA"/>
    <w:rsid w:val="37F9300F"/>
    <w:rsid w:val="3DDD8785"/>
    <w:rsid w:val="3EFFCDE3"/>
    <w:rsid w:val="5FDFC522"/>
    <w:rsid w:val="78FF9F1C"/>
    <w:rsid w:val="7DFD2C7B"/>
    <w:rsid w:val="8ABEE47C"/>
    <w:rsid w:val="BC5FB23C"/>
    <w:rsid w:val="BFD7C2A8"/>
    <w:rsid w:val="CBDA46FA"/>
    <w:rsid w:val="CFBDAEF9"/>
    <w:rsid w:val="E6EA57CB"/>
    <w:rsid w:val="EC2D9E1A"/>
    <w:rsid w:val="EFE712E6"/>
    <w:rsid w:val="F6DFFC0C"/>
    <w:rsid w:val="FF7BF13D"/>
    <w:rsid w:val="FFFBE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2026-01-28T16:22:00Z</dcterms:created>
  <dc:creator>Arthur (Xiao) Dong</dc:creator>
  <cp:lastModifiedBy>Arthur (Xiao）Dong</cp:lastModifiedBy>
  <dcterms:modified xsi:type="dcterms:W3CDTF">2026-03-06T23:08:09Z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