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4B8488C">
      <w:pPr>
        <w:pStyle w:val="3"/>
        <w:rPr>
          <w:rFonts w:hint="eastAsia"/>
        </w:rPr>
      </w:pPr>
      <w:r>
        <w:rPr>
          <w:rFonts w:hint="eastAsia"/>
        </w:rPr>
        <w:t>五、劳动基准</w:t>
      </w:r>
    </w:p>
    <w:p w14:paraId="5CAB3438">
      <w:pPr>
        <w:ind w:firstLine="480"/>
        <w:rPr>
          <w:rFonts w:hint="eastAsia" w:ascii="汉仪书宋二简"/>
          <w:b/>
          <w:sz w:val="24"/>
          <w:szCs w:val="24"/>
        </w:rPr>
      </w:pPr>
    </w:p>
    <w:tbl>
      <w:tblPr>
        <w:tblStyle w:val="7"/>
        <w:tblW w:w="5067" w:type="pct"/>
        <w:jc w:val="center"/>
        <w:tblBorders>
          <w:top w:val="single" w:color="FF0000" w:sz="8" w:space="0"/>
          <w:left w:val="single" w:color="FF0000" w:sz="8" w:space="0"/>
          <w:bottom w:val="single" w:color="FF0000" w:sz="8" w:space="0"/>
          <w:right w:val="single" w:color="FF0000" w:sz="8" w:space="0"/>
          <w:insideH w:val="single" w:color="FF0000" w:sz="8" w:space="0"/>
          <w:insideV w:val="single" w:color="FF0000" w:sz="8" w:space="0"/>
        </w:tblBorders>
        <w:tblLayout w:type="autofit"/>
        <w:tblCellMar>
          <w:top w:w="0" w:type="dxa"/>
          <w:left w:w="108" w:type="dxa"/>
          <w:bottom w:w="0" w:type="dxa"/>
          <w:right w:w="108" w:type="dxa"/>
        </w:tblCellMar>
      </w:tblPr>
      <w:tblGrid>
        <w:gridCol w:w="416"/>
        <w:gridCol w:w="8220"/>
      </w:tblGrid>
      <w:tr w14:paraId="19873E43">
        <w:tblPrEx>
          <w:tblBorders>
            <w:top w:val="single" w:color="FF0000" w:sz="8" w:space="0"/>
            <w:left w:val="single" w:color="FF0000" w:sz="8" w:space="0"/>
            <w:bottom w:val="single" w:color="FF0000" w:sz="8" w:space="0"/>
            <w:right w:val="single" w:color="FF0000" w:sz="8" w:space="0"/>
            <w:insideH w:val="single" w:color="FF0000" w:sz="8" w:space="0"/>
            <w:insideV w:val="single" w:color="FF0000" w:sz="8" w:space="0"/>
          </w:tblBorders>
          <w:tblCellMar>
            <w:top w:w="0" w:type="dxa"/>
            <w:left w:w="108" w:type="dxa"/>
            <w:bottom w:w="0" w:type="dxa"/>
            <w:right w:w="108" w:type="dxa"/>
          </w:tblCellMar>
        </w:tblPrEx>
        <w:trPr>
          <w:trHeight w:val="20" w:hRule="atLeast"/>
          <w:jc w:val="center"/>
        </w:trPr>
        <w:tc>
          <w:tcPr>
            <w:tcW w:w="240" w:type="pct"/>
            <w:vMerge w:val="restart"/>
            <w:shd w:val="clear" w:color="auto" w:fill="auto"/>
            <w:vAlign w:val="center"/>
          </w:tcPr>
          <w:p w14:paraId="4CC3DEA7">
            <w:pPr>
              <w:spacing w:before="31" w:beforeLines="10" w:after="31" w:afterLines="10" w:line="280" w:lineRule="exact"/>
              <w:ind w:firstLine="0" w:firstLineChars="0"/>
              <w:jc w:val="center"/>
              <w:rPr>
                <w:rFonts w:hint="eastAsia" w:ascii="汉仪中黑简" w:eastAsia="汉仪中黑简"/>
                <w:bCs/>
                <w:kern w:val="0"/>
                <w:sz w:val="20"/>
              </w:rPr>
            </w:pPr>
            <w:r>
              <w:rPr>
                <w:rFonts w:hint="eastAsia" w:ascii="汉仪中黑简" w:eastAsia="汉仪中黑简"/>
                <w:bCs/>
                <w:kern w:val="0"/>
                <w:sz w:val="20"/>
              </w:rPr>
              <w:t>工作时间</w:t>
            </w:r>
          </w:p>
        </w:tc>
        <w:tc>
          <w:tcPr>
            <w:tcW w:w="4759" w:type="pct"/>
            <w:shd w:val="clear" w:color="auto" w:fill="auto"/>
            <w:vAlign w:val="center"/>
          </w:tcPr>
          <w:p w14:paraId="11418490">
            <w:pPr>
              <w:spacing w:before="31" w:beforeLines="10" w:after="31" w:afterLines="10" w:line="280" w:lineRule="exact"/>
              <w:ind w:firstLine="0" w:firstLineChars="0"/>
              <w:rPr>
                <w:rFonts w:hint="eastAsia" w:ascii="汉仪书宋一简" w:eastAsia="汉仪书宋一简"/>
                <w:kern w:val="0"/>
                <w:sz w:val="20"/>
              </w:rPr>
            </w:pPr>
            <w:r>
              <w:rPr>
                <w:rFonts w:hint="eastAsia" w:ascii="汉仪书宋一简" w:eastAsia="汉仪书宋一简"/>
                <w:kern w:val="0"/>
                <w:sz w:val="20"/>
              </w:rPr>
              <w:t>标准工时：8×5=40小时</w:t>
            </w:r>
          </w:p>
        </w:tc>
      </w:tr>
      <w:tr w14:paraId="28DB8D63">
        <w:tblPrEx>
          <w:tblBorders>
            <w:top w:val="single" w:color="FF0000" w:sz="8" w:space="0"/>
            <w:left w:val="single" w:color="FF0000" w:sz="8" w:space="0"/>
            <w:bottom w:val="single" w:color="FF0000" w:sz="8" w:space="0"/>
            <w:right w:val="single" w:color="FF0000" w:sz="8" w:space="0"/>
            <w:insideH w:val="single" w:color="FF0000" w:sz="8" w:space="0"/>
            <w:insideV w:val="single" w:color="FF0000" w:sz="8" w:space="0"/>
          </w:tblBorders>
          <w:tblCellMar>
            <w:top w:w="0" w:type="dxa"/>
            <w:left w:w="108" w:type="dxa"/>
            <w:bottom w:w="0" w:type="dxa"/>
            <w:right w:w="108" w:type="dxa"/>
          </w:tblCellMar>
        </w:tblPrEx>
        <w:trPr>
          <w:trHeight w:val="20" w:hRule="atLeast"/>
          <w:jc w:val="center"/>
        </w:trPr>
        <w:tc>
          <w:tcPr>
            <w:tcW w:w="240" w:type="pct"/>
            <w:vMerge w:val="continue"/>
            <w:shd w:val="clear" w:color="auto" w:fill="auto"/>
            <w:vAlign w:val="center"/>
          </w:tcPr>
          <w:p w14:paraId="746C61C9">
            <w:pPr>
              <w:spacing w:before="31" w:beforeLines="10" w:after="31" w:afterLines="10" w:line="280" w:lineRule="exact"/>
              <w:ind w:firstLine="0" w:firstLineChars="0"/>
              <w:jc w:val="center"/>
              <w:rPr>
                <w:rFonts w:hint="eastAsia" w:ascii="汉仪中黑简" w:eastAsia="汉仪中黑简"/>
                <w:bCs/>
                <w:kern w:val="0"/>
                <w:sz w:val="20"/>
              </w:rPr>
            </w:pPr>
          </w:p>
        </w:tc>
        <w:tc>
          <w:tcPr>
            <w:tcW w:w="4759" w:type="pct"/>
            <w:shd w:val="clear" w:color="auto" w:fill="auto"/>
            <w:vAlign w:val="center"/>
          </w:tcPr>
          <w:p w14:paraId="7CF046DD">
            <w:pPr>
              <w:spacing w:before="31" w:beforeLines="10" w:after="31" w:afterLines="10" w:line="280" w:lineRule="exact"/>
              <w:ind w:firstLine="0" w:firstLineChars="0"/>
              <w:rPr>
                <w:rFonts w:hint="eastAsia" w:ascii="汉仪书宋一简" w:eastAsia="汉仪书宋一简"/>
                <w:kern w:val="0"/>
                <w:sz w:val="20"/>
              </w:rPr>
            </w:pPr>
            <w:r>
              <w:rPr>
                <w:rFonts w:hint="eastAsia" w:ascii="汉仪书宋一简" w:eastAsia="汉仪书宋一简"/>
                <w:kern w:val="0"/>
                <w:sz w:val="20"/>
              </w:rPr>
              <w:t>缩短工时：每日少于8小时，</w:t>
            </w:r>
            <w:r>
              <w:rPr>
                <w:rFonts w:hint="eastAsia" w:ascii="汉仪书宋一简" w:eastAsia="汉仪书宋一简"/>
                <w:color w:val="0000FF"/>
                <w:kern w:val="0"/>
                <w:sz w:val="20"/>
              </w:rPr>
              <w:t>主要用于特殊作业、夜班作业和哺乳期的女职工</w:t>
            </w:r>
          </w:p>
        </w:tc>
      </w:tr>
      <w:tr w14:paraId="6519CE5D">
        <w:tblPrEx>
          <w:tblBorders>
            <w:top w:val="single" w:color="FF0000" w:sz="8" w:space="0"/>
            <w:left w:val="single" w:color="FF0000" w:sz="8" w:space="0"/>
            <w:bottom w:val="single" w:color="FF0000" w:sz="8" w:space="0"/>
            <w:right w:val="single" w:color="FF0000" w:sz="8" w:space="0"/>
            <w:insideH w:val="single" w:color="FF0000" w:sz="8" w:space="0"/>
            <w:insideV w:val="single" w:color="FF0000" w:sz="8" w:space="0"/>
          </w:tblBorders>
          <w:tblCellMar>
            <w:top w:w="0" w:type="dxa"/>
            <w:left w:w="108" w:type="dxa"/>
            <w:bottom w:w="0" w:type="dxa"/>
            <w:right w:w="108" w:type="dxa"/>
          </w:tblCellMar>
        </w:tblPrEx>
        <w:trPr>
          <w:trHeight w:val="20" w:hRule="atLeast"/>
          <w:jc w:val="center"/>
        </w:trPr>
        <w:tc>
          <w:tcPr>
            <w:tcW w:w="240" w:type="pct"/>
            <w:vMerge w:val="continue"/>
            <w:shd w:val="clear" w:color="auto" w:fill="auto"/>
            <w:vAlign w:val="center"/>
          </w:tcPr>
          <w:p w14:paraId="09CBE79C">
            <w:pPr>
              <w:spacing w:before="31" w:beforeLines="10" w:after="31" w:afterLines="10" w:line="280" w:lineRule="exact"/>
              <w:ind w:firstLine="0" w:firstLineChars="0"/>
              <w:jc w:val="center"/>
              <w:rPr>
                <w:rFonts w:hint="eastAsia" w:ascii="汉仪中黑简" w:eastAsia="汉仪中黑简"/>
                <w:bCs/>
                <w:kern w:val="0"/>
                <w:sz w:val="20"/>
              </w:rPr>
            </w:pPr>
          </w:p>
        </w:tc>
        <w:tc>
          <w:tcPr>
            <w:tcW w:w="4759" w:type="pct"/>
            <w:shd w:val="clear" w:color="auto" w:fill="auto"/>
            <w:vAlign w:val="center"/>
          </w:tcPr>
          <w:p w14:paraId="6E80FA93">
            <w:pPr>
              <w:spacing w:before="31" w:beforeLines="10" w:after="31" w:afterLines="10" w:line="280" w:lineRule="exact"/>
              <w:ind w:firstLine="0" w:firstLineChars="0"/>
              <w:rPr>
                <w:rFonts w:hint="eastAsia" w:ascii="汉仪书宋一简" w:eastAsia="汉仪书宋一简"/>
                <w:kern w:val="0"/>
                <w:sz w:val="20"/>
              </w:rPr>
            </w:pPr>
            <w:r>
              <w:rPr>
                <w:rFonts w:hint="eastAsia" w:ascii="汉仪书宋一简" w:eastAsia="汉仪书宋一简"/>
                <w:kern w:val="0"/>
                <w:sz w:val="20"/>
              </w:rPr>
              <w:t>不定时工作制和综合计算工时制：应根据规定，与工会和劳动者协商，履行审批手续</w:t>
            </w:r>
          </w:p>
        </w:tc>
      </w:tr>
      <w:tr w14:paraId="1FFFFF1B">
        <w:tblPrEx>
          <w:tblBorders>
            <w:top w:val="single" w:color="FF0000" w:sz="8" w:space="0"/>
            <w:left w:val="single" w:color="FF0000" w:sz="8" w:space="0"/>
            <w:bottom w:val="single" w:color="FF0000" w:sz="8" w:space="0"/>
            <w:right w:val="single" w:color="FF0000" w:sz="8" w:space="0"/>
            <w:insideH w:val="single" w:color="FF0000" w:sz="8" w:space="0"/>
            <w:insideV w:val="single" w:color="FF0000" w:sz="8" w:space="0"/>
          </w:tblBorders>
          <w:tblCellMar>
            <w:top w:w="0" w:type="dxa"/>
            <w:left w:w="108" w:type="dxa"/>
            <w:bottom w:w="0" w:type="dxa"/>
            <w:right w:w="108" w:type="dxa"/>
          </w:tblCellMar>
        </w:tblPrEx>
        <w:trPr>
          <w:trHeight w:val="20" w:hRule="atLeast"/>
          <w:jc w:val="center"/>
        </w:trPr>
        <w:tc>
          <w:tcPr>
            <w:tcW w:w="240" w:type="pct"/>
            <w:vMerge w:val="continue"/>
            <w:shd w:val="clear" w:color="auto" w:fill="auto"/>
            <w:vAlign w:val="center"/>
          </w:tcPr>
          <w:p w14:paraId="2A0EB475">
            <w:pPr>
              <w:spacing w:before="31" w:beforeLines="10" w:after="31" w:afterLines="10" w:line="280" w:lineRule="exact"/>
              <w:ind w:firstLine="0" w:firstLineChars="0"/>
              <w:jc w:val="center"/>
              <w:rPr>
                <w:rFonts w:hint="eastAsia" w:ascii="汉仪中黑简" w:eastAsia="汉仪中黑简"/>
                <w:bCs/>
                <w:kern w:val="0"/>
                <w:sz w:val="20"/>
              </w:rPr>
            </w:pPr>
          </w:p>
        </w:tc>
        <w:tc>
          <w:tcPr>
            <w:tcW w:w="4759" w:type="pct"/>
            <w:shd w:val="clear" w:color="auto" w:fill="auto"/>
            <w:vAlign w:val="center"/>
          </w:tcPr>
          <w:p w14:paraId="112DAAD9">
            <w:pPr>
              <w:spacing w:before="31" w:beforeLines="10" w:after="31" w:afterLines="10" w:line="280" w:lineRule="exact"/>
              <w:ind w:firstLine="0" w:firstLineChars="0"/>
              <w:rPr>
                <w:rFonts w:hint="eastAsia" w:ascii="汉仪书宋一简" w:eastAsia="汉仪书宋一简"/>
                <w:kern w:val="0"/>
                <w:sz w:val="20"/>
              </w:rPr>
            </w:pPr>
            <w:r>
              <w:rPr>
                <w:rFonts w:hint="eastAsia" w:ascii="汉仪书宋一简" w:eastAsia="汉仪书宋一简"/>
                <w:kern w:val="0"/>
                <w:sz w:val="20"/>
              </w:rPr>
              <w:t>不能实行标准工时制的，用人单位应当保证劳动者每周至少休息1日</w:t>
            </w:r>
          </w:p>
        </w:tc>
      </w:tr>
      <w:tr w14:paraId="47EBE41F">
        <w:tblPrEx>
          <w:tblBorders>
            <w:top w:val="single" w:color="FF0000" w:sz="8" w:space="0"/>
            <w:left w:val="single" w:color="FF0000" w:sz="8" w:space="0"/>
            <w:bottom w:val="single" w:color="FF0000" w:sz="8" w:space="0"/>
            <w:right w:val="single" w:color="FF0000" w:sz="8" w:space="0"/>
            <w:insideH w:val="single" w:color="FF0000" w:sz="8" w:space="0"/>
            <w:insideV w:val="single" w:color="FF0000" w:sz="8" w:space="0"/>
          </w:tblBorders>
          <w:tblCellMar>
            <w:top w:w="0" w:type="dxa"/>
            <w:left w:w="108" w:type="dxa"/>
            <w:bottom w:w="0" w:type="dxa"/>
            <w:right w:w="108" w:type="dxa"/>
          </w:tblCellMar>
        </w:tblPrEx>
        <w:trPr>
          <w:trHeight w:val="20" w:hRule="atLeast"/>
          <w:jc w:val="center"/>
        </w:trPr>
        <w:tc>
          <w:tcPr>
            <w:tcW w:w="240" w:type="pct"/>
            <w:vMerge w:val="restart"/>
            <w:shd w:val="clear" w:color="auto" w:fill="auto"/>
            <w:vAlign w:val="center"/>
          </w:tcPr>
          <w:p w14:paraId="3AEA7218">
            <w:pPr>
              <w:spacing w:before="31" w:beforeLines="10" w:after="31" w:afterLines="10" w:line="280" w:lineRule="exact"/>
              <w:ind w:firstLine="0" w:firstLineChars="0"/>
              <w:jc w:val="center"/>
              <w:rPr>
                <w:rFonts w:hint="eastAsia" w:ascii="汉仪中黑简" w:eastAsia="汉仪中黑简"/>
                <w:bCs/>
                <w:kern w:val="0"/>
                <w:sz w:val="20"/>
              </w:rPr>
            </w:pPr>
            <w:r>
              <w:rPr>
                <w:rFonts w:hint="eastAsia" w:ascii="汉仪中黑简" w:eastAsia="汉仪中黑简"/>
                <w:bCs/>
                <w:kern w:val="0"/>
                <w:sz w:val="20"/>
              </w:rPr>
              <w:t>加班加点</w:t>
            </w:r>
          </w:p>
        </w:tc>
        <w:tc>
          <w:tcPr>
            <w:tcW w:w="4759" w:type="pct"/>
            <w:shd w:val="clear" w:color="auto" w:fill="auto"/>
            <w:vAlign w:val="center"/>
          </w:tcPr>
          <w:p w14:paraId="4F27E0E7">
            <w:pPr>
              <w:spacing w:before="31" w:beforeLines="10" w:after="31" w:afterLines="10" w:line="280" w:lineRule="exact"/>
              <w:ind w:firstLine="0" w:firstLineChars="0"/>
              <w:rPr>
                <w:rFonts w:hint="eastAsia" w:ascii="汉仪书宋一简" w:eastAsia="汉仪书宋一简"/>
                <w:kern w:val="0"/>
                <w:sz w:val="20"/>
                <w:lang w:eastAsia="zh-CN"/>
              </w:rPr>
            </w:pPr>
            <w:r>
              <w:rPr>
                <w:rFonts w:hint="eastAsia" w:ascii="汉仪书宋一简" w:eastAsia="汉仪书宋一简"/>
                <w:kern w:val="0"/>
                <w:sz w:val="20"/>
              </w:rPr>
              <w:t>加点时间限制：用人单位由于生产经营需要，经与工会和劳动者协商后可以延长工作时间，一般每日不得超过1小时；因特殊原因需要延长工作时间的，每日不得超过3小时，但是每月不得超过36小时。有下列情形之一的，延长工作时间不受限制：（1）发生自然灾害、事故或者因其他原因，威胁劳动者生命健康和财产安全，需要紧急处理的；（2）生产设备、交通运输线路、公共设施发生故障，影响生产和公众利益，必须及时抢修的；（3）法律、行政法规规定的其他情形</w:t>
            </w:r>
            <w:r>
              <w:rPr>
                <w:rFonts w:hint="eastAsia" w:ascii="汉仪书宋一简" w:eastAsia="汉仪书宋一简"/>
                <w:kern w:val="0"/>
                <w:sz w:val="20"/>
                <w:lang w:eastAsia="zh-CN"/>
              </w:rPr>
              <w:t>（</w:t>
            </w:r>
            <w:r>
              <w:rPr>
                <w:rFonts w:hint="eastAsia" w:ascii="汉仪书宋一简" w:eastAsia="汉仪书宋一简"/>
                <w:color w:val="0000FF"/>
                <w:kern w:val="0"/>
                <w:sz w:val="20"/>
                <w:lang w:val="en-US" w:eastAsia="zh-CN"/>
              </w:rPr>
              <w:t>加班总时长有限制</w:t>
            </w:r>
            <w:r>
              <w:rPr>
                <w:rFonts w:hint="eastAsia" w:ascii="汉仪书宋一简" w:eastAsia="汉仪书宋一简"/>
                <w:kern w:val="0"/>
                <w:sz w:val="20"/>
                <w:lang w:eastAsia="zh-CN"/>
              </w:rPr>
              <w:t>）</w:t>
            </w:r>
          </w:p>
        </w:tc>
      </w:tr>
      <w:tr w14:paraId="0B6DB3D9">
        <w:tblPrEx>
          <w:tblBorders>
            <w:top w:val="single" w:color="FF0000" w:sz="8" w:space="0"/>
            <w:left w:val="single" w:color="FF0000" w:sz="8" w:space="0"/>
            <w:bottom w:val="single" w:color="FF0000" w:sz="8" w:space="0"/>
            <w:right w:val="single" w:color="FF0000" w:sz="8" w:space="0"/>
            <w:insideH w:val="single" w:color="FF0000" w:sz="8" w:space="0"/>
            <w:insideV w:val="single" w:color="FF0000" w:sz="8" w:space="0"/>
          </w:tblBorders>
          <w:tblCellMar>
            <w:top w:w="0" w:type="dxa"/>
            <w:left w:w="108" w:type="dxa"/>
            <w:bottom w:w="0" w:type="dxa"/>
            <w:right w:w="108" w:type="dxa"/>
          </w:tblCellMar>
        </w:tblPrEx>
        <w:trPr>
          <w:trHeight w:val="20" w:hRule="atLeast"/>
          <w:jc w:val="center"/>
        </w:trPr>
        <w:tc>
          <w:tcPr>
            <w:tcW w:w="240" w:type="pct"/>
            <w:vMerge w:val="continue"/>
            <w:shd w:val="clear" w:color="auto" w:fill="auto"/>
            <w:vAlign w:val="center"/>
          </w:tcPr>
          <w:p w14:paraId="3F9B49CF">
            <w:pPr>
              <w:spacing w:before="31" w:beforeLines="10" w:after="31" w:afterLines="10" w:line="280" w:lineRule="exact"/>
              <w:ind w:firstLine="0" w:firstLineChars="0"/>
              <w:jc w:val="center"/>
              <w:rPr>
                <w:rFonts w:hint="eastAsia" w:ascii="汉仪中黑简" w:eastAsia="汉仪中黑简"/>
                <w:bCs/>
                <w:kern w:val="0"/>
                <w:sz w:val="20"/>
              </w:rPr>
            </w:pPr>
          </w:p>
        </w:tc>
        <w:tc>
          <w:tcPr>
            <w:tcW w:w="4759" w:type="pct"/>
            <w:shd w:val="clear" w:color="auto" w:fill="auto"/>
            <w:vAlign w:val="center"/>
          </w:tcPr>
          <w:p w14:paraId="436B6E27">
            <w:pPr>
              <w:spacing w:before="31" w:beforeLines="10" w:after="31" w:afterLines="10" w:line="280" w:lineRule="exact"/>
              <w:ind w:firstLine="0" w:firstLineChars="0"/>
              <w:rPr>
                <w:rFonts w:hint="eastAsia" w:ascii="汉仪书宋一简" w:eastAsia="汉仪书宋一简"/>
                <w:kern w:val="0"/>
                <w:sz w:val="20"/>
              </w:rPr>
            </w:pPr>
            <w:r>
              <w:rPr>
                <w:rFonts w:hint="eastAsia" w:ascii="汉仪书宋一简" w:eastAsia="汉仪书宋一简"/>
                <w:kern w:val="0"/>
                <w:sz w:val="20"/>
              </w:rPr>
              <w:t>加班加点工资标准：（1）安排劳动者延长工作时间的，支付不低于工资的150%的工资报酬；（2）休息日安排劳动者工作又不能安排补休的，支付不低于工资的200%的工资报酬；（3）法定休假日安排劳动者工作的，支付不低于工资的300%的工资报酬</w:t>
            </w:r>
          </w:p>
        </w:tc>
      </w:tr>
      <w:tr w14:paraId="555293AD">
        <w:tblPrEx>
          <w:tblBorders>
            <w:top w:val="single" w:color="FF0000" w:sz="8" w:space="0"/>
            <w:left w:val="single" w:color="FF0000" w:sz="8" w:space="0"/>
            <w:bottom w:val="single" w:color="FF0000" w:sz="8" w:space="0"/>
            <w:right w:val="single" w:color="FF0000" w:sz="8" w:space="0"/>
            <w:insideH w:val="single" w:color="FF0000" w:sz="8" w:space="0"/>
            <w:insideV w:val="single" w:color="FF0000" w:sz="8" w:space="0"/>
          </w:tblBorders>
          <w:tblCellMar>
            <w:top w:w="0" w:type="dxa"/>
            <w:left w:w="108" w:type="dxa"/>
            <w:bottom w:w="0" w:type="dxa"/>
            <w:right w:w="108" w:type="dxa"/>
          </w:tblCellMar>
        </w:tblPrEx>
        <w:trPr>
          <w:trHeight w:val="20" w:hRule="atLeast"/>
          <w:jc w:val="center"/>
        </w:trPr>
        <w:tc>
          <w:tcPr>
            <w:tcW w:w="240" w:type="pct"/>
            <w:vMerge w:val="continue"/>
            <w:shd w:val="clear" w:color="auto" w:fill="auto"/>
            <w:vAlign w:val="center"/>
          </w:tcPr>
          <w:p w14:paraId="0A9951F8">
            <w:pPr>
              <w:spacing w:before="31" w:beforeLines="10" w:after="31" w:afterLines="10" w:line="280" w:lineRule="exact"/>
              <w:ind w:firstLine="0" w:firstLineChars="0"/>
              <w:jc w:val="center"/>
              <w:rPr>
                <w:rFonts w:hint="eastAsia" w:ascii="汉仪中黑简" w:eastAsia="汉仪中黑简"/>
                <w:bCs/>
                <w:kern w:val="0"/>
                <w:sz w:val="20"/>
              </w:rPr>
            </w:pPr>
          </w:p>
        </w:tc>
        <w:tc>
          <w:tcPr>
            <w:tcW w:w="4759" w:type="pct"/>
            <w:shd w:val="clear" w:color="auto" w:fill="auto"/>
            <w:vAlign w:val="center"/>
          </w:tcPr>
          <w:p w14:paraId="36EA4B2B">
            <w:pPr>
              <w:spacing w:before="31" w:beforeLines="10" w:after="31" w:afterLines="10" w:line="280" w:lineRule="exact"/>
              <w:ind w:firstLine="0" w:firstLineChars="0"/>
              <w:rPr>
                <w:rFonts w:hint="eastAsia" w:ascii="汉仪书宋一简" w:eastAsia="汉仪书宋一简"/>
                <w:kern w:val="0"/>
                <w:sz w:val="20"/>
              </w:rPr>
            </w:pPr>
            <w:r>
              <w:rPr>
                <w:rFonts w:hint="eastAsia" w:ascii="汉仪书宋一简" w:eastAsia="汉仪书宋一简"/>
                <w:kern w:val="0"/>
                <w:sz w:val="20"/>
              </w:rPr>
              <w:t>法律后果：未与工会或劳动者协商强迫劳动者加班的，或者每日延长工作时间超过3小时或每月超过36小时的，劳动部门责令改正，警告并可处以罚款</w:t>
            </w:r>
          </w:p>
        </w:tc>
      </w:tr>
      <w:tr w14:paraId="39E2A8D9">
        <w:tblPrEx>
          <w:tblBorders>
            <w:top w:val="single" w:color="FF0000" w:sz="8" w:space="0"/>
            <w:left w:val="single" w:color="FF0000" w:sz="8" w:space="0"/>
            <w:bottom w:val="single" w:color="FF0000" w:sz="8" w:space="0"/>
            <w:right w:val="single" w:color="FF0000" w:sz="8" w:space="0"/>
            <w:insideH w:val="single" w:color="FF0000" w:sz="8" w:space="0"/>
            <w:insideV w:val="single" w:color="FF0000" w:sz="8" w:space="0"/>
          </w:tblBorders>
          <w:tblCellMar>
            <w:top w:w="0" w:type="dxa"/>
            <w:left w:w="108" w:type="dxa"/>
            <w:bottom w:w="0" w:type="dxa"/>
            <w:right w:w="108" w:type="dxa"/>
          </w:tblCellMar>
        </w:tblPrEx>
        <w:trPr>
          <w:trHeight w:val="20" w:hRule="atLeast"/>
          <w:jc w:val="center"/>
        </w:trPr>
        <w:tc>
          <w:tcPr>
            <w:tcW w:w="240" w:type="pct"/>
            <w:vMerge w:val="restart"/>
            <w:shd w:val="clear" w:color="auto" w:fill="auto"/>
            <w:vAlign w:val="center"/>
          </w:tcPr>
          <w:p w14:paraId="5BF832A1">
            <w:pPr>
              <w:spacing w:before="31" w:beforeLines="10" w:after="31" w:afterLines="10" w:line="280" w:lineRule="exact"/>
              <w:ind w:firstLine="0" w:firstLineChars="0"/>
              <w:jc w:val="center"/>
              <w:rPr>
                <w:rFonts w:hint="eastAsia" w:ascii="汉仪中黑简" w:eastAsia="汉仪中黑简"/>
                <w:bCs/>
                <w:kern w:val="0"/>
                <w:sz w:val="20"/>
              </w:rPr>
            </w:pPr>
            <w:r>
              <w:rPr>
                <w:rFonts w:hint="eastAsia" w:ascii="汉仪中黑简" w:eastAsia="汉仪中黑简"/>
                <w:bCs/>
                <w:kern w:val="0"/>
                <w:sz w:val="20"/>
              </w:rPr>
              <w:t>工资制度</w:t>
            </w:r>
          </w:p>
        </w:tc>
        <w:tc>
          <w:tcPr>
            <w:tcW w:w="4759" w:type="pct"/>
            <w:shd w:val="clear" w:color="auto" w:fill="auto"/>
            <w:vAlign w:val="center"/>
          </w:tcPr>
          <w:p w14:paraId="5BBB4213">
            <w:pPr>
              <w:spacing w:before="31" w:beforeLines="10" w:after="31" w:afterLines="10" w:line="280" w:lineRule="exact"/>
              <w:ind w:firstLine="0" w:firstLineChars="0"/>
              <w:rPr>
                <w:rFonts w:hint="eastAsia" w:ascii="汉仪书宋一简" w:eastAsia="汉仪书宋一简"/>
                <w:kern w:val="0"/>
                <w:sz w:val="20"/>
              </w:rPr>
            </w:pPr>
            <w:r>
              <w:rPr>
                <w:rFonts w:hint="eastAsia" w:ascii="汉仪书宋一简" w:eastAsia="汉仪书宋一简"/>
                <w:kern w:val="0"/>
                <w:sz w:val="20"/>
              </w:rPr>
              <w:t>工资支付：</w:t>
            </w:r>
            <w:r>
              <w:rPr>
                <w:rFonts w:hint="eastAsia" w:ascii="汉仪书宋一简" w:eastAsia="汉仪书宋一简"/>
                <w:color w:val="0000FF"/>
                <w:kern w:val="0"/>
                <w:sz w:val="20"/>
              </w:rPr>
              <w:t>必须以货币支付</w:t>
            </w:r>
            <w:r>
              <w:rPr>
                <w:rFonts w:hint="eastAsia" w:ascii="汉仪书宋一简" w:eastAsia="汉仪书宋一简"/>
                <w:kern w:val="0"/>
                <w:sz w:val="20"/>
              </w:rPr>
              <w:t>；至少每月支付1次；劳动者依法享受年休假、探亲假、婚丧假以及依法参加社会活动期间，单位应按照劳动合同规定的标准支付工资</w:t>
            </w:r>
          </w:p>
        </w:tc>
      </w:tr>
      <w:tr w14:paraId="2BA8C0C5">
        <w:tblPrEx>
          <w:tblBorders>
            <w:top w:val="single" w:color="FF0000" w:sz="8" w:space="0"/>
            <w:left w:val="single" w:color="FF0000" w:sz="8" w:space="0"/>
            <w:bottom w:val="single" w:color="FF0000" w:sz="8" w:space="0"/>
            <w:right w:val="single" w:color="FF0000" w:sz="8" w:space="0"/>
            <w:insideH w:val="single" w:color="FF0000" w:sz="8" w:space="0"/>
            <w:insideV w:val="single" w:color="FF0000" w:sz="8" w:space="0"/>
          </w:tblBorders>
          <w:tblCellMar>
            <w:top w:w="0" w:type="dxa"/>
            <w:left w:w="108" w:type="dxa"/>
            <w:bottom w:w="0" w:type="dxa"/>
            <w:right w:w="108" w:type="dxa"/>
          </w:tblCellMar>
        </w:tblPrEx>
        <w:trPr>
          <w:trHeight w:val="20" w:hRule="atLeast"/>
          <w:jc w:val="center"/>
        </w:trPr>
        <w:tc>
          <w:tcPr>
            <w:tcW w:w="240" w:type="pct"/>
            <w:vMerge w:val="continue"/>
            <w:shd w:val="clear" w:color="auto" w:fill="auto"/>
            <w:vAlign w:val="center"/>
          </w:tcPr>
          <w:p w14:paraId="47744D6C">
            <w:pPr>
              <w:spacing w:before="31" w:beforeLines="10" w:after="31" w:afterLines="10" w:line="280" w:lineRule="exact"/>
              <w:ind w:firstLine="0" w:firstLineChars="0"/>
              <w:rPr>
                <w:rFonts w:hint="eastAsia" w:ascii="汉仪书宋一简" w:eastAsia="汉仪书宋一简"/>
                <w:b/>
                <w:kern w:val="0"/>
                <w:sz w:val="20"/>
              </w:rPr>
            </w:pPr>
          </w:p>
        </w:tc>
        <w:tc>
          <w:tcPr>
            <w:tcW w:w="4759" w:type="pct"/>
            <w:shd w:val="clear" w:color="auto" w:fill="auto"/>
            <w:vAlign w:val="center"/>
          </w:tcPr>
          <w:p w14:paraId="53CAF1BD">
            <w:pPr>
              <w:spacing w:before="31" w:beforeLines="10" w:after="31" w:afterLines="10" w:line="280" w:lineRule="exact"/>
              <w:ind w:firstLine="0" w:firstLineChars="0"/>
              <w:rPr>
                <w:rFonts w:hint="eastAsia" w:ascii="汉仪书宋一简" w:eastAsia="汉仪书宋一简"/>
                <w:kern w:val="0"/>
                <w:sz w:val="20"/>
              </w:rPr>
            </w:pPr>
            <w:r>
              <w:rPr>
                <w:rFonts w:hint="eastAsia" w:ascii="汉仪书宋一简" w:eastAsia="汉仪书宋一简"/>
                <w:kern w:val="0"/>
                <w:sz w:val="20"/>
              </w:rPr>
              <w:t>代扣工资：</w:t>
            </w:r>
            <w:r>
              <w:rPr>
                <w:rFonts w:hint="eastAsia" w:ascii="汉仪书宋一简" w:eastAsia="汉仪书宋一简"/>
                <w:color w:val="0000FF"/>
                <w:kern w:val="0"/>
                <w:sz w:val="20"/>
              </w:rPr>
              <w:t>代扣代缴个人所得税</w:t>
            </w:r>
            <w:r>
              <w:rPr>
                <w:rFonts w:hint="eastAsia" w:ascii="汉仪书宋一简" w:eastAsia="汉仪书宋一简"/>
                <w:kern w:val="0"/>
                <w:sz w:val="20"/>
              </w:rPr>
              <w:t>；代扣代缴应由劳动者负担的社会保险费；执行判决、裁定</w:t>
            </w:r>
          </w:p>
        </w:tc>
      </w:tr>
      <w:tr w14:paraId="25CF3EC5">
        <w:tblPrEx>
          <w:tblBorders>
            <w:top w:val="single" w:color="FF0000" w:sz="8" w:space="0"/>
            <w:left w:val="single" w:color="FF0000" w:sz="8" w:space="0"/>
            <w:bottom w:val="single" w:color="FF0000" w:sz="8" w:space="0"/>
            <w:right w:val="single" w:color="FF0000" w:sz="8" w:space="0"/>
            <w:insideH w:val="single" w:color="FF0000" w:sz="8" w:space="0"/>
            <w:insideV w:val="single" w:color="FF0000" w:sz="8" w:space="0"/>
          </w:tblBorders>
          <w:tblCellMar>
            <w:top w:w="0" w:type="dxa"/>
            <w:left w:w="108" w:type="dxa"/>
            <w:bottom w:w="0" w:type="dxa"/>
            <w:right w:w="108" w:type="dxa"/>
          </w:tblCellMar>
        </w:tblPrEx>
        <w:trPr>
          <w:trHeight w:val="20" w:hRule="atLeast"/>
          <w:jc w:val="center"/>
        </w:trPr>
        <w:tc>
          <w:tcPr>
            <w:tcW w:w="240" w:type="pct"/>
            <w:vMerge w:val="continue"/>
            <w:shd w:val="clear" w:color="auto" w:fill="auto"/>
            <w:vAlign w:val="center"/>
          </w:tcPr>
          <w:p w14:paraId="03F808A2">
            <w:pPr>
              <w:spacing w:before="31" w:beforeLines="10" w:after="31" w:afterLines="10" w:line="280" w:lineRule="exact"/>
              <w:ind w:firstLine="0" w:firstLineChars="0"/>
              <w:rPr>
                <w:rFonts w:hint="eastAsia" w:ascii="汉仪书宋一简" w:eastAsia="汉仪书宋一简"/>
                <w:b/>
                <w:kern w:val="0"/>
                <w:sz w:val="20"/>
              </w:rPr>
            </w:pPr>
          </w:p>
        </w:tc>
        <w:tc>
          <w:tcPr>
            <w:tcW w:w="4759" w:type="pct"/>
            <w:shd w:val="clear" w:color="auto" w:fill="auto"/>
            <w:vAlign w:val="center"/>
          </w:tcPr>
          <w:p w14:paraId="5D6FD1C4">
            <w:pPr>
              <w:spacing w:before="31" w:beforeLines="10" w:after="31" w:afterLines="10" w:line="280" w:lineRule="exact"/>
              <w:ind w:firstLine="0" w:firstLineChars="0"/>
              <w:rPr>
                <w:rFonts w:hint="eastAsia" w:ascii="汉仪书宋一简" w:eastAsia="汉仪书宋一简"/>
                <w:kern w:val="0"/>
                <w:sz w:val="20"/>
              </w:rPr>
            </w:pPr>
            <w:r>
              <w:rPr>
                <w:rFonts w:hint="eastAsia" w:ascii="汉仪书宋一简" w:eastAsia="汉仪书宋一简"/>
                <w:kern w:val="0"/>
                <w:sz w:val="20"/>
              </w:rPr>
              <w:t>扣除工资：（1）因劳动者本人原因给用人单位造成经济损失的，用人单位可以按照劳动合同的约定要求劳动者赔偿其经济损失。经济损失的赔偿，可从劳动者本人的工资中扣除、但</w:t>
            </w:r>
            <w:r>
              <w:rPr>
                <w:rFonts w:hint="eastAsia" w:ascii="汉仪书宋一简" w:eastAsia="汉仪书宋一简"/>
                <w:color w:val="0000FF"/>
                <w:kern w:val="0"/>
                <w:sz w:val="20"/>
              </w:rPr>
              <w:t>每月扣除金额不得超过劳动者月工资的20％，且扣除后不得低于最低工资标准</w:t>
            </w:r>
            <w:r>
              <w:rPr>
                <w:rFonts w:hint="eastAsia" w:ascii="汉仪书宋一简" w:eastAsia="汉仪书宋一简"/>
                <w:kern w:val="0"/>
                <w:sz w:val="20"/>
              </w:rPr>
              <w:t>；（2）用人单位对劳动者违纪罚款，一般不得超过本人月工资标准的20％</w:t>
            </w:r>
          </w:p>
        </w:tc>
      </w:tr>
      <w:tr w14:paraId="0861F4BB">
        <w:tblPrEx>
          <w:tblBorders>
            <w:top w:val="single" w:color="FF0000" w:sz="8" w:space="0"/>
            <w:left w:val="single" w:color="FF0000" w:sz="8" w:space="0"/>
            <w:bottom w:val="single" w:color="FF0000" w:sz="8" w:space="0"/>
            <w:right w:val="single" w:color="FF0000" w:sz="8" w:space="0"/>
            <w:insideH w:val="single" w:color="FF0000" w:sz="8" w:space="0"/>
            <w:insideV w:val="single" w:color="FF0000" w:sz="8" w:space="0"/>
          </w:tblBorders>
          <w:tblCellMar>
            <w:top w:w="0" w:type="dxa"/>
            <w:left w:w="108" w:type="dxa"/>
            <w:bottom w:w="0" w:type="dxa"/>
            <w:right w:w="108" w:type="dxa"/>
          </w:tblCellMar>
        </w:tblPrEx>
        <w:trPr>
          <w:trHeight w:val="20" w:hRule="atLeast"/>
          <w:jc w:val="center"/>
        </w:trPr>
        <w:tc>
          <w:tcPr>
            <w:tcW w:w="240" w:type="pct"/>
            <w:vMerge w:val="continue"/>
            <w:shd w:val="clear" w:color="auto" w:fill="auto"/>
            <w:vAlign w:val="center"/>
          </w:tcPr>
          <w:p w14:paraId="1AA7DAFE">
            <w:pPr>
              <w:spacing w:before="31" w:beforeLines="10" w:after="31" w:afterLines="10" w:line="280" w:lineRule="exact"/>
              <w:ind w:firstLine="0" w:firstLineChars="0"/>
              <w:rPr>
                <w:rFonts w:hint="eastAsia" w:ascii="汉仪书宋一简" w:eastAsia="汉仪书宋一简"/>
                <w:b/>
                <w:kern w:val="0"/>
                <w:sz w:val="20"/>
              </w:rPr>
            </w:pPr>
          </w:p>
        </w:tc>
        <w:tc>
          <w:tcPr>
            <w:tcW w:w="4759" w:type="pct"/>
            <w:shd w:val="clear" w:color="auto" w:fill="auto"/>
            <w:vAlign w:val="center"/>
          </w:tcPr>
          <w:p w14:paraId="34890A6E">
            <w:pPr>
              <w:spacing w:before="31" w:beforeLines="10" w:after="31" w:afterLines="10" w:line="280" w:lineRule="exact"/>
              <w:ind w:firstLine="0" w:firstLineChars="0"/>
              <w:rPr>
                <w:rFonts w:hint="eastAsia" w:ascii="汉仪书宋一简" w:eastAsia="汉仪书宋一简"/>
                <w:kern w:val="0"/>
                <w:sz w:val="20"/>
              </w:rPr>
            </w:pPr>
            <w:r>
              <w:rPr>
                <w:rFonts w:hint="eastAsia" w:ascii="汉仪书宋一简" w:eastAsia="汉仪书宋一简"/>
                <w:kern w:val="0"/>
                <w:sz w:val="20"/>
              </w:rPr>
              <w:t>最低工资：（1）劳动者提供了正常劳动的条件下，用人单位支付的劳动报酬不得低于当地最低工资标准；（2）</w:t>
            </w:r>
            <w:r>
              <w:rPr>
                <w:rFonts w:hint="eastAsia" w:ascii="汉仪书宋一简" w:eastAsia="汉仪书宋一简"/>
                <w:color w:val="0000FF"/>
                <w:kern w:val="0"/>
                <w:sz w:val="20"/>
              </w:rPr>
              <w:t>最低工资适用于试用期、见习期；</w:t>
            </w:r>
            <w:r>
              <w:rPr>
                <w:rFonts w:hint="eastAsia" w:ascii="汉仪书宋一简" w:eastAsia="汉仪书宋一简"/>
                <w:kern w:val="0"/>
                <w:sz w:val="20"/>
              </w:rPr>
              <w:t>（3）最低工资标准由省级政府规定，报国务院备案；（4）最低工资</w:t>
            </w:r>
            <w:r>
              <w:rPr>
                <w:rFonts w:hint="eastAsia" w:ascii="汉仪书宋一简" w:eastAsia="汉仪书宋一简"/>
                <w:color w:val="0000FF"/>
                <w:kern w:val="0"/>
                <w:sz w:val="20"/>
              </w:rPr>
              <w:t>不包括加班工资；中班、夜班、高温、低温、井下、有毒有害等特殊工作环境条件下的津</w:t>
            </w:r>
            <w:r>
              <w:rPr>
                <w:rFonts w:hint="eastAsia" w:ascii="汉仪书宋一简" w:eastAsia="汉仪书宋一简"/>
                <w:kern w:val="0"/>
                <w:sz w:val="20"/>
              </w:rPr>
              <w:t>贴；国家法律、行政法规和政策规定的劳动者保险、福利待遇；用人单位通过贴补伙食、住房等支付给劳动者的非货币收入</w:t>
            </w:r>
          </w:p>
        </w:tc>
      </w:tr>
      <w:tr w14:paraId="682F6EF9">
        <w:tblPrEx>
          <w:tblBorders>
            <w:top w:val="single" w:color="FF0000" w:sz="8" w:space="0"/>
            <w:left w:val="single" w:color="FF0000" w:sz="8" w:space="0"/>
            <w:bottom w:val="single" w:color="FF0000" w:sz="8" w:space="0"/>
            <w:right w:val="single" w:color="FF0000" w:sz="8" w:space="0"/>
            <w:insideH w:val="single" w:color="FF0000" w:sz="8" w:space="0"/>
            <w:insideV w:val="single" w:color="FF0000" w:sz="8" w:space="0"/>
          </w:tblBorders>
          <w:tblCellMar>
            <w:top w:w="0" w:type="dxa"/>
            <w:left w:w="108" w:type="dxa"/>
            <w:bottom w:w="0" w:type="dxa"/>
            <w:right w:w="108" w:type="dxa"/>
          </w:tblCellMar>
        </w:tblPrEx>
        <w:trPr>
          <w:trHeight w:val="20" w:hRule="atLeast"/>
          <w:jc w:val="center"/>
        </w:trPr>
        <w:tc>
          <w:tcPr>
            <w:tcW w:w="240" w:type="pct"/>
            <w:vMerge w:val="continue"/>
            <w:shd w:val="clear" w:color="auto" w:fill="auto"/>
            <w:vAlign w:val="center"/>
          </w:tcPr>
          <w:p w14:paraId="6B609A01">
            <w:pPr>
              <w:spacing w:before="31" w:beforeLines="10" w:after="31" w:afterLines="10" w:line="280" w:lineRule="exact"/>
              <w:ind w:firstLine="0" w:firstLineChars="0"/>
              <w:rPr>
                <w:rFonts w:hint="eastAsia" w:ascii="汉仪书宋一简" w:eastAsia="汉仪书宋一简"/>
                <w:b/>
                <w:kern w:val="0"/>
                <w:sz w:val="20"/>
              </w:rPr>
            </w:pPr>
          </w:p>
        </w:tc>
        <w:tc>
          <w:tcPr>
            <w:tcW w:w="4759" w:type="pct"/>
            <w:shd w:val="clear" w:color="auto" w:fill="auto"/>
            <w:vAlign w:val="center"/>
          </w:tcPr>
          <w:p w14:paraId="7401127E">
            <w:pPr>
              <w:spacing w:before="31" w:beforeLines="10" w:after="31" w:afterLines="10" w:line="280" w:lineRule="exact"/>
              <w:ind w:firstLine="0" w:firstLineChars="0"/>
              <w:rPr>
                <w:rFonts w:hint="eastAsia" w:ascii="汉仪书宋一简" w:eastAsia="汉仪书宋一简"/>
                <w:kern w:val="0"/>
                <w:sz w:val="20"/>
              </w:rPr>
            </w:pPr>
            <w:r>
              <w:rPr>
                <w:rFonts w:hint="eastAsia" w:ascii="汉仪书宋一简" w:eastAsia="汉仪书宋一简"/>
                <w:kern w:val="0"/>
                <w:sz w:val="20"/>
              </w:rPr>
              <w:t>女职工保护：（1）</w:t>
            </w:r>
            <w:r>
              <w:rPr>
                <w:rFonts w:hint="eastAsia" w:ascii="汉仪书宋一简" w:eastAsia="汉仪书宋一简"/>
                <w:color w:val="0000FF"/>
                <w:kern w:val="0"/>
                <w:sz w:val="20"/>
              </w:rPr>
              <w:t>禁止安排女职工从事矿山井下、国家规定的第四级体力劳动强度的劳动和其他禁忌从事的劳</w:t>
            </w:r>
            <w:r>
              <w:rPr>
                <w:rFonts w:hint="eastAsia" w:ascii="汉仪书宋一简" w:eastAsia="汉仪书宋一简"/>
                <w:kern w:val="0"/>
                <w:sz w:val="20"/>
              </w:rPr>
              <w:t>动；（2）不得安排女职工在经期从事高处、低温、冷水作业和国家规定的第</w:t>
            </w:r>
            <w:r>
              <w:rPr>
                <w:rFonts w:hint="eastAsia" w:ascii="汉仪书宋一简" w:eastAsia="汉仪书宋一简"/>
                <w:color w:val="0000FF"/>
                <w:kern w:val="0"/>
                <w:sz w:val="20"/>
              </w:rPr>
              <w:t>三级体力</w:t>
            </w:r>
            <w:r>
              <w:rPr>
                <w:rFonts w:hint="eastAsia" w:ascii="汉仪书宋一简" w:eastAsia="汉仪书宋一简"/>
                <w:kern w:val="0"/>
                <w:sz w:val="20"/>
              </w:rPr>
              <w:t>劳动强度的劳动；（3）不得安排女职工在怀孕期间从事国家规定的第三级体力劳动强度的劳动和孕期禁忌从事的活动。对怀孕七个月以上的女职工，不得安排其延长工作时间和夜班劳动；（4）不得安排女职工在哺乳未满一周岁的婴儿期间从事国家规定的第三级体力劳动强度的劳动和哺乳期禁忌从事的其他劳动，不得安排其延长工作时间和夜班劳动；（5）女职工生育享受不少于90天的产假</w:t>
            </w:r>
          </w:p>
        </w:tc>
      </w:tr>
      <w:tr w14:paraId="14B699A3">
        <w:tblPrEx>
          <w:tblBorders>
            <w:top w:val="single" w:color="FF0000" w:sz="8" w:space="0"/>
            <w:left w:val="single" w:color="FF0000" w:sz="8" w:space="0"/>
            <w:bottom w:val="single" w:color="FF0000" w:sz="8" w:space="0"/>
            <w:right w:val="single" w:color="FF0000" w:sz="8" w:space="0"/>
            <w:insideH w:val="single" w:color="FF0000" w:sz="8" w:space="0"/>
            <w:insideV w:val="single" w:color="FF0000" w:sz="8" w:space="0"/>
          </w:tblBorders>
          <w:tblCellMar>
            <w:top w:w="0" w:type="dxa"/>
            <w:left w:w="108" w:type="dxa"/>
            <w:bottom w:w="0" w:type="dxa"/>
            <w:right w:w="108" w:type="dxa"/>
          </w:tblCellMar>
        </w:tblPrEx>
        <w:trPr>
          <w:trHeight w:val="20" w:hRule="atLeast"/>
          <w:jc w:val="center"/>
        </w:trPr>
        <w:tc>
          <w:tcPr>
            <w:tcW w:w="240" w:type="pct"/>
            <w:vMerge w:val="continue"/>
            <w:shd w:val="clear" w:color="auto" w:fill="auto"/>
            <w:vAlign w:val="center"/>
          </w:tcPr>
          <w:p w14:paraId="7EC12264">
            <w:pPr>
              <w:spacing w:before="31" w:beforeLines="10" w:after="31" w:afterLines="10" w:line="280" w:lineRule="exact"/>
              <w:ind w:firstLine="0" w:firstLineChars="0"/>
              <w:rPr>
                <w:rFonts w:hint="eastAsia" w:ascii="汉仪书宋一简" w:eastAsia="汉仪书宋一简"/>
                <w:b/>
                <w:kern w:val="0"/>
                <w:sz w:val="20"/>
              </w:rPr>
            </w:pPr>
          </w:p>
        </w:tc>
        <w:tc>
          <w:tcPr>
            <w:tcW w:w="4759" w:type="pct"/>
            <w:shd w:val="clear" w:color="auto" w:fill="auto"/>
            <w:vAlign w:val="center"/>
          </w:tcPr>
          <w:p w14:paraId="525151A9">
            <w:pPr>
              <w:spacing w:before="31" w:beforeLines="10" w:after="31" w:afterLines="10" w:line="280" w:lineRule="exact"/>
              <w:ind w:firstLine="0" w:firstLineChars="0"/>
              <w:rPr>
                <w:rFonts w:hint="eastAsia" w:ascii="汉仪书宋一简" w:eastAsia="汉仪书宋一简"/>
                <w:kern w:val="0"/>
                <w:sz w:val="20"/>
              </w:rPr>
            </w:pPr>
            <w:r>
              <w:rPr>
                <w:rFonts w:hint="eastAsia" w:ascii="汉仪书宋一简" w:eastAsia="汉仪书宋一简"/>
                <w:kern w:val="0"/>
                <w:sz w:val="20"/>
              </w:rPr>
              <w:t>未成年工保护：（1）不得安排未成年工从事矿山井下、有毒有害、国家规定的</w:t>
            </w:r>
            <w:r>
              <w:rPr>
                <w:rFonts w:hint="eastAsia" w:ascii="汉仪书宋一简" w:eastAsia="汉仪书宋一简"/>
                <w:color w:val="0000FF"/>
                <w:kern w:val="0"/>
                <w:sz w:val="20"/>
              </w:rPr>
              <w:t>第四级</w:t>
            </w:r>
            <w:r>
              <w:rPr>
                <w:rFonts w:hint="eastAsia" w:ascii="汉仪书宋一简" w:eastAsia="汉仪书宋一简"/>
                <w:color w:val="0000FF"/>
                <w:kern w:val="0"/>
                <w:sz w:val="20"/>
                <w:lang w:eastAsia="zh-CN"/>
              </w:rPr>
              <w:t>《</w:t>
            </w:r>
            <w:r>
              <w:rPr>
                <w:rFonts w:hint="eastAsia" w:ascii="汉仪书宋一简" w:eastAsia="汉仪书宋一简"/>
                <w:color w:val="0000FF"/>
                <w:kern w:val="0"/>
                <w:sz w:val="20"/>
                <w:lang w:val="en-US" w:eastAsia="zh-CN"/>
              </w:rPr>
              <w:t>女职工是三级</w:t>
            </w:r>
            <w:r>
              <w:rPr>
                <w:rFonts w:hint="eastAsia" w:ascii="汉仪书宋一简" w:eastAsia="汉仪书宋一简"/>
                <w:color w:val="0000FF"/>
                <w:kern w:val="0"/>
                <w:sz w:val="20"/>
                <w:lang w:eastAsia="zh-CN"/>
              </w:rPr>
              <w:t>》</w:t>
            </w:r>
            <w:r>
              <w:rPr>
                <w:rFonts w:hint="eastAsia" w:ascii="汉仪书宋一简" w:eastAsia="汉仪书宋一简"/>
                <w:color w:val="0000FF"/>
                <w:kern w:val="0"/>
                <w:sz w:val="20"/>
              </w:rPr>
              <w:t>体力</w:t>
            </w:r>
            <w:r>
              <w:rPr>
                <w:rFonts w:hint="eastAsia" w:ascii="汉仪书宋一简" w:eastAsia="汉仪书宋一简"/>
                <w:kern w:val="0"/>
                <w:sz w:val="20"/>
              </w:rPr>
              <w:t>劳动强度的劳动和其他禁忌从事的劳动；（2）用人单位应当对未成年工定期进行健康检查。</w:t>
            </w:r>
          </w:p>
        </w:tc>
      </w:tr>
    </w:tbl>
    <w:p w14:paraId="201226DD">
      <w:pPr>
        <w:tabs>
          <w:tab w:val="clear" w:pos="420"/>
        </w:tabs>
        <w:autoSpaceDE w:val="0"/>
        <w:autoSpaceDN w:val="0"/>
        <w:adjustRightInd w:val="0"/>
        <w:ind w:firstLine="425" w:firstLineChars="0"/>
        <w:textAlignment w:val="center"/>
        <w:rPr>
          <w:rFonts w:ascii="汉仪书宋二简" w:hAnsi="Times New Roman" w:cs="汉仪书宋二简"/>
          <w:color w:val="000000"/>
          <w:kern w:val="0"/>
          <w:lang w:val="zh-CN"/>
        </w:rPr>
      </w:pPr>
      <w:bookmarkStart w:id="0" w:name="_Toc535019217"/>
    </w:p>
    <w:p w14:paraId="39B20484">
      <w:pPr>
        <w:tabs>
          <w:tab w:val="clear" w:pos="420"/>
        </w:tabs>
        <w:autoSpaceDE w:val="0"/>
        <w:autoSpaceDN w:val="0"/>
        <w:adjustRightInd w:val="0"/>
        <w:ind w:firstLine="425" w:firstLineChars="0"/>
        <w:textAlignment w:val="center"/>
        <w:rPr>
          <w:rFonts w:ascii="汉仪书宋二简" w:hAnsi="Times New Roman" w:cs="汉仪书宋二简"/>
          <w:color w:val="000000"/>
          <w:kern w:val="0"/>
          <w:lang w:val="zh-CN"/>
        </w:rPr>
      </w:pPr>
    </w:p>
    <w:p w14:paraId="1F6E4D8E">
      <w:pPr>
        <w:pStyle w:val="2"/>
        <w:spacing w:before="0" w:line="480" w:lineRule="exact"/>
        <w:rPr>
          <w:rFonts w:hint="eastAsia"/>
        </w:rPr>
      </w:pPr>
      <w:bookmarkStart w:id="1" w:name="_Toc193726291"/>
      <w:r>
        <w:rPr>
          <w:rFonts w:hint="eastAsia"/>
          <w:color w:val="FF0000"/>
        </w:rPr>
        <w:t xml:space="preserve">考点7  </w:t>
      </w:r>
      <w:r>
        <w:rPr>
          <w:rFonts w:hint="eastAsia"/>
        </w:rPr>
        <w:t>社会保障法</w:t>
      </w:r>
      <w:bookmarkEnd w:id="0"/>
      <w:bookmarkEnd w:id="1"/>
    </w:p>
    <w:p w14:paraId="22A14AE0">
      <w:pPr>
        <w:widowControl/>
        <w:ind w:firstLine="420"/>
        <w:rPr>
          <w:rFonts w:hint="eastAsia" w:ascii="汉仪书宋二简"/>
        </w:rPr>
      </w:pPr>
    </w:p>
    <w:p w14:paraId="5AD4A71E">
      <w:pPr>
        <w:tabs>
          <w:tab w:val="clear" w:pos="420"/>
        </w:tabs>
        <w:autoSpaceDE w:val="0"/>
        <w:autoSpaceDN w:val="0"/>
        <w:adjustRightInd w:val="0"/>
        <w:ind w:firstLine="0" w:firstLineChars="0"/>
        <w:jc w:val="left"/>
        <w:textAlignment w:val="center"/>
        <w:rPr>
          <w:rFonts w:hint="eastAsia" w:ascii="汉仪书宋二简"/>
          <w:b/>
        </w:rPr>
      </w:pPr>
      <w:r>
        <w:rPr>
          <w:rFonts w:hint="eastAsia" w:ascii="汉仪粗宋简" w:hAnsi="Times New Roman" w:eastAsia="汉仪大宋简" w:cs="汉仪粗宋简"/>
          <w:color w:val="000000"/>
          <w:kern w:val="0"/>
          <w:position w:val="4"/>
          <w:sz w:val="26"/>
          <w:szCs w:val="26"/>
          <w:lang w:val="zh-CN"/>
        </w:rPr>
        <w:t>一、社会保险</w:t>
      </w:r>
    </w:p>
    <w:p w14:paraId="56084BF5">
      <w:pPr>
        <w:pStyle w:val="4"/>
        <w:ind w:firstLine="288" w:firstLineChars="120"/>
        <w:jc w:val="both"/>
        <w:rPr>
          <w:rFonts w:hint="eastAsia"/>
        </w:rPr>
      </w:pPr>
      <w:r>
        <w:rPr>
          <w:rFonts w:hint="eastAsia"/>
        </w:rPr>
        <w:t>（一）社会保险的基础知识</w:t>
      </w:r>
    </w:p>
    <w:p w14:paraId="1756DBE9">
      <w:pPr>
        <w:widowControl/>
        <w:ind w:firstLine="420"/>
        <w:rPr>
          <w:rFonts w:hint="eastAsia" w:ascii="汉仪书宋二简"/>
        </w:rPr>
      </w:pPr>
      <w:r>
        <w:rPr>
          <w:rFonts w:hint="eastAsia" w:ascii="汉仪中黑简" w:eastAsia="汉仪中黑简"/>
        </w:rPr>
        <w:t>1．“五险”。</w:t>
      </w:r>
      <w:r>
        <w:rPr>
          <w:rFonts w:hint="eastAsia" w:ascii="汉仪书宋二简"/>
        </w:rPr>
        <w:t>国家建立基本养老保险、基本医疗保险、工伤保险、失业保险、生育保险等社会保险制度。</w:t>
      </w:r>
    </w:p>
    <w:p w14:paraId="7A3F2E51">
      <w:pPr>
        <w:widowControl/>
        <w:ind w:firstLine="420"/>
        <w:rPr>
          <w:rFonts w:hint="eastAsia" w:ascii="汉仪书宋二简"/>
        </w:rPr>
      </w:pPr>
      <w:r>
        <w:rPr>
          <w:rFonts w:hint="eastAsia" w:ascii="汉仪中黑简" w:eastAsia="汉仪中黑简"/>
        </w:rPr>
        <w:t>2．社保基金。</w:t>
      </w:r>
      <w:r>
        <w:rPr>
          <w:rFonts w:hint="eastAsia" w:ascii="汉仪书宋二简"/>
        </w:rPr>
        <w:t>原则上单位缴费和个人缴费相结合，不足的由政府补贴。</w:t>
      </w:r>
    </w:p>
    <w:p w14:paraId="64E0CDDD">
      <w:pPr>
        <w:widowControl/>
        <w:ind w:firstLine="420"/>
        <w:rPr>
          <w:rFonts w:hint="eastAsia" w:ascii="汉仪书宋二简"/>
          <w:kern w:val="0"/>
        </w:rPr>
      </w:pPr>
      <w:r>
        <w:rPr>
          <w:rFonts w:hint="eastAsia" w:ascii="汉仪中黑简" w:eastAsia="汉仪中黑简"/>
        </w:rPr>
        <w:t>3．社会保险费征缴。</w:t>
      </w:r>
      <w:r>
        <w:rPr>
          <w:rFonts w:hint="eastAsia" w:ascii="汉仪书宋二简"/>
          <w:kern w:val="0"/>
        </w:rPr>
        <w:t>用人单位未按时足额缴纳社会保险费的，由社会保险费征收机构责令其限期缴纳或者补足。用人单位逾期仍未缴纳或者补足社会保险费的，社会保险费征收机构可以向银行和其他金融机构查询其存款账户；并可以申请县级以上有关行政部门作出划拨社会保险费的决定，书面通知其开户银行或者其他金融机构划拨社会保险费。用人单位账户余额少于应当缴纳的社会保险费的，社会保险费征收机构可以要求该用人单位提供担保，签订延期缴费协议。</w:t>
      </w:r>
      <w:r>
        <w:rPr>
          <w:rFonts w:hint="eastAsia" w:ascii="汉仪书宋二简"/>
          <w:color w:val="0000FF"/>
          <w:kern w:val="0"/>
        </w:rPr>
        <w:t>用人单位未足额缴纳社会保险费且未提供担保的，社会保险费征收机构可以申请人民法院扣押、查封、拍卖其价值相当于应当缴纳社会保险费的财产，以拍卖所得抵缴社会保险费。</w:t>
      </w:r>
    </w:p>
    <w:p w14:paraId="1F467B9E">
      <w:pPr>
        <w:widowControl/>
        <w:ind w:firstLine="420"/>
        <w:rPr>
          <w:rFonts w:hint="eastAsia" w:ascii="汉仪书宋二简" w:eastAsia="汉仪书宋二简"/>
          <w:lang w:eastAsia="zh-CN"/>
        </w:rPr>
      </w:pPr>
      <w:r>
        <w:rPr>
          <w:rFonts w:hint="eastAsia" w:ascii="汉仪中黑简" w:eastAsia="汉仪中黑简"/>
        </w:rPr>
        <w:t>4．争议解决。</w:t>
      </w:r>
      <w:r>
        <w:rPr>
          <w:rFonts w:hint="eastAsia" w:ascii="汉仪中黑简" w:eastAsia="汉仪中黑简"/>
          <w:color w:val="0000FF"/>
          <w:lang w:eastAsia="zh-CN"/>
        </w:rPr>
        <w:t>（</w:t>
      </w:r>
      <w:r>
        <w:rPr>
          <w:rFonts w:hint="eastAsia" w:ascii="汉仪中黑简" w:eastAsia="汉仪中黑简"/>
          <w:color w:val="0000FF"/>
          <w:lang w:val="en-US" w:eastAsia="zh-CN"/>
        </w:rPr>
        <w:t>区分劳动争议和行政争议</w:t>
      </w:r>
      <w:r>
        <w:rPr>
          <w:rFonts w:hint="eastAsia" w:ascii="汉仪中黑简" w:eastAsia="汉仪中黑简"/>
          <w:color w:val="0000FF"/>
          <w:lang w:eastAsia="zh-CN"/>
        </w:rPr>
        <w:t>）</w:t>
      </w:r>
      <w:r>
        <w:rPr>
          <w:rFonts w:hint="eastAsia" w:ascii="汉仪书宋二简"/>
        </w:rPr>
        <w:t>（1）用人单位或者个人认为社会保险费征收机构的行为侵害自己合法权益的，可以依法申请行政复议或者提起行政诉讼。（2）用人单位或者个人对社会保险经办机构不依法办理社会保险登记、核定社会保险费、支付社会保险待遇、办理社会保险转移接续手续或者侵害其他社会保险权益的行为，可以依法申请行政复议或者提起行政诉讼。（3）个人与所在用人单位发生社会保险争议的，可以依法申请调解、仲裁，提起诉讼。用人单位侵害个人社会保险权益的，个人也可以要求社会保险行政部门或者社会保险费征收机构依法处理。</w:t>
      </w:r>
      <w:r>
        <w:rPr>
          <w:rFonts w:hint="eastAsia" w:ascii="汉仪书宋二简"/>
          <w:lang w:eastAsia="zh-CN"/>
        </w:rPr>
        <w:t>（</w:t>
      </w:r>
      <w:r>
        <w:rPr>
          <w:rFonts w:hint="eastAsia" w:ascii="汉仪书宋二简"/>
          <w:lang w:val="en-US" w:eastAsia="zh-CN"/>
        </w:rPr>
        <w:t>劳动争议</w:t>
      </w:r>
      <w:r>
        <w:rPr>
          <w:rFonts w:hint="eastAsia" w:ascii="汉仪书宋二简"/>
          <w:lang w:eastAsia="zh-CN"/>
        </w:rPr>
        <w:t>）</w:t>
      </w:r>
    </w:p>
    <w:p w14:paraId="2823A517">
      <w:pPr>
        <w:widowControl/>
        <w:ind w:firstLine="420"/>
        <w:rPr>
          <w:rFonts w:hint="eastAsia" w:ascii="汉仪书宋二简"/>
        </w:rPr>
      </w:pPr>
    </w:p>
    <w:p w14:paraId="6E011830">
      <w:pPr>
        <w:pStyle w:val="4"/>
        <w:ind w:firstLine="288" w:firstLineChars="120"/>
        <w:jc w:val="both"/>
        <w:rPr>
          <w:rFonts w:hint="eastAsia"/>
        </w:rPr>
      </w:pPr>
      <w:r>
        <w:rPr>
          <w:rFonts w:hint="eastAsia"/>
        </w:rPr>
        <w:t>（二）工伤保险</w:t>
      </w:r>
    </w:p>
    <w:p w14:paraId="46051329">
      <w:pPr>
        <w:ind w:firstLine="420"/>
        <w:rPr>
          <w:rFonts w:hint="eastAsia" w:ascii="汉仪书宋二简"/>
          <w:b/>
        </w:rPr>
      </w:pPr>
    </w:p>
    <w:tbl>
      <w:tblPr>
        <w:tblStyle w:val="7"/>
        <w:tblW w:w="8505" w:type="dxa"/>
        <w:jc w:val="center"/>
        <w:tblBorders>
          <w:top w:val="single" w:color="FF0000" w:sz="8" w:space="0"/>
          <w:left w:val="single" w:color="FF0000" w:sz="8" w:space="0"/>
          <w:bottom w:val="single" w:color="FF0000" w:sz="8" w:space="0"/>
          <w:right w:val="single" w:color="FF0000" w:sz="8" w:space="0"/>
          <w:insideH w:val="single" w:color="FF0000" w:sz="8" w:space="0"/>
          <w:insideV w:val="single" w:color="FF0000" w:sz="8" w:space="0"/>
        </w:tblBorders>
        <w:tblLayout w:type="autofit"/>
        <w:tblCellMar>
          <w:top w:w="0" w:type="dxa"/>
          <w:left w:w="108" w:type="dxa"/>
          <w:bottom w:w="0" w:type="dxa"/>
          <w:right w:w="108" w:type="dxa"/>
        </w:tblCellMar>
      </w:tblPr>
      <w:tblGrid>
        <w:gridCol w:w="1101"/>
        <w:gridCol w:w="7404"/>
      </w:tblGrid>
      <w:tr w14:paraId="5453315A">
        <w:tblPrEx>
          <w:tblBorders>
            <w:top w:val="single" w:color="FF0000" w:sz="8" w:space="0"/>
            <w:left w:val="single" w:color="FF0000" w:sz="8" w:space="0"/>
            <w:bottom w:val="single" w:color="FF0000" w:sz="8" w:space="0"/>
            <w:right w:val="single" w:color="FF0000" w:sz="8" w:space="0"/>
            <w:insideH w:val="single" w:color="FF0000" w:sz="8" w:space="0"/>
            <w:insideV w:val="single" w:color="FF0000" w:sz="8" w:space="0"/>
          </w:tblBorders>
          <w:tblCellMar>
            <w:top w:w="0" w:type="dxa"/>
            <w:left w:w="108" w:type="dxa"/>
            <w:bottom w:w="0" w:type="dxa"/>
            <w:right w:w="108" w:type="dxa"/>
          </w:tblCellMar>
        </w:tblPrEx>
        <w:trPr>
          <w:trHeight w:val="20" w:hRule="atLeast"/>
          <w:jc w:val="center"/>
        </w:trPr>
        <w:tc>
          <w:tcPr>
            <w:tcW w:w="647" w:type="pct"/>
            <w:shd w:val="clear" w:color="auto" w:fill="auto"/>
            <w:vAlign w:val="center"/>
          </w:tcPr>
          <w:p w14:paraId="3B09E7B1">
            <w:pPr>
              <w:spacing w:before="31" w:beforeLines="10" w:after="62" w:afterLines="20" w:line="280" w:lineRule="exact"/>
              <w:ind w:firstLine="0" w:firstLineChars="0"/>
              <w:jc w:val="center"/>
              <w:rPr>
                <w:rFonts w:hint="eastAsia" w:ascii="汉仪中黑简" w:eastAsia="汉仪中黑简"/>
                <w:bCs/>
                <w:kern w:val="0"/>
                <w:sz w:val="20"/>
              </w:rPr>
            </w:pPr>
            <w:r>
              <w:rPr>
                <w:rFonts w:hint="eastAsia" w:ascii="汉仪中黑简" w:eastAsia="汉仪中黑简"/>
                <w:bCs/>
                <w:kern w:val="0"/>
                <w:sz w:val="20"/>
              </w:rPr>
              <w:t>参保</w:t>
            </w:r>
          </w:p>
        </w:tc>
        <w:tc>
          <w:tcPr>
            <w:tcW w:w="4352" w:type="pct"/>
            <w:shd w:val="clear" w:color="auto" w:fill="auto"/>
            <w:vAlign w:val="center"/>
          </w:tcPr>
          <w:p w14:paraId="060A4DB1">
            <w:pPr>
              <w:spacing w:before="31" w:beforeLines="10" w:after="62" w:afterLines="20" w:line="280" w:lineRule="exact"/>
              <w:ind w:firstLine="0" w:firstLineChars="0"/>
              <w:rPr>
                <w:rFonts w:hint="eastAsia" w:ascii="汉仪书宋一简" w:eastAsia="汉仪书宋一简"/>
                <w:kern w:val="0"/>
                <w:sz w:val="20"/>
              </w:rPr>
            </w:pPr>
            <w:r>
              <w:rPr>
                <w:rFonts w:hint="eastAsia" w:ascii="汉仪书宋一简" w:eastAsia="汉仪书宋一简"/>
                <w:kern w:val="0"/>
                <w:sz w:val="20"/>
              </w:rPr>
              <w:t>职工应当参加工伤保险，由用人单位缴纳工伤保险费，职工不缴纳工伤保险费</w:t>
            </w:r>
          </w:p>
        </w:tc>
      </w:tr>
      <w:tr w14:paraId="6AD3BDA2">
        <w:tblPrEx>
          <w:tblBorders>
            <w:top w:val="single" w:color="FF0000" w:sz="8" w:space="0"/>
            <w:left w:val="single" w:color="FF0000" w:sz="8" w:space="0"/>
            <w:bottom w:val="single" w:color="FF0000" w:sz="8" w:space="0"/>
            <w:right w:val="single" w:color="FF0000" w:sz="8" w:space="0"/>
            <w:insideH w:val="single" w:color="FF0000" w:sz="8" w:space="0"/>
            <w:insideV w:val="single" w:color="FF0000" w:sz="8" w:space="0"/>
          </w:tblBorders>
          <w:tblCellMar>
            <w:top w:w="0" w:type="dxa"/>
            <w:left w:w="108" w:type="dxa"/>
            <w:bottom w:w="0" w:type="dxa"/>
            <w:right w:w="108" w:type="dxa"/>
          </w:tblCellMar>
        </w:tblPrEx>
        <w:trPr>
          <w:trHeight w:val="20" w:hRule="atLeast"/>
          <w:jc w:val="center"/>
        </w:trPr>
        <w:tc>
          <w:tcPr>
            <w:tcW w:w="647" w:type="pct"/>
            <w:shd w:val="clear" w:color="auto" w:fill="auto"/>
            <w:vAlign w:val="center"/>
          </w:tcPr>
          <w:p w14:paraId="1699306D">
            <w:pPr>
              <w:spacing w:before="31" w:beforeLines="10" w:after="62" w:afterLines="20" w:line="280" w:lineRule="exact"/>
              <w:ind w:firstLine="0" w:firstLineChars="0"/>
              <w:jc w:val="center"/>
              <w:rPr>
                <w:rFonts w:hint="eastAsia" w:ascii="汉仪中黑简" w:eastAsia="汉仪中黑简"/>
                <w:bCs/>
                <w:kern w:val="0"/>
                <w:sz w:val="20"/>
              </w:rPr>
            </w:pPr>
            <w:r>
              <w:rPr>
                <w:rFonts w:hint="eastAsia" w:ascii="汉仪中黑简" w:eastAsia="汉仪中黑简"/>
                <w:bCs/>
                <w:kern w:val="0"/>
                <w:sz w:val="20"/>
              </w:rPr>
              <w:t>工伤保险基金负担的费用</w:t>
            </w:r>
          </w:p>
        </w:tc>
        <w:tc>
          <w:tcPr>
            <w:tcW w:w="4352" w:type="pct"/>
            <w:shd w:val="clear" w:color="auto" w:fill="auto"/>
            <w:vAlign w:val="center"/>
          </w:tcPr>
          <w:p w14:paraId="0DE37A33">
            <w:pPr>
              <w:spacing w:before="31" w:beforeLines="10" w:after="62" w:afterLines="20" w:line="280" w:lineRule="exact"/>
              <w:ind w:firstLine="0" w:firstLineChars="0"/>
              <w:rPr>
                <w:rFonts w:hint="eastAsia" w:ascii="汉仪书宋一简" w:eastAsia="汉仪书宋一简"/>
                <w:kern w:val="0"/>
                <w:sz w:val="20"/>
              </w:rPr>
            </w:pPr>
            <w:r>
              <w:rPr>
                <w:rFonts w:hint="eastAsia" w:ascii="汉仪书宋一简" w:eastAsia="汉仪书宋一简"/>
                <w:kern w:val="0"/>
                <w:sz w:val="20"/>
              </w:rPr>
              <w:t>因工伤发生的下列费用，按照国家规定从工伤保险基金中支付：（1）治疗工伤的医疗费用和康复费用；（2）住院伙食补助费；（3）到统筹地区以外就医的交通食宿费；（4）安装配置伤残辅助器具所需费用；（5）生活不能自理的，经劳动能力鉴定委员会确认的生活护理费；（6）一次性伤残补助金和一至四级伤残职工按月领取的伤残津贴；（7）终止或者解除劳动合同时，应当享受的一次性医疗补助金；（8）因工死亡的，其遗属领取的丧葬补助金、供养亲属抚恤金和因工死亡补助金；（9）劳动能力鉴定费</w:t>
            </w:r>
          </w:p>
        </w:tc>
      </w:tr>
      <w:tr w14:paraId="540D6ABE">
        <w:tblPrEx>
          <w:tblBorders>
            <w:top w:val="single" w:color="FF0000" w:sz="8" w:space="0"/>
            <w:left w:val="single" w:color="FF0000" w:sz="8" w:space="0"/>
            <w:bottom w:val="single" w:color="FF0000" w:sz="8" w:space="0"/>
            <w:right w:val="single" w:color="FF0000" w:sz="8" w:space="0"/>
            <w:insideH w:val="single" w:color="FF0000" w:sz="8" w:space="0"/>
            <w:insideV w:val="single" w:color="FF0000" w:sz="8" w:space="0"/>
          </w:tblBorders>
          <w:tblCellMar>
            <w:top w:w="0" w:type="dxa"/>
            <w:left w:w="108" w:type="dxa"/>
            <w:bottom w:w="0" w:type="dxa"/>
            <w:right w:w="108" w:type="dxa"/>
          </w:tblCellMar>
        </w:tblPrEx>
        <w:trPr>
          <w:trHeight w:val="20" w:hRule="atLeast"/>
          <w:jc w:val="center"/>
        </w:trPr>
        <w:tc>
          <w:tcPr>
            <w:tcW w:w="647" w:type="pct"/>
            <w:shd w:val="clear" w:color="auto" w:fill="auto"/>
            <w:vAlign w:val="center"/>
          </w:tcPr>
          <w:p w14:paraId="581ED827">
            <w:pPr>
              <w:spacing w:before="31" w:beforeLines="10" w:after="62" w:afterLines="20" w:line="280" w:lineRule="exact"/>
              <w:ind w:firstLine="0" w:firstLineChars="0"/>
              <w:jc w:val="center"/>
              <w:rPr>
                <w:rFonts w:hint="eastAsia" w:ascii="汉仪中黑简" w:eastAsia="汉仪中黑简"/>
                <w:bCs/>
                <w:kern w:val="0"/>
                <w:sz w:val="20"/>
              </w:rPr>
            </w:pPr>
            <w:r>
              <w:rPr>
                <w:rFonts w:hint="eastAsia" w:ascii="汉仪中黑简" w:eastAsia="汉仪中黑简"/>
                <w:bCs/>
                <w:kern w:val="0"/>
                <w:sz w:val="20"/>
              </w:rPr>
              <w:t>用人单位负担的费用</w:t>
            </w:r>
          </w:p>
        </w:tc>
        <w:tc>
          <w:tcPr>
            <w:tcW w:w="4352" w:type="pct"/>
            <w:shd w:val="clear" w:color="auto" w:fill="auto"/>
            <w:vAlign w:val="center"/>
          </w:tcPr>
          <w:p w14:paraId="32572404">
            <w:pPr>
              <w:spacing w:before="31" w:beforeLines="10" w:after="62" w:afterLines="20" w:line="280" w:lineRule="exact"/>
              <w:ind w:firstLine="0" w:firstLineChars="0"/>
              <w:rPr>
                <w:rFonts w:hint="eastAsia" w:ascii="汉仪书宋一简" w:eastAsia="汉仪书宋一简"/>
                <w:kern w:val="0"/>
                <w:sz w:val="20"/>
              </w:rPr>
            </w:pPr>
            <w:r>
              <w:rPr>
                <w:rFonts w:hint="eastAsia" w:ascii="汉仪书宋一简" w:eastAsia="汉仪书宋一简"/>
                <w:kern w:val="0"/>
                <w:sz w:val="20"/>
              </w:rPr>
              <w:t>因工伤发生的下列费用，按照国家规定由用人单位支付：（1）治疗工伤期间的工资福利；（2）</w:t>
            </w:r>
            <w:r>
              <w:rPr>
                <w:rFonts w:hint="eastAsia" w:ascii="汉仪书宋一简" w:hAnsi="楷体" w:eastAsia="汉仪中黑简" w:cs="楷体"/>
                <w:color w:val="FF0000"/>
                <w:kern w:val="0"/>
                <w:sz w:val="20"/>
              </w:rPr>
              <w:t>五级、六级伤残职工按月领取的伤残津贴</w:t>
            </w:r>
            <w:r>
              <w:rPr>
                <w:rFonts w:hint="eastAsia" w:ascii="汉仪书宋一简" w:hAnsi="楷体" w:eastAsia="汉仪中黑简" w:cs="楷体"/>
                <w:color w:val="FF0000"/>
                <w:kern w:val="0"/>
                <w:sz w:val="20"/>
                <w:lang w:eastAsia="zh-CN"/>
              </w:rPr>
              <w:t>（</w:t>
            </w:r>
            <w:r>
              <w:rPr>
                <w:rFonts w:hint="eastAsia" w:ascii="汉仪书宋一简" w:hAnsi="楷体" w:eastAsia="汉仪中黑简" w:cs="楷体"/>
                <w:color w:val="FF0000"/>
                <w:kern w:val="0"/>
                <w:sz w:val="20"/>
                <w:lang w:val="en-US" w:eastAsia="zh-CN"/>
              </w:rPr>
              <w:t>一到四级工伤基金支付</w:t>
            </w:r>
            <w:r>
              <w:rPr>
                <w:rFonts w:hint="eastAsia" w:ascii="汉仪书宋一简" w:hAnsi="楷体" w:eastAsia="汉仪中黑简" w:cs="楷体"/>
                <w:color w:val="FF0000"/>
                <w:kern w:val="0"/>
                <w:sz w:val="20"/>
                <w:lang w:eastAsia="zh-CN"/>
              </w:rPr>
              <w:t>）</w:t>
            </w:r>
            <w:r>
              <w:rPr>
                <w:rFonts w:hint="eastAsia" w:ascii="汉仪书宋一简" w:eastAsia="汉仪书宋一简"/>
                <w:kern w:val="0"/>
                <w:sz w:val="20"/>
              </w:rPr>
              <w:t>；（3）终止或者解除劳动合同时，应当享受的一次性伤残就业补助金</w:t>
            </w:r>
          </w:p>
          <w:p w14:paraId="4180775F">
            <w:pPr>
              <w:spacing w:before="31" w:beforeLines="10" w:after="62" w:afterLines="20" w:line="280" w:lineRule="exact"/>
              <w:ind w:firstLine="0" w:firstLineChars="0"/>
              <w:rPr>
                <w:rFonts w:hint="default" w:ascii="汉仪书宋一简" w:eastAsia="汉仪书宋一简"/>
                <w:kern w:val="0"/>
                <w:sz w:val="20"/>
                <w:lang w:val="en-US" w:eastAsia="zh-CN"/>
              </w:rPr>
            </w:pPr>
            <w:r>
              <w:rPr>
                <w:rFonts w:hint="eastAsia" w:ascii="汉仪书宋一简" w:eastAsia="汉仪书宋一简"/>
                <w:color w:val="0000FF"/>
                <w:kern w:val="0"/>
                <w:sz w:val="20"/>
                <w:lang w:val="en-US" w:eastAsia="zh-CN"/>
              </w:rPr>
              <w:t>另行安排工作可以降低工资</w:t>
            </w:r>
          </w:p>
        </w:tc>
      </w:tr>
      <w:tr w14:paraId="2A611AD0">
        <w:tblPrEx>
          <w:tblBorders>
            <w:top w:val="single" w:color="FF0000" w:sz="8" w:space="0"/>
            <w:left w:val="single" w:color="FF0000" w:sz="8" w:space="0"/>
            <w:bottom w:val="single" w:color="FF0000" w:sz="8" w:space="0"/>
            <w:right w:val="single" w:color="FF0000" w:sz="8" w:space="0"/>
            <w:insideH w:val="single" w:color="FF0000" w:sz="8" w:space="0"/>
            <w:insideV w:val="single" w:color="FF0000" w:sz="8" w:space="0"/>
          </w:tblBorders>
          <w:tblCellMar>
            <w:top w:w="0" w:type="dxa"/>
            <w:left w:w="108" w:type="dxa"/>
            <w:bottom w:w="0" w:type="dxa"/>
            <w:right w:w="108" w:type="dxa"/>
          </w:tblCellMar>
        </w:tblPrEx>
        <w:trPr>
          <w:trHeight w:val="20" w:hRule="atLeast"/>
          <w:jc w:val="center"/>
        </w:trPr>
        <w:tc>
          <w:tcPr>
            <w:tcW w:w="647" w:type="pct"/>
            <w:vMerge w:val="restart"/>
            <w:shd w:val="clear" w:color="auto" w:fill="auto"/>
            <w:vAlign w:val="center"/>
          </w:tcPr>
          <w:p w14:paraId="21C4EB31">
            <w:pPr>
              <w:spacing w:before="31" w:beforeLines="10" w:after="62" w:afterLines="20" w:line="280" w:lineRule="exact"/>
              <w:ind w:firstLine="0" w:firstLineChars="0"/>
              <w:jc w:val="center"/>
              <w:rPr>
                <w:rFonts w:hint="eastAsia" w:ascii="汉仪中黑简" w:eastAsia="汉仪中黑简"/>
                <w:bCs/>
                <w:kern w:val="0"/>
                <w:sz w:val="20"/>
              </w:rPr>
            </w:pPr>
            <w:r>
              <w:rPr>
                <w:rFonts w:hint="eastAsia" w:ascii="汉仪中黑简" w:eastAsia="汉仪中黑简"/>
                <w:bCs/>
                <w:kern w:val="0"/>
                <w:sz w:val="20"/>
              </w:rPr>
              <w:t>特殊情况</w:t>
            </w:r>
          </w:p>
        </w:tc>
        <w:tc>
          <w:tcPr>
            <w:tcW w:w="4352" w:type="pct"/>
            <w:shd w:val="clear" w:color="auto" w:fill="auto"/>
            <w:vAlign w:val="center"/>
          </w:tcPr>
          <w:p w14:paraId="1A7F8D6C">
            <w:pPr>
              <w:spacing w:before="31" w:beforeLines="10" w:after="62" w:afterLines="20" w:line="280" w:lineRule="exact"/>
              <w:ind w:firstLine="0" w:firstLineChars="0"/>
              <w:rPr>
                <w:rFonts w:hint="eastAsia" w:ascii="汉仪书宋一简" w:eastAsia="汉仪书宋一简"/>
                <w:kern w:val="0"/>
                <w:sz w:val="20"/>
              </w:rPr>
            </w:pPr>
            <w:r>
              <w:rPr>
                <w:rFonts w:hint="eastAsia" w:ascii="汉仪书宋一简" w:eastAsia="汉仪书宋一简"/>
                <w:kern w:val="0"/>
                <w:sz w:val="20"/>
              </w:rPr>
              <w:t>单位未缴费：发生工伤事故的，由用人单位支付工伤保险待遇。用人单位不支付的，从工伤保险基金中先行支付。</w:t>
            </w:r>
            <w:r>
              <w:rPr>
                <w:rFonts w:hint="eastAsia" w:ascii="汉仪书宋一简" w:eastAsia="汉仪书宋一简"/>
                <w:color w:val="0000FF"/>
                <w:kern w:val="0"/>
                <w:sz w:val="20"/>
              </w:rPr>
              <w:t>社会保险经办机构可以向用人单位追偿</w:t>
            </w:r>
          </w:p>
        </w:tc>
      </w:tr>
      <w:tr w14:paraId="3F2733B9">
        <w:tblPrEx>
          <w:tblBorders>
            <w:top w:val="single" w:color="FF0000" w:sz="8" w:space="0"/>
            <w:left w:val="single" w:color="FF0000" w:sz="8" w:space="0"/>
            <w:bottom w:val="single" w:color="FF0000" w:sz="8" w:space="0"/>
            <w:right w:val="single" w:color="FF0000" w:sz="8" w:space="0"/>
            <w:insideH w:val="single" w:color="FF0000" w:sz="8" w:space="0"/>
            <w:insideV w:val="single" w:color="FF0000" w:sz="8" w:space="0"/>
          </w:tblBorders>
          <w:tblCellMar>
            <w:top w:w="0" w:type="dxa"/>
            <w:left w:w="108" w:type="dxa"/>
            <w:bottom w:w="0" w:type="dxa"/>
            <w:right w:w="108" w:type="dxa"/>
          </w:tblCellMar>
        </w:tblPrEx>
        <w:trPr>
          <w:trHeight w:val="20" w:hRule="atLeast"/>
          <w:jc w:val="center"/>
        </w:trPr>
        <w:tc>
          <w:tcPr>
            <w:tcW w:w="647" w:type="pct"/>
            <w:vMerge w:val="continue"/>
            <w:shd w:val="clear" w:color="auto" w:fill="auto"/>
            <w:vAlign w:val="center"/>
          </w:tcPr>
          <w:p w14:paraId="6A4E6857">
            <w:pPr>
              <w:spacing w:before="31" w:beforeLines="10" w:after="62" w:afterLines="20" w:line="280" w:lineRule="exact"/>
              <w:ind w:firstLine="0" w:firstLineChars="0"/>
              <w:jc w:val="center"/>
              <w:rPr>
                <w:rFonts w:hint="eastAsia" w:ascii="汉仪中黑简" w:eastAsia="汉仪中黑简"/>
                <w:bCs/>
                <w:kern w:val="0"/>
                <w:sz w:val="20"/>
              </w:rPr>
            </w:pPr>
          </w:p>
        </w:tc>
        <w:tc>
          <w:tcPr>
            <w:tcW w:w="4352" w:type="pct"/>
            <w:shd w:val="clear" w:color="auto" w:fill="auto"/>
            <w:vAlign w:val="center"/>
          </w:tcPr>
          <w:p w14:paraId="5D05B615">
            <w:pPr>
              <w:spacing w:before="31" w:beforeLines="10" w:after="62" w:afterLines="20" w:line="280" w:lineRule="exact"/>
              <w:ind w:firstLine="0" w:firstLineChars="0"/>
              <w:rPr>
                <w:rFonts w:hint="eastAsia" w:ascii="汉仪书宋一简" w:eastAsia="汉仪书宋一简"/>
                <w:b/>
                <w:kern w:val="0"/>
                <w:sz w:val="20"/>
              </w:rPr>
            </w:pPr>
            <w:r>
              <w:rPr>
                <w:rFonts w:hint="eastAsia" w:ascii="汉仪书宋一简" w:eastAsia="汉仪书宋一简"/>
                <w:kern w:val="0"/>
                <w:sz w:val="20"/>
              </w:rPr>
              <w:t>与养老保险的衔接：工伤职工符合领取基本养老金条件的，停发伤残津贴，享受基本养老保险待遇。基本养老保险待遇低于伤残津贴的，从工伤保险基金中补足差额</w:t>
            </w:r>
          </w:p>
        </w:tc>
      </w:tr>
      <w:tr w14:paraId="5E679B2A">
        <w:tblPrEx>
          <w:tblBorders>
            <w:top w:val="single" w:color="FF0000" w:sz="8" w:space="0"/>
            <w:left w:val="single" w:color="FF0000" w:sz="8" w:space="0"/>
            <w:bottom w:val="single" w:color="FF0000" w:sz="8" w:space="0"/>
            <w:right w:val="single" w:color="FF0000" w:sz="8" w:space="0"/>
            <w:insideH w:val="single" w:color="FF0000" w:sz="8" w:space="0"/>
            <w:insideV w:val="single" w:color="FF0000" w:sz="8" w:space="0"/>
          </w:tblBorders>
          <w:tblCellMar>
            <w:top w:w="0" w:type="dxa"/>
            <w:left w:w="108" w:type="dxa"/>
            <w:bottom w:w="0" w:type="dxa"/>
            <w:right w:w="108" w:type="dxa"/>
          </w:tblCellMar>
        </w:tblPrEx>
        <w:trPr>
          <w:trHeight w:val="20" w:hRule="atLeast"/>
          <w:jc w:val="center"/>
        </w:trPr>
        <w:tc>
          <w:tcPr>
            <w:tcW w:w="647" w:type="pct"/>
            <w:vMerge w:val="continue"/>
            <w:shd w:val="clear" w:color="auto" w:fill="auto"/>
            <w:vAlign w:val="center"/>
          </w:tcPr>
          <w:p w14:paraId="5DF80FDB">
            <w:pPr>
              <w:spacing w:before="31" w:beforeLines="10" w:after="62" w:afterLines="20" w:line="280" w:lineRule="exact"/>
              <w:ind w:firstLine="0" w:firstLineChars="0"/>
              <w:jc w:val="center"/>
              <w:rPr>
                <w:rFonts w:hint="eastAsia" w:ascii="汉仪中黑简" w:eastAsia="汉仪中黑简"/>
                <w:bCs/>
                <w:kern w:val="0"/>
                <w:sz w:val="20"/>
              </w:rPr>
            </w:pPr>
          </w:p>
        </w:tc>
        <w:tc>
          <w:tcPr>
            <w:tcW w:w="4352" w:type="pct"/>
            <w:shd w:val="clear" w:color="auto" w:fill="auto"/>
            <w:vAlign w:val="center"/>
          </w:tcPr>
          <w:p w14:paraId="1085219F">
            <w:pPr>
              <w:spacing w:before="31" w:beforeLines="10" w:after="62" w:afterLines="20" w:line="280" w:lineRule="exact"/>
              <w:ind w:firstLine="0" w:firstLineChars="0"/>
              <w:rPr>
                <w:rFonts w:hint="eastAsia" w:ascii="汉仪书宋一简" w:eastAsia="汉仪书宋一简"/>
                <w:b/>
                <w:kern w:val="0"/>
                <w:sz w:val="20"/>
              </w:rPr>
            </w:pPr>
            <w:r>
              <w:rPr>
                <w:rFonts w:hint="eastAsia" w:ascii="汉仪书宋一简" w:eastAsia="汉仪书宋一简"/>
                <w:kern w:val="0"/>
                <w:sz w:val="20"/>
              </w:rPr>
              <w:t>第三人造成工伤：第三人的原因造成工伤，第三人不支付工伤医疗费用或者无法确定第三人的，由工伤保险基金先行支付。工伤保险基金先行支付后，有权向第三人追偿。第三人的侵权责任不因受害人获得社会保险而减轻或者免除</w:t>
            </w:r>
          </w:p>
        </w:tc>
      </w:tr>
      <w:tr w14:paraId="590156D6">
        <w:tblPrEx>
          <w:tblBorders>
            <w:top w:val="single" w:color="FF0000" w:sz="8" w:space="0"/>
            <w:left w:val="single" w:color="FF0000" w:sz="8" w:space="0"/>
            <w:bottom w:val="single" w:color="FF0000" w:sz="8" w:space="0"/>
            <w:right w:val="single" w:color="FF0000" w:sz="8" w:space="0"/>
            <w:insideH w:val="single" w:color="FF0000" w:sz="8" w:space="0"/>
            <w:insideV w:val="single" w:color="FF0000" w:sz="8" w:space="0"/>
          </w:tblBorders>
          <w:tblCellMar>
            <w:top w:w="0" w:type="dxa"/>
            <w:left w:w="108" w:type="dxa"/>
            <w:bottom w:w="0" w:type="dxa"/>
            <w:right w:w="108" w:type="dxa"/>
          </w:tblCellMar>
        </w:tblPrEx>
        <w:trPr>
          <w:trHeight w:val="20" w:hRule="atLeast"/>
          <w:jc w:val="center"/>
        </w:trPr>
        <w:tc>
          <w:tcPr>
            <w:tcW w:w="647" w:type="pct"/>
            <w:shd w:val="clear" w:color="auto" w:fill="auto"/>
            <w:vAlign w:val="center"/>
          </w:tcPr>
          <w:p w14:paraId="47B88242">
            <w:pPr>
              <w:spacing w:before="31" w:beforeLines="10" w:after="62" w:afterLines="20" w:line="280" w:lineRule="exact"/>
              <w:ind w:firstLine="0" w:firstLineChars="0"/>
              <w:jc w:val="center"/>
              <w:rPr>
                <w:rFonts w:hint="eastAsia" w:ascii="汉仪中黑简" w:eastAsia="汉仪中黑简"/>
                <w:bCs/>
                <w:kern w:val="0"/>
                <w:sz w:val="20"/>
              </w:rPr>
            </w:pPr>
            <w:r>
              <w:rPr>
                <w:rFonts w:hint="eastAsia" w:ascii="汉仪中黑简" w:eastAsia="汉仪中黑简"/>
                <w:bCs/>
                <w:kern w:val="0"/>
                <w:sz w:val="20"/>
              </w:rPr>
              <w:t>停止享受工伤待遇</w:t>
            </w:r>
          </w:p>
        </w:tc>
        <w:tc>
          <w:tcPr>
            <w:tcW w:w="4352" w:type="pct"/>
            <w:shd w:val="clear" w:color="auto" w:fill="auto"/>
            <w:vAlign w:val="center"/>
          </w:tcPr>
          <w:p w14:paraId="0C69FC51">
            <w:pPr>
              <w:spacing w:before="31" w:beforeLines="10" w:after="62" w:afterLines="20" w:line="280" w:lineRule="exact"/>
              <w:ind w:firstLine="0" w:firstLineChars="0"/>
              <w:rPr>
                <w:rFonts w:hint="eastAsia" w:ascii="汉仪书宋一简" w:eastAsia="汉仪书宋一简"/>
                <w:kern w:val="0"/>
                <w:sz w:val="20"/>
              </w:rPr>
            </w:pPr>
            <w:r>
              <w:rPr>
                <w:rFonts w:hint="eastAsia" w:ascii="汉仪书宋一简" w:eastAsia="汉仪书宋一简"/>
                <w:kern w:val="0"/>
                <w:sz w:val="20"/>
              </w:rPr>
              <w:t>工伤职工有下列情形之一的，停止享受工伤保险待遇：（1）丧失享受待遇条件的；（2）拒不接受劳动能力鉴定的；（3）拒绝治疗的</w:t>
            </w:r>
          </w:p>
        </w:tc>
      </w:tr>
    </w:tbl>
    <w:p w14:paraId="298B21ED">
      <w:pPr>
        <w:ind w:firstLine="420"/>
        <w:rPr>
          <w:rFonts w:hint="eastAsia" w:ascii="汉仪书宋二简"/>
          <w:b/>
        </w:rPr>
      </w:pPr>
    </w:p>
    <w:p w14:paraId="236D3E6A">
      <w:pPr>
        <w:pStyle w:val="4"/>
        <w:ind w:firstLine="288" w:firstLineChars="120"/>
        <w:jc w:val="both"/>
        <w:rPr>
          <w:rFonts w:hint="eastAsia"/>
        </w:rPr>
      </w:pPr>
      <w:r>
        <w:rPr>
          <w:rFonts w:hint="eastAsia"/>
        </w:rPr>
        <w:t>（三）基本养老保险</w:t>
      </w:r>
    </w:p>
    <w:p w14:paraId="1D728323">
      <w:pPr>
        <w:ind w:firstLine="420"/>
        <w:rPr>
          <w:rFonts w:hint="eastAsia" w:ascii="汉仪书宋二简"/>
          <w:b/>
        </w:rPr>
      </w:pPr>
    </w:p>
    <w:tbl>
      <w:tblPr>
        <w:tblStyle w:val="7"/>
        <w:tblW w:w="8505" w:type="dxa"/>
        <w:jc w:val="center"/>
        <w:tblBorders>
          <w:top w:val="single" w:color="FF0000" w:sz="8" w:space="0"/>
          <w:left w:val="single" w:color="FF0000" w:sz="8" w:space="0"/>
          <w:bottom w:val="single" w:color="FF0000" w:sz="8" w:space="0"/>
          <w:right w:val="single" w:color="FF0000" w:sz="8" w:space="0"/>
          <w:insideH w:val="single" w:color="FF0000" w:sz="8" w:space="0"/>
          <w:insideV w:val="single" w:color="FF0000" w:sz="8" w:space="0"/>
        </w:tblBorders>
        <w:tblLayout w:type="autofit"/>
        <w:tblCellMar>
          <w:top w:w="0" w:type="dxa"/>
          <w:left w:w="108" w:type="dxa"/>
          <w:bottom w:w="0" w:type="dxa"/>
          <w:right w:w="108" w:type="dxa"/>
        </w:tblCellMar>
      </w:tblPr>
      <w:tblGrid>
        <w:gridCol w:w="1106"/>
        <w:gridCol w:w="7399"/>
      </w:tblGrid>
      <w:tr w14:paraId="26798BE2">
        <w:tblPrEx>
          <w:tblBorders>
            <w:top w:val="single" w:color="FF0000" w:sz="8" w:space="0"/>
            <w:left w:val="single" w:color="FF0000" w:sz="8" w:space="0"/>
            <w:bottom w:val="single" w:color="FF0000" w:sz="8" w:space="0"/>
            <w:right w:val="single" w:color="FF0000" w:sz="8" w:space="0"/>
            <w:insideH w:val="single" w:color="FF0000" w:sz="8" w:space="0"/>
            <w:insideV w:val="single" w:color="FF0000" w:sz="8" w:space="0"/>
          </w:tblBorders>
          <w:tblCellMar>
            <w:top w:w="0" w:type="dxa"/>
            <w:left w:w="108" w:type="dxa"/>
            <w:bottom w:w="0" w:type="dxa"/>
            <w:right w:w="108" w:type="dxa"/>
          </w:tblCellMar>
        </w:tblPrEx>
        <w:trPr>
          <w:trHeight w:val="20" w:hRule="atLeast"/>
          <w:jc w:val="center"/>
        </w:trPr>
        <w:tc>
          <w:tcPr>
            <w:tcW w:w="650" w:type="pct"/>
            <w:vMerge w:val="restart"/>
            <w:shd w:val="clear" w:color="auto" w:fill="auto"/>
            <w:vAlign w:val="center"/>
          </w:tcPr>
          <w:p w14:paraId="310026D9">
            <w:pPr>
              <w:spacing w:before="31" w:beforeLines="10" w:after="62" w:afterLines="20" w:line="280" w:lineRule="exact"/>
              <w:ind w:firstLine="0" w:firstLineChars="0"/>
              <w:jc w:val="center"/>
              <w:rPr>
                <w:rFonts w:hint="eastAsia" w:ascii="汉仪中黑简" w:eastAsia="汉仪中黑简"/>
                <w:bCs/>
                <w:kern w:val="0"/>
                <w:sz w:val="20"/>
              </w:rPr>
            </w:pPr>
            <w:r>
              <w:rPr>
                <w:rFonts w:hint="eastAsia" w:ascii="汉仪中黑简" w:eastAsia="汉仪中黑简"/>
                <w:bCs/>
                <w:kern w:val="0"/>
                <w:sz w:val="20"/>
              </w:rPr>
              <w:t>参保</w:t>
            </w:r>
          </w:p>
        </w:tc>
        <w:tc>
          <w:tcPr>
            <w:tcW w:w="4349" w:type="pct"/>
            <w:shd w:val="clear" w:color="auto" w:fill="auto"/>
            <w:vAlign w:val="center"/>
          </w:tcPr>
          <w:p w14:paraId="6DDF3177">
            <w:pPr>
              <w:spacing w:before="31" w:beforeLines="10" w:after="62" w:afterLines="20" w:line="280" w:lineRule="exact"/>
              <w:ind w:firstLine="0" w:firstLineChars="0"/>
              <w:rPr>
                <w:rFonts w:hint="eastAsia" w:ascii="汉仪书宋一简" w:eastAsia="汉仪书宋一简"/>
                <w:kern w:val="0"/>
                <w:sz w:val="20"/>
              </w:rPr>
            </w:pPr>
            <w:r>
              <w:rPr>
                <w:rFonts w:hint="eastAsia" w:ascii="汉仪书宋一简" w:eastAsia="汉仪书宋一简"/>
                <w:kern w:val="0"/>
                <w:sz w:val="20"/>
              </w:rPr>
              <w:t>职工应当参加基本养老保险，由用人单位和职工共同缴纳基本养老保险费</w:t>
            </w:r>
          </w:p>
        </w:tc>
      </w:tr>
      <w:tr w14:paraId="2EC3A685">
        <w:tblPrEx>
          <w:tblBorders>
            <w:top w:val="single" w:color="FF0000" w:sz="8" w:space="0"/>
            <w:left w:val="single" w:color="FF0000" w:sz="8" w:space="0"/>
            <w:bottom w:val="single" w:color="FF0000" w:sz="8" w:space="0"/>
            <w:right w:val="single" w:color="FF0000" w:sz="8" w:space="0"/>
            <w:insideH w:val="single" w:color="FF0000" w:sz="8" w:space="0"/>
            <w:insideV w:val="single" w:color="FF0000" w:sz="8" w:space="0"/>
          </w:tblBorders>
          <w:tblCellMar>
            <w:top w:w="0" w:type="dxa"/>
            <w:left w:w="108" w:type="dxa"/>
            <w:bottom w:w="0" w:type="dxa"/>
            <w:right w:w="108" w:type="dxa"/>
          </w:tblCellMar>
        </w:tblPrEx>
        <w:trPr>
          <w:trHeight w:val="20" w:hRule="atLeast"/>
          <w:jc w:val="center"/>
        </w:trPr>
        <w:tc>
          <w:tcPr>
            <w:tcW w:w="650" w:type="pct"/>
            <w:vMerge w:val="continue"/>
            <w:shd w:val="clear" w:color="auto" w:fill="auto"/>
            <w:vAlign w:val="center"/>
          </w:tcPr>
          <w:p w14:paraId="1FF81513">
            <w:pPr>
              <w:spacing w:before="31" w:beforeLines="10" w:after="62" w:afterLines="20" w:line="280" w:lineRule="exact"/>
              <w:ind w:firstLine="0" w:firstLineChars="0"/>
              <w:jc w:val="center"/>
              <w:rPr>
                <w:rFonts w:hint="eastAsia" w:ascii="汉仪中黑简" w:eastAsia="汉仪中黑简"/>
                <w:bCs/>
                <w:kern w:val="0"/>
                <w:sz w:val="20"/>
              </w:rPr>
            </w:pPr>
          </w:p>
        </w:tc>
        <w:tc>
          <w:tcPr>
            <w:tcW w:w="4349" w:type="pct"/>
            <w:shd w:val="clear" w:color="auto" w:fill="auto"/>
            <w:vAlign w:val="center"/>
          </w:tcPr>
          <w:p w14:paraId="0B4D47AE">
            <w:pPr>
              <w:spacing w:before="31" w:beforeLines="10" w:after="62" w:afterLines="20" w:line="280" w:lineRule="exact"/>
              <w:ind w:firstLine="0" w:firstLineChars="0"/>
              <w:rPr>
                <w:rFonts w:hint="eastAsia" w:ascii="汉仪书宋一简" w:eastAsia="汉仪书宋一简"/>
                <w:kern w:val="0"/>
                <w:sz w:val="20"/>
              </w:rPr>
            </w:pPr>
            <w:r>
              <w:rPr>
                <w:rFonts w:hint="eastAsia" w:ascii="汉仪书宋一简" w:eastAsia="汉仪书宋一简"/>
                <w:kern w:val="0"/>
                <w:sz w:val="20"/>
              </w:rPr>
              <w:t>无雇工的个体工商户、未在用人单位参加基本养老保险的非全日制从业人员以及其他灵活就业人员可以参加基本养老保险，由个人缴纳基本养老保险费</w:t>
            </w:r>
          </w:p>
        </w:tc>
      </w:tr>
      <w:tr w14:paraId="72BFAC67">
        <w:tblPrEx>
          <w:tblBorders>
            <w:top w:val="single" w:color="FF0000" w:sz="8" w:space="0"/>
            <w:left w:val="single" w:color="FF0000" w:sz="8" w:space="0"/>
            <w:bottom w:val="single" w:color="FF0000" w:sz="8" w:space="0"/>
            <w:right w:val="single" w:color="FF0000" w:sz="8" w:space="0"/>
            <w:insideH w:val="single" w:color="FF0000" w:sz="8" w:space="0"/>
            <w:insideV w:val="single" w:color="FF0000" w:sz="8" w:space="0"/>
          </w:tblBorders>
          <w:tblCellMar>
            <w:top w:w="0" w:type="dxa"/>
            <w:left w:w="108" w:type="dxa"/>
            <w:bottom w:w="0" w:type="dxa"/>
            <w:right w:w="108" w:type="dxa"/>
          </w:tblCellMar>
        </w:tblPrEx>
        <w:trPr>
          <w:trHeight w:val="20" w:hRule="atLeast"/>
          <w:jc w:val="center"/>
        </w:trPr>
        <w:tc>
          <w:tcPr>
            <w:tcW w:w="650" w:type="pct"/>
            <w:vMerge w:val="restart"/>
            <w:shd w:val="clear" w:color="auto" w:fill="auto"/>
            <w:vAlign w:val="center"/>
          </w:tcPr>
          <w:p w14:paraId="22D7FAA9">
            <w:pPr>
              <w:spacing w:before="31" w:beforeLines="10" w:after="62" w:afterLines="20" w:line="280" w:lineRule="exact"/>
              <w:ind w:firstLine="0" w:firstLineChars="0"/>
              <w:jc w:val="center"/>
              <w:rPr>
                <w:rFonts w:hint="eastAsia" w:ascii="汉仪中黑简" w:eastAsia="汉仪中黑简"/>
                <w:bCs/>
                <w:kern w:val="0"/>
                <w:sz w:val="20"/>
              </w:rPr>
            </w:pPr>
            <w:r>
              <w:rPr>
                <w:rFonts w:hint="eastAsia" w:ascii="汉仪中黑简" w:eastAsia="汉仪中黑简"/>
                <w:bCs/>
                <w:kern w:val="0"/>
                <w:sz w:val="20"/>
              </w:rPr>
              <w:t>基本养老保险基金</w:t>
            </w:r>
          </w:p>
        </w:tc>
        <w:tc>
          <w:tcPr>
            <w:tcW w:w="4349" w:type="pct"/>
            <w:shd w:val="clear" w:color="auto" w:fill="auto"/>
            <w:vAlign w:val="center"/>
          </w:tcPr>
          <w:p w14:paraId="52B7DDAA">
            <w:pPr>
              <w:spacing w:before="31" w:beforeLines="10" w:after="62" w:afterLines="20" w:line="280" w:lineRule="exact"/>
              <w:ind w:firstLine="0" w:firstLineChars="0"/>
              <w:rPr>
                <w:rFonts w:hint="eastAsia" w:ascii="汉仪书宋一简" w:eastAsia="汉仪书宋一简"/>
                <w:kern w:val="0"/>
                <w:sz w:val="20"/>
              </w:rPr>
            </w:pPr>
            <w:r>
              <w:rPr>
                <w:rFonts w:hint="eastAsia" w:ascii="汉仪书宋一简" w:eastAsia="汉仪书宋一简"/>
                <w:kern w:val="0"/>
                <w:sz w:val="20"/>
              </w:rPr>
              <w:t>用人单位缴纳基本养老保险费，记入基本养老保险统筹基金</w:t>
            </w:r>
          </w:p>
        </w:tc>
      </w:tr>
      <w:tr w14:paraId="3C46CD3E">
        <w:tblPrEx>
          <w:tblBorders>
            <w:top w:val="single" w:color="FF0000" w:sz="8" w:space="0"/>
            <w:left w:val="single" w:color="FF0000" w:sz="8" w:space="0"/>
            <w:bottom w:val="single" w:color="FF0000" w:sz="8" w:space="0"/>
            <w:right w:val="single" w:color="FF0000" w:sz="8" w:space="0"/>
            <w:insideH w:val="single" w:color="FF0000" w:sz="8" w:space="0"/>
            <w:insideV w:val="single" w:color="FF0000" w:sz="8" w:space="0"/>
          </w:tblBorders>
          <w:tblCellMar>
            <w:top w:w="0" w:type="dxa"/>
            <w:left w:w="108" w:type="dxa"/>
            <w:bottom w:w="0" w:type="dxa"/>
            <w:right w:w="108" w:type="dxa"/>
          </w:tblCellMar>
        </w:tblPrEx>
        <w:trPr>
          <w:trHeight w:val="20" w:hRule="atLeast"/>
          <w:jc w:val="center"/>
        </w:trPr>
        <w:tc>
          <w:tcPr>
            <w:tcW w:w="650" w:type="pct"/>
            <w:vMerge w:val="continue"/>
            <w:shd w:val="clear" w:color="auto" w:fill="auto"/>
            <w:vAlign w:val="center"/>
          </w:tcPr>
          <w:p w14:paraId="3E45EFF7">
            <w:pPr>
              <w:spacing w:before="31" w:beforeLines="10" w:after="62" w:afterLines="20" w:line="280" w:lineRule="exact"/>
              <w:ind w:firstLine="0" w:firstLineChars="0"/>
              <w:jc w:val="center"/>
              <w:rPr>
                <w:rFonts w:hint="eastAsia" w:ascii="汉仪中黑简" w:eastAsia="汉仪中黑简"/>
                <w:bCs/>
                <w:kern w:val="0"/>
                <w:sz w:val="20"/>
              </w:rPr>
            </w:pPr>
          </w:p>
        </w:tc>
        <w:tc>
          <w:tcPr>
            <w:tcW w:w="4349" w:type="pct"/>
            <w:shd w:val="clear" w:color="auto" w:fill="auto"/>
            <w:vAlign w:val="center"/>
          </w:tcPr>
          <w:p w14:paraId="1C13BD03">
            <w:pPr>
              <w:spacing w:before="31" w:beforeLines="10" w:after="62" w:afterLines="20" w:line="280" w:lineRule="exact"/>
              <w:ind w:firstLine="0" w:firstLineChars="0"/>
              <w:rPr>
                <w:rFonts w:hint="eastAsia" w:ascii="汉仪书宋一简" w:eastAsia="汉仪书宋一简"/>
                <w:kern w:val="0"/>
                <w:sz w:val="20"/>
              </w:rPr>
            </w:pPr>
            <w:r>
              <w:rPr>
                <w:rFonts w:hint="eastAsia" w:ascii="汉仪书宋一简" w:eastAsia="汉仪书宋一简"/>
                <w:kern w:val="0"/>
                <w:sz w:val="20"/>
              </w:rPr>
              <w:t>职工缴纳基本养老保险费，记入个人账户。个人账户不得提前支取，记账利率不得低于银行定期存款利率，免征利息税。个人死亡的，个人账户余额可以继承</w:t>
            </w:r>
          </w:p>
        </w:tc>
      </w:tr>
      <w:tr w14:paraId="4FFDDB26">
        <w:tblPrEx>
          <w:tblBorders>
            <w:top w:val="single" w:color="FF0000" w:sz="8" w:space="0"/>
            <w:left w:val="single" w:color="FF0000" w:sz="8" w:space="0"/>
            <w:bottom w:val="single" w:color="FF0000" w:sz="8" w:space="0"/>
            <w:right w:val="single" w:color="FF0000" w:sz="8" w:space="0"/>
            <w:insideH w:val="single" w:color="FF0000" w:sz="8" w:space="0"/>
            <w:insideV w:val="single" w:color="FF0000" w:sz="8" w:space="0"/>
          </w:tblBorders>
          <w:tblCellMar>
            <w:top w:w="0" w:type="dxa"/>
            <w:left w:w="108" w:type="dxa"/>
            <w:bottom w:w="0" w:type="dxa"/>
            <w:right w:w="108" w:type="dxa"/>
          </w:tblCellMar>
        </w:tblPrEx>
        <w:trPr>
          <w:trHeight w:val="20" w:hRule="atLeast"/>
          <w:jc w:val="center"/>
        </w:trPr>
        <w:tc>
          <w:tcPr>
            <w:tcW w:w="650" w:type="pct"/>
            <w:vMerge w:val="continue"/>
            <w:shd w:val="clear" w:color="auto" w:fill="auto"/>
            <w:vAlign w:val="center"/>
          </w:tcPr>
          <w:p w14:paraId="033CA35C">
            <w:pPr>
              <w:spacing w:before="31" w:beforeLines="10" w:after="62" w:afterLines="20" w:line="280" w:lineRule="exact"/>
              <w:ind w:firstLine="0" w:firstLineChars="0"/>
              <w:jc w:val="center"/>
              <w:rPr>
                <w:rFonts w:hint="eastAsia" w:ascii="汉仪中黑简" w:eastAsia="汉仪中黑简"/>
                <w:bCs/>
                <w:kern w:val="0"/>
                <w:sz w:val="20"/>
              </w:rPr>
            </w:pPr>
          </w:p>
        </w:tc>
        <w:tc>
          <w:tcPr>
            <w:tcW w:w="4349" w:type="pct"/>
            <w:shd w:val="clear" w:color="auto" w:fill="auto"/>
            <w:vAlign w:val="center"/>
          </w:tcPr>
          <w:p w14:paraId="4853C01C">
            <w:pPr>
              <w:spacing w:before="31" w:beforeLines="10" w:after="62" w:afterLines="20" w:line="280" w:lineRule="exact"/>
              <w:ind w:firstLine="0" w:firstLineChars="0"/>
              <w:rPr>
                <w:rFonts w:hint="eastAsia" w:ascii="汉仪书宋一简" w:eastAsia="汉仪书宋一简"/>
                <w:kern w:val="0"/>
                <w:sz w:val="20"/>
              </w:rPr>
            </w:pPr>
            <w:r>
              <w:rPr>
                <w:rFonts w:hint="eastAsia" w:ascii="汉仪书宋一简" w:eastAsia="汉仪书宋一简"/>
                <w:kern w:val="0"/>
                <w:sz w:val="20"/>
              </w:rPr>
              <w:t>灵活就业人员缴纳基本养老保险费，分别记入基本养老保险统筹基金和个人账户</w:t>
            </w:r>
          </w:p>
        </w:tc>
      </w:tr>
      <w:tr w14:paraId="50A5D50D">
        <w:tblPrEx>
          <w:tblBorders>
            <w:top w:val="single" w:color="FF0000" w:sz="8" w:space="0"/>
            <w:left w:val="single" w:color="FF0000" w:sz="8" w:space="0"/>
            <w:bottom w:val="single" w:color="FF0000" w:sz="8" w:space="0"/>
            <w:right w:val="single" w:color="FF0000" w:sz="8" w:space="0"/>
            <w:insideH w:val="single" w:color="FF0000" w:sz="8" w:space="0"/>
            <w:insideV w:val="single" w:color="FF0000" w:sz="8" w:space="0"/>
          </w:tblBorders>
          <w:tblCellMar>
            <w:top w:w="0" w:type="dxa"/>
            <w:left w:w="108" w:type="dxa"/>
            <w:bottom w:w="0" w:type="dxa"/>
            <w:right w:w="108" w:type="dxa"/>
          </w:tblCellMar>
        </w:tblPrEx>
        <w:trPr>
          <w:trHeight w:val="20" w:hRule="atLeast"/>
          <w:jc w:val="center"/>
        </w:trPr>
        <w:tc>
          <w:tcPr>
            <w:tcW w:w="650" w:type="pct"/>
            <w:vMerge w:val="restart"/>
            <w:shd w:val="clear" w:color="auto" w:fill="auto"/>
            <w:vAlign w:val="center"/>
          </w:tcPr>
          <w:p w14:paraId="58CD1DA4">
            <w:pPr>
              <w:spacing w:before="31" w:beforeLines="10" w:after="62" w:afterLines="20" w:line="280" w:lineRule="exact"/>
              <w:ind w:firstLine="0" w:firstLineChars="0"/>
              <w:jc w:val="center"/>
              <w:rPr>
                <w:rFonts w:hint="eastAsia" w:ascii="汉仪中黑简" w:eastAsia="汉仪中黑简"/>
                <w:bCs/>
                <w:kern w:val="0"/>
                <w:sz w:val="20"/>
              </w:rPr>
            </w:pPr>
            <w:r>
              <w:rPr>
                <w:rFonts w:hint="eastAsia" w:ascii="汉仪中黑简" w:eastAsia="汉仪中黑简"/>
                <w:bCs/>
                <w:kern w:val="0"/>
                <w:sz w:val="20"/>
              </w:rPr>
              <w:t>养老保险待遇</w:t>
            </w:r>
          </w:p>
        </w:tc>
        <w:tc>
          <w:tcPr>
            <w:tcW w:w="4349" w:type="pct"/>
            <w:shd w:val="clear" w:color="auto" w:fill="auto"/>
            <w:vAlign w:val="center"/>
          </w:tcPr>
          <w:p w14:paraId="4FF6F871">
            <w:pPr>
              <w:spacing w:before="31" w:beforeLines="10" w:after="62" w:afterLines="20" w:line="280" w:lineRule="exact"/>
              <w:ind w:firstLine="0" w:firstLineChars="0"/>
              <w:rPr>
                <w:rFonts w:hint="eastAsia" w:ascii="汉仪书宋一简" w:eastAsia="汉仪书宋一简"/>
                <w:b/>
                <w:kern w:val="0"/>
                <w:sz w:val="20"/>
                <w:lang w:eastAsia="zh-CN"/>
              </w:rPr>
            </w:pPr>
            <w:r>
              <w:rPr>
                <w:rFonts w:hint="eastAsia" w:ascii="汉仪书宋一简" w:eastAsia="汉仪书宋一简"/>
                <w:kern w:val="0"/>
                <w:sz w:val="20"/>
              </w:rPr>
              <w:t>基本养老金：参加基本养老保险的个人，达到法定退休年龄时</w:t>
            </w:r>
            <w:r>
              <w:rPr>
                <w:rFonts w:hint="eastAsia" w:ascii="汉仪中黑简" w:hAnsi="楷体" w:eastAsia="汉仪中黑简" w:cs="楷体"/>
                <w:color w:val="FF0000"/>
                <w:kern w:val="0"/>
                <w:sz w:val="20"/>
              </w:rPr>
              <w:t>累计缴费满15年</w:t>
            </w:r>
            <w:r>
              <w:rPr>
                <w:rFonts w:hint="eastAsia" w:ascii="汉仪书宋一简" w:eastAsia="汉仪书宋一简"/>
                <w:kern w:val="0"/>
                <w:sz w:val="20"/>
              </w:rPr>
              <w:t>的，按月领取基本养老金。达到法定退休年龄时累计缴费不足15年的，可以缴费至满15年，按月领取基本养老金；也可以转入新型农村社会养老保险或者城镇居民社会养老保险，享受相应待遇</w:t>
            </w:r>
            <w:r>
              <w:rPr>
                <w:rFonts w:hint="eastAsia" w:ascii="汉仪书宋一简" w:eastAsia="汉仪书宋一简"/>
                <w:color w:val="0000FF"/>
                <w:kern w:val="0"/>
                <w:sz w:val="20"/>
                <w:lang w:eastAsia="zh-CN"/>
              </w:rPr>
              <w:t>（</w:t>
            </w:r>
            <w:r>
              <w:rPr>
                <w:rFonts w:hint="eastAsia" w:ascii="汉仪书宋一简" w:eastAsia="汉仪书宋一简"/>
                <w:color w:val="0000FF"/>
                <w:kern w:val="0"/>
                <w:sz w:val="20"/>
                <w:lang w:val="en-US" w:eastAsia="zh-CN"/>
              </w:rPr>
              <w:t>不足15年可以一次缴纳或按月</w:t>
            </w:r>
            <w:r>
              <w:rPr>
                <w:rFonts w:hint="eastAsia" w:ascii="汉仪书宋一简" w:eastAsia="汉仪书宋一简"/>
                <w:color w:val="0000FF"/>
                <w:kern w:val="0"/>
                <w:sz w:val="20"/>
                <w:lang w:eastAsia="zh-CN"/>
              </w:rPr>
              <w:t>）</w:t>
            </w:r>
          </w:p>
        </w:tc>
      </w:tr>
      <w:tr w14:paraId="03EF4005">
        <w:tblPrEx>
          <w:tblBorders>
            <w:top w:val="single" w:color="FF0000" w:sz="8" w:space="0"/>
            <w:left w:val="single" w:color="FF0000" w:sz="8" w:space="0"/>
            <w:bottom w:val="single" w:color="FF0000" w:sz="8" w:space="0"/>
            <w:right w:val="single" w:color="FF0000" w:sz="8" w:space="0"/>
            <w:insideH w:val="single" w:color="FF0000" w:sz="8" w:space="0"/>
            <w:insideV w:val="single" w:color="FF0000" w:sz="8" w:space="0"/>
          </w:tblBorders>
          <w:tblCellMar>
            <w:top w:w="0" w:type="dxa"/>
            <w:left w:w="108" w:type="dxa"/>
            <w:bottom w:w="0" w:type="dxa"/>
            <w:right w:w="108" w:type="dxa"/>
          </w:tblCellMar>
        </w:tblPrEx>
        <w:trPr>
          <w:trHeight w:val="20" w:hRule="atLeast"/>
          <w:jc w:val="center"/>
        </w:trPr>
        <w:tc>
          <w:tcPr>
            <w:tcW w:w="650" w:type="pct"/>
            <w:vMerge w:val="continue"/>
            <w:shd w:val="clear" w:color="auto" w:fill="auto"/>
            <w:vAlign w:val="center"/>
          </w:tcPr>
          <w:p w14:paraId="04EB30F0">
            <w:pPr>
              <w:spacing w:before="31" w:beforeLines="10" w:after="62" w:afterLines="20" w:line="280" w:lineRule="exact"/>
              <w:ind w:firstLine="0" w:firstLineChars="0"/>
              <w:jc w:val="center"/>
              <w:rPr>
                <w:rFonts w:hint="eastAsia" w:ascii="汉仪中黑简" w:eastAsia="汉仪中黑简"/>
                <w:bCs/>
                <w:kern w:val="0"/>
                <w:sz w:val="20"/>
              </w:rPr>
            </w:pPr>
          </w:p>
        </w:tc>
        <w:tc>
          <w:tcPr>
            <w:tcW w:w="4349" w:type="pct"/>
            <w:shd w:val="clear" w:color="auto" w:fill="auto"/>
            <w:vAlign w:val="center"/>
          </w:tcPr>
          <w:p w14:paraId="4DC1192A">
            <w:pPr>
              <w:spacing w:before="31" w:beforeLines="10" w:after="62" w:afterLines="20" w:line="280" w:lineRule="exact"/>
              <w:ind w:firstLine="0" w:firstLineChars="0"/>
              <w:rPr>
                <w:rFonts w:hint="eastAsia" w:ascii="汉仪书宋一简" w:eastAsia="汉仪书宋一简"/>
                <w:b/>
                <w:kern w:val="0"/>
                <w:sz w:val="20"/>
              </w:rPr>
            </w:pPr>
            <w:r>
              <w:rPr>
                <w:rFonts w:hint="eastAsia" w:ascii="汉仪书宋一简" w:eastAsia="汉仪书宋一简"/>
                <w:kern w:val="0"/>
                <w:sz w:val="20"/>
              </w:rPr>
              <w:t>其他待遇：参加基本养老保险的个人，因病或者非因工死亡的，其遗属可以领取丧葬补助金和抚恤金；在未达到法定退休年龄时因病或者非因工致残完全丧失劳动能力的，可以领取病残津贴。所需资金从基本养老保险基金中支付</w:t>
            </w:r>
          </w:p>
        </w:tc>
      </w:tr>
      <w:tr w14:paraId="6264A61B">
        <w:tblPrEx>
          <w:tblBorders>
            <w:top w:val="single" w:color="FF0000" w:sz="8" w:space="0"/>
            <w:left w:val="single" w:color="FF0000" w:sz="8" w:space="0"/>
            <w:bottom w:val="single" w:color="FF0000" w:sz="8" w:space="0"/>
            <w:right w:val="single" w:color="FF0000" w:sz="8" w:space="0"/>
            <w:insideH w:val="single" w:color="FF0000" w:sz="8" w:space="0"/>
            <w:insideV w:val="single" w:color="FF0000" w:sz="8" w:space="0"/>
          </w:tblBorders>
          <w:tblCellMar>
            <w:top w:w="0" w:type="dxa"/>
            <w:left w:w="108" w:type="dxa"/>
            <w:bottom w:w="0" w:type="dxa"/>
            <w:right w:w="108" w:type="dxa"/>
          </w:tblCellMar>
        </w:tblPrEx>
        <w:trPr>
          <w:trHeight w:val="20" w:hRule="atLeast"/>
          <w:jc w:val="center"/>
        </w:trPr>
        <w:tc>
          <w:tcPr>
            <w:tcW w:w="650" w:type="pct"/>
            <w:shd w:val="clear" w:color="auto" w:fill="auto"/>
            <w:vAlign w:val="center"/>
          </w:tcPr>
          <w:p w14:paraId="0C77B88A">
            <w:pPr>
              <w:spacing w:before="31" w:beforeLines="10" w:after="62" w:afterLines="20" w:line="280" w:lineRule="exact"/>
              <w:ind w:firstLine="0" w:firstLineChars="0"/>
              <w:jc w:val="center"/>
              <w:rPr>
                <w:rFonts w:hint="eastAsia" w:ascii="汉仪中黑简" w:eastAsia="汉仪中黑简"/>
                <w:bCs/>
                <w:kern w:val="0"/>
                <w:sz w:val="20"/>
              </w:rPr>
            </w:pPr>
            <w:r>
              <w:rPr>
                <w:rFonts w:hint="eastAsia" w:ascii="汉仪中黑简" w:eastAsia="汉仪中黑简"/>
                <w:bCs/>
                <w:kern w:val="0"/>
                <w:sz w:val="20"/>
              </w:rPr>
              <w:t>异地结转</w:t>
            </w:r>
          </w:p>
        </w:tc>
        <w:tc>
          <w:tcPr>
            <w:tcW w:w="4349" w:type="pct"/>
            <w:shd w:val="clear" w:color="auto" w:fill="auto"/>
            <w:vAlign w:val="center"/>
          </w:tcPr>
          <w:p w14:paraId="67EF4CDD">
            <w:pPr>
              <w:spacing w:before="31" w:beforeLines="10" w:after="62" w:afterLines="20" w:line="280" w:lineRule="exact"/>
              <w:ind w:firstLine="0" w:firstLineChars="0"/>
              <w:rPr>
                <w:rFonts w:hint="eastAsia" w:ascii="汉仪书宋一简" w:eastAsia="汉仪书宋一简"/>
                <w:b/>
                <w:kern w:val="0"/>
                <w:sz w:val="20"/>
              </w:rPr>
            </w:pPr>
            <w:r>
              <w:rPr>
                <w:rFonts w:hint="eastAsia" w:ascii="汉仪书宋一简" w:eastAsia="汉仪书宋一简"/>
                <w:kern w:val="0"/>
                <w:sz w:val="20"/>
              </w:rPr>
              <w:t>个人跨统筹地区就业的，其基本养老保险关系随本人转移，</w:t>
            </w:r>
            <w:r>
              <w:rPr>
                <w:rFonts w:hint="eastAsia" w:ascii="汉仪书宋一简" w:hAnsi="楷体" w:eastAsia="汉仪中黑简" w:cs="楷体"/>
                <w:color w:val="FF0000"/>
                <w:kern w:val="0"/>
                <w:sz w:val="20"/>
              </w:rPr>
              <w:t>缴费年限累计计算</w:t>
            </w:r>
            <w:r>
              <w:rPr>
                <w:rFonts w:hint="eastAsia" w:ascii="汉仪书宋一简" w:eastAsia="汉仪书宋一简"/>
                <w:kern w:val="0"/>
                <w:sz w:val="20"/>
              </w:rPr>
              <w:t>。个人达到法定退休年龄时，基本养老金分段计算、统一支付。具体办法由国务院规定</w:t>
            </w:r>
          </w:p>
        </w:tc>
      </w:tr>
    </w:tbl>
    <w:p w14:paraId="4A454242">
      <w:pPr>
        <w:pStyle w:val="4"/>
        <w:ind w:firstLine="288" w:firstLineChars="120"/>
        <w:jc w:val="both"/>
        <w:rPr>
          <w:rFonts w:hint="eastAsia"/>
        </w:rPr>
      </w:pPr>
      <w:r>
        <w:rPr>
          <w:rFonts w:hint="eastAsia"/>
        </w:rPr>
        <w:t>（四）失业保险</w:t>
      </w:r>
    </w:p>
    <w:p w14:paraId="3D342B7D">
      <w:pPr>
        <w:ind w:firstLine="420"/>
        <w:rPr>
          <w:rFonts w:hint="eastAsia" w:ascii="汉仪书宋二简"/>
          <w:b/>
        </w:rPr>
      </w:pPr>
    </w:p>
    <w:tbl>
      <w:tblPr>
        <w:tblStyle w:val="7"/>
        <w:tblW w:w="8505" w:type="dxa"/>
        <w:jc w:val="center"/>
        <w:tblBorders>
          <w:top w:val="single" w:color="FF0000" w:sz="8" w:space="0"/>
          <w:left w:val="single" w:color="FF0000" w:sz="8" w:space="0"/>
          <w:bottom w:val="single" w:color="FF0000" w:sz="8" w:space="0"/>
          <w:right w:val="single" w:color="FF0000" w:sz="8" w:space="0"/>
          <w:insideH w:val="single" w:color="FF0000" w:sz="8" w:space="0"/>
          <w:insideV w:val="single" w:color="FF0000" w:sz="8" w:space="0"/>
        </w:tblBorders>
        <w:tblLayout w:type="autofit"/>
        <w:tblCellMar>
          <w:top w:w="0" w:type="dxa"/>
          <w:left w:w="108" w:type="dxa"/>
          <w:bottom w:w="0" w:type="dxa"/>
          <w:right w:w="108" w:type="dxa"/>
        </w:tblCellMar>
      </w:tblPr>
      <w:tblGrid>
        <w:gridCol w:w="1126"/>
        <w:gridCol w:w="7379"/>
      </w:tblGrid>
      <w:tr w14:paraId="36D40562">
        <w:tblPrEx>
          <w:tblBorders>
            <w:top w:val="single" w:color="FF0000" w:sz="8" w:space="0"/>
            <w:left w:val="single" w:color="FF0000" w:sz="8" w:space="0"/>
            <w:bottom w:val="single" w:color="FF0000" w:sz="8" w:space="0"/>
            <w:right w:val="single" w:color="FF0000" w:sz="8" w:space="0"/>
            <w:insideH w:val="single" w:color="FF0000" w:sz="8" w:space="0"/>
            <w:insideV w:val="single" w:color="FF0000" w:sz="8" w:space="0"/>
          </w:tblBorders>
          <w:tblCellMar>
            <w:top w:w="0" w:type="dxa"/>
            <w:left w:w="108" w:type="dxa"/>
            <w:bottom w:w="0" w:type="dxa"/>
            <w:right w:w="108" w:type="dxa"/>
          </w:tblCellMar>
        </w:tblPrEx>
        <w:trPr>
          <w:trHeight w:val="20" w:hRule="atLeast"/>
          <w:jc w:val="center"/>
        </w:trPr>
        <w:tc>
          <w:tcPr>
            <w:tcW w:w="662" w:type="pct"/>
            <w:shd w:val="clear" w:color="auto" w:fill="auto"/>
            <w:vAlign w:val="center"/>
          </w:tcPr>
          <w:p w14:paraId="5E0BBFC2">
            <w:pPr>
              <w:spacing w:before="31" w:beforeLines="10" w:after="62" w:afterLines="20" w:line="280" w:lineRule="exact"/>
              <w:ind w:firstLine="0" w:firstLineChars="0"/>
              <w:jc w:val="center"/>
              <w:rPr>
                <w:rFonts w:hint="eastAsia" w:ascii="汉仪中黑简" w:eastAsia="汉仪中黑简"/>
                <w:bCs/>
                <w:kern w:val="0"/>
                <w:sz w:val="20"/>
              </w:rPr>
            </w:pPr>
            <w:r>
              <w:rPr>
                <w:rFonts w:hint="eastAsia" w:ascii="汉仪中黑简" w:eastAsia="汉仪中黑简"/>
                <w:bCs/>
                <w:kern w:val="0"/>
                <w:sz w:val="20"/>
              </w:rPr>
              <w:t>参保</w:t>
            </w:r>
          </w:p>
        </w:tc>
        <w:tc>
          <w:tcPr>
            <w:tcW w:w="4337" w:type="pct"/>
            <w:shd w:val="clear" w:color="auto" w:fill="auto"/>
            <w:vAlign w:val="center"/>
          </w:tcPr>
          <w:p w14:paraId="03C850E5">
            <w:pPr>
              <w:spacing w:before="31" w:beforeLines="10" w:after="62" w:afterLines="20" w:line="280" w:lineRule="exact"/>
              <w:ind w:firstLine="0" w:firstLineChars="0"/>
              <w:rPr>
                <w:rFonts w:hint="eastAsia" w:ascii="汉仪书宋一简" w:eastAsia="汉仪书宋一简"/>
                <w:kern w:val="0"/>
                <w:sz w:val="20"/>
              </w:rPr>
            </w:pPr>
            <w:r>
              <w:rPr>
                <w:rFonts w:hint="eastAsia" w:ascii="汉仪书宋一简" w:eastAsia="汉仪书宋一简"/>
                <w:kern w:val="0"/>
                <w:sz w:val="20"/>
              </w:rPr>
              <w:t>职工应当参加失业保险，由用人单位和职工按照国家规定共同缴纳失业保险费</w:t>
            </w:r>
          </w:p>
        </w:tc>
      </w:tr>
      <w:tr w14:paraId="049851A8">
        <w:tblPrEx>
          <w:tblBorders>
            <w:top w:val="single" w:color="FF0000" w:sz="8" w:space="0"/>
            <w:left w:val="single" w:color="FF0000" w:sz="8" w:space="0"/>
            <w:bottom w:val="single" w:color="FF0000" w:sz="8" w:space="0"/>
            <w:right w:val="single" w:color="FF0000" w:sz="8" w:space="0"/>
            <w:insideH w:val="single" w:color="FF0000" w:sz="8" w:space="0"/>
            <w:insideV w:val="single" w:color="FF0000" w:sz="8" w:space="0"/>
          </w:tblBorders>
          <w:tblCellMar>
            <w:top w:w="0" w:type="dxa"/>
            <w:left w:w="108" w:type="dxa"/>
            <w:bottom w:w="0" w:type="dxa"/>
            <w:right w:w="108" w:type="dxa"/>
          </w:tblCellMar>
        </w:tblPrEx>
        <w:trPr>
          <w:trHeight w:val="20" w:hRule="atLeast"/>
          <w:jc w:val="center"/>
        </w:trPr>
        <w:tc>
          <w:tcPr>
            <w:tcW w:w="662" w:type="pct"/>
            <w:shd w:val="clear" w:color="auto" w:fill="auto"/>
            <w:vAlign w:val="center"/>
          </w:tcPr>
          <w:p w14:paraId="7EDF502C">
            <w:pPr>
              <w:spacing w:before="31" w:beforeLines="10" w:after="62" w:afterLines="20" w:line="280" w:lineRule="exact"/>
              <w:ind w:firstLine="0" w:firstLineChars="0"/>
              <w:jc w:val="center"/>
              <w:rPr>
                <w:rFonts w:hint="eastAsia" w:ascii="汉仪中黑简" w:eastAsia="汉仪中黑简"/>
                <w:bCs/>
                <w:kern w:val="0"/>
                <w:sz w:val="20"/>
              </w:rPr>
            </w:pPr>
            <w:r>
              <w:rPr>
                <w:rFonts w:hint="eastAsia" w:ascii="汉仪中黑简" w:eastAsia="汉仪中黑简"/>
                <w:bCs/>
                <w:kern w:val="0"/>
                <w:sz w:val="20"/>
              </w:rPr>
              <w:t>领取失业保险金条件</w:t>
            </w:r>
          </w:p>
        </w:tc>
        <w:tc>
          <w:tcPr>
            <w:tcW w:w="4337" w:type="pct"/>
            <w:shd w:val="clear" w:color="auto" w:fill="auto"/>
            <w:vAlign w:val="center"/>
          </w:tcPr>
          <w:p w14:paraId="6EF8A416">
            <w:pPr>
              <w:spacing w:before="31" w:beforeLines="10" w:after="62" w:afterLines="20" w:line="280" w:lineRule="exact"/>
              <w:ind w:firstLine="0" w:firstLineChars="0"/>
              <w:rPr>
                <w:rFonts w:hint="eastAsia" w:ascii="汉仪书宋一简" w:eastAsia="汉仪书宋一简"/>
                <w:kern w:val="0"/>
                <w:sz w:val="20"/>
              </w:rPr>
            </w:pPr>
            <w:r>
              <w:rPr>
                <w:rFonts w:hint="eastAsia" w:ascii="汉仪书宋一简" w:eastAsia="汉仪书宋一简"/>
                <w:kern w:val="0"/>
                <w:sz w:val="20"/>
              </w:rPr>
              <w:t>失业人员符合下列条件的，从失业保险基金中领取失业保险金：</w:t>
            </w:r>
          </w:p>
          <w:p w14:paraId="65CBFB91">
            <w:pPr>
              <w:spacing w:before="31" w:beforeLines="10" w:after="62" w:afterLines="20" w:line="280" w:lineRule="exact"/>
              <w:ind w:firstLine="0" w:firstLineChars="0"/>
              <w:rPr>
                <w:rFonts w:hint="eastAsia" w:ascii="汉仪书宋一简" w:eastAsia="汉仪书宋一简"/>
                <w:kern w:val="0"/>
                <w:sz w:val="20"/>
              </w:rPr>
            </w:pPr>
            <w:r>
              <w:rPr>
                <w:rFonts w:hint="eastAsia" w:ascii="汉仪书宋一简" w:eastAsia="汉仪书宋一简"/>
                <w:kern w:val="0"/>
                <w:sz w:val="20"/>
              </w:rPr>
              <w:t>（1）失业前用人单位和本人已经缴纳失业保险费满1年的</w:t>
            </w:r>
          </w:p>
          <w:p w14:paraId="30079293">
            <w:pPr>
              <w:spacing w:before="31" w:beforeLines="10" w:after="62" w:afterLines="20" w:line="280" w:lineRule="exact"/>
              <w:ind w:firstLine="0" w:firstLineChars="0"/>
              <w:rPr>
                <w:rFonts w:hint="eastAsia" w:ascii="汉仪书宋一简" w:eastAsia="汉仪书宋一简"/>
                <w:color w:val="0000FF"/>
                <w:kern w:val="0"/>
                <w:sz w:val="20"/>
              </w:rPr>
            </w:pPr>
            <w:r>
              <w:rPr>
                <w:rFonts w:hint="eastAsia" w:ascii="汉仪书宋一简" w:eastAsia="汉仪书宋一简"/>
                <w:color w:val="0000FF"/>
                <w:kern w:val="0"/>
                <w:sz w:val="20"/>
              </w:rPr>
              <w:t>（2）非因本人意愿中断就业的</w:t>
            </w:r>
          </w:p>
          <w:p w14:paraId="5813A470">
            <w:pPr>
              <w:spacing w:before="31" w:beforeLines="10" w:after="62" w:afterLines="20" w:line="280" w:lineRule="exact"/>
              <w:ind w:firstLine="0" w:firstLineChars="0"/>
              <w:rPr>
                <w:rFonts w:hint="eastAsia" w:ascii="汉仪书宋一简" w:eastAsia="汉仪书宋一简"/>
                <w:kern w:val="0"/>
                <w:sz w:val="20"/>
              </w:rPr>
            </w:pPr>
            <w:r>
              <w:rPr>
                <w:rFonts w:hint="eastAsia" w:ascii="汉仪书宋一简" w:eastAsia="汉仪书宋一简"/>
                <w:color w:val="0000FF"/>
                <w:kern w:val="0"/>
                <w:sz w:val="20"/>
              </w:rPr>
              <w:t>（3）已经进行失业登记，并有求职要求的</w:t>
            </w:r>
          </w:p>
        </w:tc>
      </w:tr>
      <w:tr w14:paraId="46EE2DA3">
        <w:tblPrEx>
          <w:tblBorders>
            <w:top w:val="single" w:color="FF0000" w:sz="8" w:space="0"/>
            <w:left w:val="single" w:color="FF0000" w:sz="8" w:space="0"/>
            <w:bottom w:val="single" w:color="FF0000" w:sz="8" w:space="0"/>
            <w:right w:val="single" w:color="FF0000" w:sz="8" w:space="0"/>
            <w:insideH w:val="single" w:color="FF0000" w:sz="8" w:space="0"/>
            <w:insideV w:val="single" w:color="FF0000" w:sz="8" w:space="0"/>
          </w:tblBorders>
          <w:tblCellMar>
            <w:top w:w="0" w:type="dxa"/>
            <w:left w:w="108" w:type="dxa"/>
            <w:bottom w:w="0" w:type="dxa"/>
            <w:right w:w="108" w:type="dxa"/>
          </w:tblCellMar>
        </w:tblPrEx>
        <w:trPr>
          <w:trHeight w:val="20" w:hRule="atLeast"/>
          <w:jc w:val="center"/>
        </w:trPr>
        <w:tc>
          <w:tcPr>
            <w:tcW w:w="662" w:type="pct"/>
            <w:vMerge w:val="restart"/>
            <w:shd w:val="clear" w:color="auto" w:fill="auto"/>
            <w:vAlign w:val="center"/>
          </w:tcPr>
          <w:p w14:paraId="62813BE6">
            <w:pPr>
              <w:spacing w:before="31" w:beforeLines="10" w:after="62" w:afterLines="20" w:line="280" w:lineRule="exact"/>
              <w:ind w:firstLine="0" w:firstLineChars="0"/>
              <w:jc w:val="center"/>
              <w:rPr>
                <w:rFonts w:hint="eastAsia" w:ascii="汉仪中黑简" w:eastAsia="汉仪中黑简"/>
                <w:bCs/>
                <w:kern w:val="0"/>
                <w:sz w:val="20"/>
              </w:rPr>
            </w:pPr>
            <w:r>
              <w:rPr>
                <w:rFonts w:hint="eastAsia" w:ascii="汉仪中黑简" w:eastAsia="汉仪中黑简"/>
                <w:bCs/>
                <w:kern w:val="0"/>
                <w:sz w:val="20"/>
              </w:rPr>
              <w:t>领取失业保险金年限</w:t>
            </w:r>
          </w:p>
        </w:tc>
        <w:tc>
          <w:tcPr>
            <w:tcW w:w="4337" w:type="pct"/>
            <w:shd w:val="clear" w:color="auto" w:fill="auto"/>
            <w:vAlign w:val="center"/>
          </w:tcPr>
          <w:p w14:paraId="12E3C44B">
            <w:pPr>
              <w:spacing w:before="31" w:beforeLines="10" w:after="62" w:afterLines="20" w:line="280" w:lineRule="exact"/>
              <w:ind w:firstLine="0" w:firstLineChars="0"/>
              <w:rPr>
                <w:rFonts w:hint="eastAsia" w:ascii="汉仪书宋一简" w:eastAsia="汉仪书宋一简"/>
                <w:b/>
                <w:kern w:val="0"/>
                <w:sz w:val="20"/>
              </w:rPr>
            </w:pPr>
            <w:r>
              <w:rPr>
                <w:rFonts w:hint="eastAsia" w:ascii="汉仪书宋一简" w:eastAsia="汉仪书宋一简"/>
                <w:kern w:val="0"/>
                <w:sz w:val="20"/>
              </w:rPr>
              <w:t>累计缴费满1年不足5年的，领取失业保险金的期限最长为12个月</w:t>
            </w:r>
          </w:p>
        </w:tc>
      </w:tr>
      <w:tr w14:paraId="3E78C358">
        <w:tblPrEx>
          <w:tblBorders>
            <w:top w:val="single" w:color="FF0000" w:sz="8" w:space="0"/>
            <w:left w:val="single" w:color="FF0000" w:sz="8" w:space="0"/>
            <w:bottom w:val="single" w:color="FF0000" w:sz="8" w:space="0"/>
            <w:right w:val="single" w:color="FF0000" w:sz="8" w:space="0"/>
            <w:insideH w:val="single" w:color="FF0000" w:sz="8" w:space="0"/>
            <w:insideV w:val="single" w:color="FF0000" w:sz="8" w:space="0"/>
          </w:tblBorders>
          <w:tblCellMar>
            <w:top w:w="0" w:type="dxa"/>
            <w:left w:w="108" w:type="dxa"/>
            <w:bottom w:w="0" w:type="dxa"/>
            <w:right w:w="108" w:type="dxa"/>
          </w:tblCellMar>
        </w:tblPrEx>
        <w:trPr>
          <w:trHeight w:val="20" w:hRule="atLeast"/>
          <w:jc w:val="center"/>
        </w:trPr>
        <w:tc>
          <w:tcPr>
            <w:tcW w:w="662" w:type="pct"/>
            <w:vMerge w:val="continue"/>
            <w:shd w:val="clear" w:color="auto" w:fill="auto"/>
            <w:vAlign w:val="center"/>
          </w:tcPr>
          <w:p w14:paraId="3A59AF7D">
            <w:pPr>
              <w:spacing w:before="31" w:beforeLines="10" w:after="62" w:afterLines="20" w:line="280" w:lineRule="exact"/>
              <w:ind w:firstLine="0" w:firstLineChars="0"/>
              <w:jc w:val="center"/>
              <w:rPr>
                <w:rFonts w:hint="eastAsia" w:ascii="汉仪中黑简" w:eastAsia="汉仪中黑简"/>
                <w:bCs/>
                <w:kern w:val="0"/>
                <w:sz w:val="20"/>
              </w:rPr>
            </w:pPr>
          </w:p>
        </w:tc>
        <w:tc>
          <w:tcPr>
            <w:tcW w:w="4337" w:type="pct"/>
            <w:shd w:val="clear" w:color="auto" w:fill="auto"/>
            <w:vAlign w:val="center"/>
          </w:tcPr>
          <w:p w14:paraId="1DAE301E">
            <w:pPr>
              <w:spacing w:before="31" w:beforeLines="10" w:after="62" w:afterLines="20" w:line="280" w:lineRule="exact"/>
              <w:ind w:firstLine="0" w:firstLineChars="0"/>
              <w:rPr>
                <w:rFonts w:hint="eastAsia" w:ascii="汉仪书宋一简" w:eastAsia="汉仪书宋一简"/>
                <w:kern w:val="0"/>
                <w:sz w:val="20"/>
              </w:rPr>
            </w:pPr>
            <w:r>
              <w:rPr>
                <w:rFonts w:hint="eastAsia" w:ascii="汉仪书宋一简" w:eastAsia="汉仪书宋一简"/>
                <w:kern w:val="0"/>
                <w:sz w:val="20"/>
              </w:rPr>
              <w:t>累计缴费满5年不足10年的，领取失业保险金的期限最长为18个月</w:t>
            </w:r>
          </w:p>
        </w:tc>
      </w:tr>
      <w:tr w14:paraId="4DAD40B1">
        <w:tblPrEx>
          <w:tblBorders>
            <w:top w:val="single" w:color="FF0000" w:sz="8" w:space="0"/>
            <w:left w:val="single" w:color="FF0000" w:sz="8" w:space="0"/>
            <w:bottom w:val="single" w:color="FF0000" w:sz="8" w:space="0"/>
            <w:right w:val="single" w:color="FF0000" w:sz="8" w:space="0"/>
            <w:insideH w:val="single" w:color="FF0000" w:sz="8" w:space="0"/>
            <w:insideV w:val="single" w:color="FF0000" w:sz="8" w:space="0"/>
          </w:tblBorders>
          <w:tblCellMar>
            <w:top w:w="0" w:type="dxa"/>
            <w:left w:w="108" w:type="dxa"/>
            <w:bottom w:w="0" w:type="dxa"/>
            <w:right w:w="108" w:type="dxa"/>
          </w:tblCellMar>
        </w:tblPrEx>
        <w:trPr>
          <w:trHeight w:val="20" w:hRule="atLeast"/>
          <w:jc w:val="center"/>
        </w:trPr>
        <w:tc>
          <w:tcPr>
            <w:tcW w:w="662" w:type="pct"/>
            <w:vMerge w:val="continue"/>
            <w:shd w:val="clear" w:color="auto" w:fill="auto"/>
            <w:vAlign w:val="center"/>
          </w:tcPr>
          <w:p w14:paraId="39EAD5A5">
            <w:pPr>
              <w:spacing w:before="31" w:beforeLines="10" w:after="62" w:afterLines="20" w:line="280" w:lineRule="exact"/>
              <w:ind w:firstLine="0" w:firstLineChars="0"/>
              <w:jc w:val="center"/>
              <w:rPr>
                <w:rFonts w:hint="eastAsia" w:ascii="汉仪中黑简" w:eastAsia="汉仪中黑简"/>
                <w:bCs/>
                <w:kern w:val="0"/>
                <w:sz w:val="20"/>
              </w:rPr>
            </w:pPr>
          </w:p>
        </w:tc>
        <w:tc>
          <w:tcPr>
            <w:tcW w:w="4337" w:type="pct"/>
            <w:shd w:val="clear" w:color="auto" w:fill="auto"/>
            <w:vAlign w:val="center"/>
          </w:tcPr>
          <w:p w14:paraId="0112EA25">
            <w:pPr>
              <w:spacing w:before="31" w:beforeLines="10" w:after="62" w:afterLines="20" w:line="280" w:lineRule="exact"/>
              <w:ind w:firstLine="0" w:firstLineChars="0"/>
              <w:rPr>
                <w:rFonts w:hint="eastAsia" w:ascii="汉仪书宋一简" w:eastAsia="汉仪书宋一简"/>
                <w:kern w:val="0"/>
                <w:sz w:val="20"/>
              </w:rPr>
            </w:pPr>
            <w:r>
              <w:rPr>
                <w:rFonts w:hint="eastAsia" w:ascii="汉仪书宋一简" w:eastAsia="汉仪书宋一简"/>
                <w:kern w:val="0"/>
                <w:sz w:val="20"/>
              </w:rPr>
              <w:t>累计缴费10年以上的，领取失业保险金的期限最长为24个月</w:t>
            </w:r>
          </w:p>
        </w:tc>
      </w:tr>
      <w:tr w14:paraId="32CAF3CC">
        <w:tblPrEx>
          <w:tblBorders>
            <w:top w:val="single" w:color="FF0000" w:sz="8" w:space="0"/>
            <w:left w:val="single" w:color="FF0000" w:sz="8" w:space="0"/>
            <w:bottom w:val="single" w:color="FF0000" w:sz="8" w:space="0"/>
            <w:right w:val="single" w:color="FF0000" w:sz="8" w:space="0"/>
            <w:insideH w:val="single" w:color="FF0000" w:sz="8" w:space="0"/>
            <w:insideV w:val="single" w:color="FF0000" w:sz="8" w:space="0"/>
          </w:tblBorders>
          <w:tblCellMar>
            <w:top w:w="0" w:type="dxa"/>
            <w:left w:w="108" w:type="dxa"/>
            <w:bottom w:w="0" w:type="dxa"/>
            <w:right w:w="108" w:type="dxa"/>
          </w:tblCellMar>
        </w:tblPrEx>
        <w:trPr>
          <w:trHeight w:val="20" w:hRule="atLeast"/>
          <w:jc w:val="center"/>
        </w:trPr>
        <w:tc>
          <w:tcPr>
            <w:tcW w:w="662" w:type="pct"/>
            <w:vMerge w:val="continue"/>
            <w:shd w:val="clear" w:color="auto" w:fill="auto"/>
            <w:vAlign w:val="center"/>
          </w:tcPr>
          <w:p w14:paraId="0A97A970">
            <w:pPr>
              <w:spacing w:before="31" w:beforeLines="10" w:after="62" w:afterLines="20" w:line="280" w:lineRule="exact"/>
              <w:ind w:firstLine="0" w:firstLineChars="0"/>
              <w:jc w:val="center"/>
              <w:rPr>
                <w:rFonts w:hint="eastAsia" w:ascii="汉仪中黑简" w:eastAsia="汉仪中黑简"/>
                <w:bCs/>
                <w:kern w:val="0"/>
                <w:sz w:val="20"/>
              </w:rPr>
            </w:pPr>
          </w:p>
        </w:tc>
        <w:tc>
          <w:tcPr>
            <w:tcW w:w="4337" w:type="pct"/>
            <w:shd w:val="clear" w:color="auto" w:fill="auto"/>
            <w:vAlign w:val="center"/>
          </w:tcPr>
          <w:p w14:paraId="774BD22D">
            <w:pPr>
              <w:spacing w:before="31" w:beforeLines="10" w:after="62" w:afterLines="20" w:line="280" w:lineRule="exact"/>
              <w:ind w:firstLine="0" w:firstLineChars="0"/>
              <w:rPr>
                <w:rFonts w:hint="eastAsia" w:ascii="汉仪书宋一简" w:eastAsia="汉仪书宋一简"/>
                <w:kern w:val="0"/>
                <w:sz w:val="20"/>
              </w:rPr>
            </w:pPr>
            <w:r>
              <w:rPr>
                <w:rFonts w:hint="eastAsia" w:ascii="汉仪书宋一简" w:eastAsia="汉仪书宋一简"/>
                <w:kern w:val="0"/>
                <w:sz w:val="20"/>
              </w:rPr>
              <w:t>重新就业后，再次失业的，缴费时间重新计算，领取失业保险金的期限与前次失业应当领取而尚未领取的失业保险金的期限合并计算，最长不超过24个月</w:t>
            </w:r>
          </w:p>
        </w:tc>
      </w:tr>
      <w:tr w14:paraId="660399F8">
        <w:tblPrEx>
          <w:tblBorders>
            <w:top w:val="single" w:color="FF0000" w:sz="8" w:space="0"/>
            <w:left w:val="single" w:color="FF0000" w:sz="8" w:space="0"/>
            <w:bottom w:val="single" w:color="FF0000" w:sz="8" w:space="0"/>
            <w:right w:val="single" w:color="FF0000" w:sz="8" w:space="0"/>
            <w:insideH w:val="single" w:color="FF0000" w:sz="8" w:space="0"/>
            <w:insideV w:val="single" w:color="FF0000" w:sz="8" w:space="0"/>
          </w:tblBorders>
          <w:tblCellMar>
            <w:top w:w="0" w:type="dxa"/>
            <w:left w:w="108" w:type="dxa"/>
            <w:bottom w:w="0" w:type="dxa"/>
            <w:right w:w="108" w:type="dxa"/>
          </w:tblCellMar>
        </w:tblPrEx>
        <w:trPr>
          <w:trHeight w:val="20" w:hRule="atLeast"/>
          <w:jc w:val="center"/>
        </w:trPr>
        <w:tc>
          <w:tcPr>
            <w:tcW w:w="662" w:type="pct"/>
            <w:shd w:val="clear" w:color="auto" w:fill="auto"/>
            <w:vAlign w:val="center"/>
          </w:tcPr>
          <w:p w14:paraId="2EF79EDE">
            <w:pPr>
              <w:spacing w:before="31" w:beforeLines="10" w:after="62" w:afterLines="20" w:line="280" w:lineRule="exact"/>
              <w:ind w:firstLine="0" w:firstLineChars="0"/>
              <w:jc w:val="center"/>
              <w:rPr>
                <w:rFonts w:hint="eastAsia" w:ascii="汉仪中黑简" w:eastAsia="汉仪中黑简"/>
                <w:bCs/>
                <w:kern w:val="0"/>
                <w:sz w:val="20"/>
              </w:rPr>
            </w:pPr>
            <w:r>
              <w:rPr>
                <w:rFonts w:hint="eastAsia" w:ascii="汉仪中黑简" w:eastAsia="汉仪中黑简"/>
                <w:bCs/>
                <w:kern w:val="0"/>
                <w:sz w:val="20"/>
              </w:rPr>
              <w:t>失业人员医疗保险</w:t>
            </w:r>
          </w:p>
        </w:tc>
        <w:tc>
          <w:tcPr>
            <w:tcW w:w="4337" w:type="pct"/>
            <w:shd w:val="clear" w:color="auto" w:fill="auto"/>
            <w:vAlign w:val="center"/>
          </w:tcPr>
          <w:p w14:paraId="6C96889B">
            <w:pPr>
              <w:spacing w:before="31" w:beforeLines="10" w:after="62" w:afterLines="20" w:line="280" w:lineRule="exact"/>
              <w:ind w:firstLine="0" w:firstLineChars="0"/>
              <w:rPr>
                <w:rFonts w:hint="eastAsia" w:ascii="汉仪书宋一简" w:eastAsia="汉仪书宋一简"/>
                <w:kern w:val="0"/>
                <w:sz w:val="20"/>
              </w:rPr>
            </w:pPr>
            <w:r>
              <w:rPr>
                <w:rFonts w:hint="eastAsia" w:ascii="汉仪书宋一简" w:eastAsia="汉仪书宋一简"/>
                <w:kern w:val="0"/>
                <w:sz w:val="20"/>
              </w:rPr>
              <w:t>失业人员在领取失业保险金期间，参加职工基本医疗保险，享受基本医疗保险待遇。失业人员应当缴纳的基本医疗保险费</w:t>
            </w:r>
            <w:r>
              <w:rPr>
                <w:rFonts w:hint="eastAsia" w:ascii="汉仪书宋一简" w:hAnsi="楷体" w:eastAsia="汉仪中黑简" w:cs="楷体"/>
                <w:color w:val="FF0000"/>
                <w:kern w:val="0"/>
                <w:sz w:val="20"/>
              </w:rPr>
              <w:t>从失业保险基金中支付</w:t>
            </w:r>
            <w:r>
              <w:rPr>
                <w:rFonts w:hint="eastAsia" w:ascii="汉仪书宋一简" w:eastAsia="汉仪书宋一简"/>
                <w:kern w:val="0"/>
                <w:sz w:val="20"/>
              </w:rPr>
              <w:t>，</w:t>
            </w:r>
            <w:r>
              <w:rPr>
                <w:rFonts w:hint="eastAsia" w:ascii="汉仪书宋一简" w:eastAsia="汉仪书宋一简"/>
                <w:color w:val="0000FF"/>
                <w:kern w:val="0"/>
                <w:sz w:val="20"/>
              </w:rPr>
              <w:t>个人不缴纳基本医疗保险费</w:t>
            </w:r>
          </w:p>
        </w:tc>
      </w:tr>
      <w:tr w14:paraId="377972EF">
        <w:tblPrEx>
          <w:tblBorders>
            <w:top w:val="single" w:color="FF0000" w:sz="8" w:space="0"/>
            <w:left w:val="single" w:color="FF0000" w:sz="8" w:space="0"/>
            <w:bottom w:val="single" w:color="FF0000" w:sz="8" w:space="0"/>
            <w:right w:val="single" w:color="FF0000" w:sz="8" w:space="0"/>
            <w:insideH w:val="single" w:color="FF0000" w:sz="8" w:space="0"/>
            <w:insideV w:val="single" w:color="FF0000" w:sz="8" w:space="0"/>
          </w:tblBorders>
          <w:tblCellMar>
            <w:top w:w="0" w:type="dxa"/>
            <w:left w:w="108" w:type="dxa"/>
            <w:bottom w:w="0" w:type="dxa"/>
            <w:right w:w="108" w:type="dxa"/>
          </w:tblCellMar>
        </w:tblPrEx>
        <w:trPr>
          <w:trHeight w:val="20" w:hRule="atLeast"/>
          <w:jc w:val="center"/>
        </w:trPr>
        <w:tc>
          <w:tcPr>
            <w:tcW w:w="662" w:type="pct"/>
            <w:shd w:val="clear" w:color="auto" w:fill="auto"/>
            <w:vAlign w:val="center"/>
          </w:tcPr>
          <w:p w14:paraId="33369C15">
            <w:pPr>
              <w:spacing w:before="31" w:beforeLines="10" w:after="62" w:afterLines="20" w:line="280" w:lineRule="exact"/>
              <w:ind w:firstLine="0" w:firstLineChars="0"/>
              <w:jc w:val="center"/>
              <w:rPr>
                <w:rFonts w:hint="eastAsia" w:ascii="汉仪中黑简" w:eastAsia="汉仪中黑简"/>
                <w:bCs/>
                <w:kern w:val="0"/>
                <w:sz w:val="20"/>
              </w:rPr>
            </w:pPr>
            <w:r>
              <w:rPr>
                <w:rFonts w:hint="eastAsia" w:ascii="汉仪中黑简" w:eastAsia="汉仪中黑简"/>
                <w:bCs/>
                <w:kern w:val="0"/>
                <w:sz w:val="20"/>
              </w:rPr>
              <w:t>失业人员死亡</w:t>
            </w:r>
          </w:p>
        </w:tc>
        <w:tc>
          <w:tcPr>
            <w:tcW w:w="4337" w:type="pct"/>
            <w:shd w:val="clear" w:color="auto" w:fill="auto"/>
            <w:vAlign w:val="center"/>
          </w:tcPr>
          <w:p w14:paraId="510E9510">
            <w:pPr>
              <w:spacing w:before="31" w:beforeLines="10" w:after="62" w:afterLines="20" w:line="280" w:lineRule="exact"/>
              <w:ind w:firstLine="0" w:firstLineChars="0"/>
              <w:rPr>
                <w:rFonts w:hint="eastAsia" w:ascii="汉仪书宋一简" w:eastAsia="汉仪书宋一简"/>
                <w:kern w:val="0"/>
                <w:sz w:val="20"/>
              </w:rPr>
            </w:pPr>
            <w:r>
              <w:rPr>
                <w:rFonts w:hint="eastAsia" w:ascii="汉仪书宋一简" w:eastAsia="汉仪书宋一简"/>
                <w:kern w:val="0"/>
                <w:sz w:val="20"/>
              </w:rPr>
              <w:t>失业人员在领取失业保险金期间死亡的，向其遗属发给一次性丧葬补助金和抚恤金。所需资金从失业保险基金中支付。个人死亡</w:t>
            </w:r>
            <w:r>
              <w:rPr>
                <w:rFonts w:hint="eastAsia" w:ascii="汉仪书宋一简" w:eastAsia="汉仪书宋一简"/>
                <w:color w:val="0000FF"/>
                <w:kern w:val="0"/>
                <w:sz w:val="20"/>
              </w:rPr>
              <w:t>同时符合领取基本养老保险丧葬补助金、工伤保险丧葬补助金和失业保险丧葬补助金条件的，其遗属只能选择领取其中的一项</w:t>
            </w:r>
          </w:p>
        </w:tc>
      </w:tr>
      <w:tr w14:paraId="61700856">
        <w:tblPrEx>
          <w:tblBorders>
            <w:top w:val="single" w:color="FF0000" w:sz="8" w:space="0"/>
            <w:left w:val="single" w:color="FF0000" w:sz="8" w:space="0"/>
            <w:bottom w:val="single" w:color="FF0000" w:sz="8" w:space="0"/>
            <w:right w:val="single" w:color="FF0000" w:sz="8" w:space="0"/>
            <w:insideH w:val="single" w:color="FF0000" w:sz="8" w:space="0"/>
            <w:insideV w:val="single" w:color="FF0000" w:sz="8" w:space="0"/>
          </w:tblBorders>
          <w:tblCellMar>
            <w:top w:w="0" w:type="dxa"/>
            <w:left w:w="108" w:type="dxa"/>
            <w:bottom w:w="0" w:type="dxa"/>
            <w:right w:w="108" w:type="dxa"/>
          </w:tblCellMar>
        </w:tblPrEx>
        <w:trPr>
          <w:trHeight w:val="20" w:hRule="atLeast"/>
          <w:jc w:val="center"/>
        </w:trPr>
        <w:tc>
          <w:tcPr>
            <w:tcW w:w="662" w:type="pct"/>
            <w:shd w:val="clear" w:color="auto" w:fill="auto"/>
            <w:vAlign w:val="center"/>
          </w:tcPr>
          <w:p w14:paraId="493B18C9">
            <w:pPr>
              <w:spacing w:before="31" w:beforeLines="10" w:after="62" w:afterLines="20" w:line="280" w:lineRule="exact"/>
              <w:ind w:firstLine="0" w:firstLineChars="0"/>
              <w:jc w:val="center"/>
              <w:rPr>
                <w:rFonts w:hint="eastAsia" w:ascii="汉仪中黑简" w:eastAsia="汉仪中黑简"/>
                <w:bCs/>
                <w:kern w:val="0"/>
                <w:sz w:val="20"/>
              </w:rPr>
            </w:pPr>
            <w:r>
              <w:rPr>
                <w:rFonts w:hint="eastAsia" w:ascii="汉仪中黑简" w:eastAsia="汉仪中黑简"/>
                <w:bCs/>
                <w:kern w:val="0"/>
                <w:sz w:val="20"/>
              </w:rPr>
              <w:t>异地就业</w:t>
            </w:r>
          </w:p>
        </w:tc>
        <w:tc>
          <w:tcPr>
            <w:tcW w:w="4337" w:type="pct"/>
            <w:shd w:val="clear" w:color="auto" w:fill="auto"/>
            <w:vAlign w:val="center"/>
          </w:tcPr>
          <w:p w14:paraId="7B32A850">
            <w:pPr>
              <w:spacing w:before="31" w:beforeLines="10" w:after="62" w:afterLines="20" w:line="280" w:lineRule="exact"/>
              <w:ind w:firstLine="0" w:firstLineChars="0"/>
              <w:rPr>
                <w:rFonts w:hint="eastAsia" w:ascii="汉仪书宋一简" w:eastAsia="汉仪书宋一简"/>
                <w:kern w:val="0"/>
                <w:sz w:val="20"/>
              </w:rPr>
            </w:pPr>
            <w:r>
              <w:rPr>
                <w:rFonts w:hint="eastAsia" w:ascii="汉仪书宋一简" w:eastAsia="汉仪书宋一简"/>
                <w:kern w:val="0"/>
                <w:sz w:val="20"/>
              </w:rPr>
              <w:t>职工跨统筹地区就业的，其失业保险关系随本人转移，缴费年限累计计算</w:t>
            </w:r>
          </w:p>
        </w:tc>
      </w:tr>
      <w:tr w14:paraId="4FBF4E3E">
        <w:tblPrEx>
          <w:tblBorders>
            <w:top w:val="single" w:color="FF0000" w:sz="8" w:space="0"/>
            <w:left w:val="single" w:color="FF0000" w:sz="8" w:space="0"/>
            <w:bottom w:val="single" w:color="FF0000" w:sz="8" w:space="0"/>
            <w:right w:val="single" w:color="FF0000" w:sz="8" w:space="0"/>
            <w:insideH w:val="single" w:color="FF0000" w:sz="8" w:space="0"/>
            <w:insideV w:val="single" w:color="FF0000" w:sz="8" w:space="0"/>
          </w:tblBorders>
          <w:tblCellMar>
            <w:top w:w="0" w:type="dxa"/>
            <w:left w:w="108" w:type="dxa"/>
            <w:bottom w:w="0" w:type="dxa"/>
            <w:right w:w="108" w:type="dxa"/>
          </w:tblCellMar>
        </w:tblPrEx>
        <w:trPr>
          <w:trHeight w:val="20" w:hRule="atLeast"/>
          <w:jc w:val="center"/>
        </w:trPr>
        <w:tc>
          <w:tcPr>
            <w:tcW w:w="662" w:type="pct"/>
            <w:shd w:val="clear" w:color="auto" w:fill="auto"/>
            <w:vAlign w:val="center"/>
          </w:tcPr>
          <w:p w14:paraId="21FCAE13">
            <w:pPr>
              <w:spacing w:before="31" w:beforeLines="10" w:after="62" w:afterLines="20" w:line="280" w:lineRule="exact"/>
              <w:ind w:firstLine="0" w:firstLineChars="0"/>
              <w:jc w:val="center"/>
              <w:rPr>
                <w:rFonts w:hint="eastAsia" w:ascii="汉仪中黑简" w:eastAsia="汉仪中黑简"/>
                <w:bCs/>
                <w:kern w:val="0"/>
                <w:sz w:val="20"/>
              </w:rPr>
            </w:pPr>
            <w:r>
              <w:rPr>
                <w:rFonts w:hint="eastAsia" w:ascii="汉仪中黑简" w:eastAsia="汉仪中黑简"/>
                <w:bCs/>
                <w:kern w:val="0"/>
                <w:sz w:val="20"/>
              </w:rPr>
              <w:t>停止待遇</w:t>
            </w:r>
          </w:p>
        </w:tc>
        <w:tc>
          <w:tcPr>
            <w:tcW w:w="4337" w:type="pct"/>
            <w:shd w:val="clear" w:color="auto" w:fill="auto"/>
            <w:vAlign w:val="center"/>
          </w:tcPr>
          <w:p w14:paraId="75AED8C7">
            <w:pPr>
              <w:spacing w:before="31" w:beforeLines="10" w:after="62" w:afterLines="20" w:line="280" w:lineRule="exact"/>
              <w:ind w:firstLine="0" w:firstLineChars="0"/>
              <w:rPr>
                <w:rFonts w:hint="eastAsia" w:ascii="汉仪书宋一简" w:eastAsia="汉仪书宋一简"/>
                <w:kern w:val="0"/>
                <w:sz w:val="20"/>
              </w:rPr>
            </w:pPr>
            <w:r>
              <w:rPr>
                <w:rFonts w:hint="eastAsia" w:ascii="汉仪书宋一简" w:eastAsia="汉仪书宋一简"/>
                <w:kern w:val="0"/>
                <w:sz w:val="20"/>
              </w:rPr>
              <w:t>重新就业的；应征服兵役的；移居境外的；享受基本养老保险待遇的；无正当理由，拒不接受当地人民政府指定部门或者机构介绍的适当工作或者提供的培训的</w:t>
            </w:r>
          </w:p>
        </w:tc>
      </w:tr>
    </w:tbl>
    <w:p w14:paraId="07BC58D2">
      <w:pPr>
        <w:ind w:firstLine="420"/>
        <w:rPr>
          <w:rFonts w:hint="eastAsia" w:ascii="汉仪书宋二简"/>
        </w:rPr>
      </w:pPr>
    </w:p>
    <w:p w14:paraId="0940EC95">
      <w:pPr>
        <w:ind w:firstLine="420"/>
        <w:rPr>
          <w:rFonts w:hint="eastAsia" w:ascii="汉仪书宋二简"/>
        </w:rPr>
      </w:pPr>
      <w:bookmarkStart w:id="2" w:name="_Toc553950130"/>
    </w:p>
    <w:p w14:paraId="59F3A20C">
      <w:pPr>
        <w:pStyle w:val="2"/>
        <w:spacing w:before="0" w:line="480" w:lineRule="exact"/>
        <w:rPr>
          <w:rFonts w:hint="eastAsia"/>
        </w:rPr>
      </w:pPr>
      <w:bookmarkStart w:id="3" w:name="_Toc193726292"/>
      <w:r>
        <w:rPr>
          <w:rFonts w:hint="eastAsia"/>
          <w:color w:val="FF0000"/>
        </w:rPr>
        <w:t xml:space="preserve">  </w:t>
      </w:r>
      <w:r>
        <w:rPr>
          <w:rFonts w:hint="eastAsia"/>
        </w:rPr>
        <w:t>环境法</w:t>
      </w:r>
      <w:bookmarkEnd w:id="2"/>
      <w:bookmarkEnd w:id="3"/>
    </w:p>
    <w:p w14:paraId="05A37677">
      <w:pPr>
        <w:tabs>
          <w:tab w:val="clear" w:pos="420"/>
        </w:tabs>
        <w:autoSpaceDE w:val="0"/>
        <w:autoSpaceDN w:val="0"/>
        <w:adjustRightInd w:val="0"/>
        <w:ind w:firstLine="425" w:firstLineChars="0"/>
        <w:textAlignment w:val="center"/>
        <w:rPr>
          <w:rFonts w:ascii="汉仪书宋二简" w:hAnsi="Times New Roman" w:cs="汉仪书宋二简"/>
          <w:color w:val="000000"/>
          <w:kern w:val="0"/>
          <w:lang w:val="zh-CN"/>
        </w:rPr>
      </w:pPr>
    </w:p>
    <w:p w14:paraId="5C7EDF01">
      <w:pPr>
        <w:ind w:firstLine="420"/>
        <w:rPr>
          <w:rFonts w:hint="eastAsia" w:ascii="汉仪书宋二简"/>
        </w:rPr>
      </w:pPr>
    </w:p>
    <w:p w14:paraId="0A3E18EF">
      <w:pPr>
        <w:tabs>
          <w:tab w:val="clear" w:pos="420"/>
        </w:tabs>
        <w:autoSpaceDE w:val="0"/>
        <w:autoSpaceDN w:val="0"/>
        <w:adjustRightInd w:val="0"/>
        <w:ind w:firstLine="0" w:firstLineChars="0"/>
        <w:jc w:val="left"/>
        <w:textAlignment w:val="center"/>
        <w:rPr>
          <w:rFonts w:ascii="汉仪粗宋简" w:hAnsi="Times New Roman" w:eastAsia="汉仪大宋简" w:cs="汉仪粗宋简"/>
          <w:color w:val="000000"/>
          <w:kern w:val="0"/>
          <w:position w:val="4"/>
          <w:sz w:val="26"/>
          <w:szCs w:val="26"/>
          <w:lang w:val="zh-CN"/>
        </w:rPr>
      </w:pPr>
      <w:r>
        <w:rPr>
          <w:rFonts w:hint="eastAsia" w:ascii="汉仪粗宋简" w:hAnsi="Times New Roman" w:eastAsia="汉仪大宋简" w:cs="汉仪粗宋简"/>
          <w:color w:val="000000"/>
          <w:kern w:val="0"/>
          <w:position w:val="4"/>
          <w:sz w:val="26"/>
          <w:szCs w:val="26"/>
          <w:lang w:val="zh-CN"/>
        </w:rPr>
        <w:t>一、环境影响评价制度</w:t>
      </w:r>
    </w:p>
    <w:p w14:paraId="604D978F">
      <w:pPr>
        <w:ind w:firstLine="480"/>
        <w:rPr>
          <w:rFonts w:hint="eastAsia" w:ascii="汉仪书宋二简"/>
          <w:b/>
          <w:sz w:val="24"/>
          <w:szCs w:val="24"/>
        </w:rPr>
      </w:pPr>
    </w:p>
    <w:tbl>
      <w:tblPr>
        <w:tblStyle w:val="7"/>
        <w:tblW w:w="8505" w:type="dxa"/>
        <w:jc w:val="center"/>
        <w:tblBorders>
          <w:top w:val="single" w:color="FF0000" w:sz="8" w:space="0"/>
          <w:left w:val="single" w:color="FF0000" w:sz="8" w:space="0"/>
          <w:bottom w:val="single" w:color="FF0000" w:sz="8" w:space="0"/>
          <w:right w:val="single" w:color="FF0000" w:sz="8" w:space="0"/>
          <w:insideH w:val="single" w:color="FF0000" w:sz="8" w:space="0"/>
          <w:insideV w:val="single" w:color="FF0000" w:sz="8" w:space="0"/>
        </w:tblBorders>
        <w:tblLayout w:type="autofit"/>
        <w:tblCellMar>
          <w:top w:w="0" w:type="dxa"/>
          <w:left w:w="108" w:type="dxa"/>
          <w:bottom w:w="0" w:type="dxa"/>
          <w:right w:w="108" w:type="dxa"/>
        </w:tblCellMar>
      </w:tblPr>
      <w:tblGrid>
        <w:gridCol w:w="1232"/>
        <w:gridCol w:w="7273"/>
      </w:tblGrid>
      <w:tr w14:paraId="4C32C66B">
        <w:tblPrEx>
          <w:tblBorders>
            <w:top w:val="single" w:color="FF0000" w:sz="8" w:space="0"/>
            <w:left w:val="single" w:color="FF0000" w:sz="8" w:space="0"/>
            <w:bottom w:val="single" w:color="FF0000" w:sz="8" w:space="0"/>
            <w:right w:val="single" w:color="FF0000" w:sz="8" w:space="0"/>
            <w:insideH w:val="single" w:color="FF0000" w:sz="8" w:space="0"/>
            <w:insideV w:val="single" w:color="FF0000" w:sz="8" w:space="0"/>
          </w:tblBorders>
          <w:tblCellMar>
            <w:top w:w="0" w:type="dxa"/>
            <w:left w:w="108" w:type="dxa"/>
            <w:bottom w:w="0" w:type="dxa"/>
            <w:right w:w="108" w:type="dxa"/>
          </w:tblCellMar>
        </w:tblPrEx>
        <w:trPr>
          <w:trHeight w:val="20" w:hRule="atLeast"/>
          <w:jc w:val="center"/>
        </w:trPr>
        <w:tc>
          <w:tcPr>
            <w:tcW w:w="724" w:type="pct"/>
            <w:shd w:val="clear" w:color="auto" w:fill="auto"/>
            <w:vAlign w:val="center"/>
          </w:tcPr>
          <w:p w14:paraId="0B4F4E10">
            <w:pPr>
              <w:spacing w:before="31" w:beforeLines="10" w:after="62" w:afterLines="20" w:line="280" w:lineRule="exact"/>
              <w:ind w:firstLine="0" w:firstLineChars="0"/>
              <w:jc w:val="center"/>
              <w:rPr>
                <w:rFonts w:hint="eastAsia" w:ascii="汉仪中黑简" w:eastAsia="汉仪中黑简"/>
                <w:bCs/>
                <w:kern w:val="0"/>
                <w:sz w:val="20"/>
              </w:rPr>
            </w:pPr>
            <w:r>
              <w:rPr>
                <w:rFonts w:hint="eastAsia" w:ascii="汉仪中黑简" w:eastAsia="汉仪中黑简"/>
                <w:bCs/>
                <w:kern w:val="0"/>
                <w:sz w:val="20"/>
              </w:rPr>
              <w:t>适用范围</w:t>
            </w:r>
          </w:p>
        </w:tc>
        <w:tc>
          <w:tcPr>
            <w:tcW w:w="4276" w:type="pct"/>
            <w:shd w:val="clear" w:color="auto" w:fill="auto"/>
            <w:vAlign w:val="center"/>
          </w:tcPr>
          <w:p w14:paraId="7C7268FE">
            <w:pPr>
              <w:spacing w:before="31" w:beforeLines="10" w:after="62" w:afterLines="20" w:line="280" w:lineRule="exact"/>
              <w:ind w:firstLine="0" w:firstLineChars="0"/>
              <w:rPr>
                <w:rFonts w:hint="eastAsia" w:ascii="汉仪书宋一简" w:eastAsia="汉仪书宋一简"/>
                <w:kern w:val="0"/>
                <w:sz w:val="20"/>
              </w:rPr>
            </w:pPr>
            <w:r>
              <w:rPr>
                <w:rFonts w:hint="eastAsia" w:ascii="汉仪书宋一简" w:eastAsia="汉仪书宋一简"/>
                <w:kern w:val="0"/>
                <w:sz w:val="20"/>
              </w:rPr>
              <w:t>规划（含总体规划和专项规划），建设项目</w:t>
            </w:r>
          </w:p>
        </w:tc>
      </w:tr>
      <w:tr w14:paraId="728E18E5">
        <w:tblPrEx>
          <w:tblBorders>
            <w:top w:val="single" w:color="FF0000" w:sz="8" w:space="0"/>
            <w:left w:val="single" w:color="FF0000" w:sz="8" w:space="0"/>
            <w:bottom w:val="single" w:color="FF0000" w:sz="8" w:space="0"/>
            <w:right w:val="single" w:color="FF0000" w:sz="8" w:space="0"/>
            <w:insideH w:val="single" w:color="FF0000" w:sz="8" w:space="0"/>
            <w:insideV w:val="single" w:color="FF0000" w:sz="8" w:space="0"/>
          </w:tblBorders>
          <w:tblCellMar>
            <w:top w:w="0" w:type="dxa"/>
            <w:left w:w="108" w:type="dxa"/>
            <w:bottom w:w="0" w:type="dxa"/>
            <w:right w:w="108" w:type="dxa"/>
          </w:tblCellMar>
        </w:tblPrEx>
        <w:trPr>
          <w:trHeight w:val="20" w:hRule="atLeast"/>
          <w:jc w:val="center"/>
        </w:trPr>
        <w:tc>
          <w:tcPr>
            <w:tcW w:w="724" w:type="pct"/>
            <w:shd w:val="clear" w:color="auto" w:fill="auto"/>
            <w:vAlign w:val="center"/>
          </w:tcPr>
          <w:p w14:paraId="52F2D14F">
            <w:pPr>
              <w:spacing w:before="31" w:beforeLines="10" w:after="62" w:afterLines="20" w:line="280" w:lineRule="exact"/>
              <w:ind w:firstLine="0" w:firstLineChars="0"/>
              <w:jc w:val="center"/>
              <w:rPr>
                <w:rFonts w:hint="eastAsia" w:ascii="汉仪中黑简" w:eastAsia="汉仪中黑简"/>
                <w:bCs/>
                <w:kern w:val="0"/>
                <w:sz w:val="20"/>
              </w:rPr>
            </w:pPr>
            <w:r>
              <w:rPr>
                <w:rFonts w:hint="eastAsia" w:ascii="汉仪中黑简" w:eastAsia="汉仪中黑简"/>
                <w:bCs/>
                <w:kern w:val="0"/>
                <w:sz w:val="20"/>
              </w:rPr>
              <w:t>总体规划</w:t>
            </w:r>
          </w:p>
        </w:tc>
        <w:tc>
          <w:tcPr>
            <w:tcW w:w="4276" w:type="pct"/>
            <w:shd w:val="clear" w:color="auto" w:fill="auto"/>
            <w:vAlign w:val="center"/>
          </w:tcPr>
          <w:p w14:paraId="4854A6C1">
            <w:pPr>
              <w:spacing w:before="31" w:beforeLines="10" w:after="62" w:afterLines="20" w:line="280" w:lineRule="exact"/>
              <w:ind w:firstLine="0" w:firstLineChars="0"/>
              <w:rPr>
                <w:rFonts w:hint="eastAsia" w:ascii="汉仪书宋一简" w:eastAsia="汉仪书宋一简"/>
                <w:kern w:val="0"/>
                <w:sz w:val="20"/>
              </w:rPr>
            </w:pPr>
            <w:r>
              <w:rPr>
                <w:rFonts w:hint="eastAsia" w:ascii="汉仪书宋一简" w:eastAsia="汉仪书宋一简"/>
                <w:kern w:val="0"/>
                <w:sz w:val="20"/>
              </w:rPr>
              <w:t>总体规划，应当在规划编制过程中组织进行环境影响评价，编写该规划有关环境影响的篇章或者说明，作为规划草案的组成部分一并报送规划审批机关</w:t>
            </w:r>
          </w:p>
        </w:tc>
      </w:tr>
      <w:tr w14:paraId="4E52ECBF">
        <w:tblPrEx>
          <w:tblBorders>
            <w:top w:val="single" w:color="FF0000" w:sz="8" w:space="0"/>
            <w:left w:val="single" w:color="FF0000" w:sz="8" w:space="0"/>
            <w:bottom w:val="single" w:color="FF0000" w:sz="8" w:space="0"/>
            <w:right w:val="single" w:color="FF0000" w:sz="8" w:space="0"/>
            <w:insideH w:val="single" w:color="FF0000" w:sz="8" w:space="0"/>
            <w:insideV w:val="single" w:color="FF0000" w:sz="8" w:space="0"/>
          </w:tblBorders>
          <w:tblCellMar>
            <w:top w:w="0" w:type="dxa"/>
            <w:left w:w="108" w:type="dxa"/>
            <w:bottom w:w="0" w:type="dxa"/>
            <w:right w:w="108" w:type="dxa"/>
          </w:tblCellMar>
        </w:tblPrEx>
        <w:trPr>
          <w:trHeight w:val="20" w:hRule="atLeast"/>
          <w:jc w:val="center"/>
        </w:trPr>
        <w:tc>
          <w:tcPr>
            <w:tcW w:w="724" w:type="pct"/>
            <w:shd w:val="clear" w:color="auto" w:fill="auto"/>
            <w:vAlign w:val="center"/>
          </w:tcPr>
          <w:p w14:paraId="505E00C7">
            <w:pPr>
              <w:spacing w:before="31" w:beforeLines="10" w:after="62" w:afterLines="20" w:line="280" w:lineRule="exact"/>
              <w:ind w:firstLine="0" w:firstLineChars="0"/>
              <w:jc w:val="center"/>
              <w:rPr>
                <w:rFonts w:hint="eastAsia" w:ascii="汉仪中黑简" w:eastAsia="汉仪中黑简"/>
                <w:bCs/>
                <w:kern w:val="0"/>
                <w:sz w:val="20"/>
              </w:rPr>
            </w:pPr>
            <w:r>
              <w:rPr>
                <w:rFonts w:hint="eastAsia" w:ascii="汉仪中黑简" w:eastAsia="汉仪中黑简"/>
                <w:bCs/>
                <w:kern w:val="0"/>
                <w:sz w:val="20"/>
              </w:rPr>
              <w:t>专项规划</w:t>
            </w:r>
          </w:p>
        </w:tc>
        <w:tc>
          <w:tcPr>
            <w:tcW w:w="4276" w:type="pct"/>
            <w:shd w:val="clear" w:color="auto" w:fill="auto"/>
            <w:vAlign w:val="center"/>
          </w:tcPr>
          <w:p w14:paraId="4150A83C">
            <w:pPr>
              <w:spacing w:before="31" w:beforeLines="10" w:after="62" w:afterLines="20" w:line="280" w:lineRule="exact"/>
              <w:ind w:firstLine="0" w:firstLineChars="0"/>
              <w:rPr>
                <w:rFonts w:hint="eastAsia" w:ascii="汉仪书宋一简" w:eastAsia="汉仪书宋一简"/>
                <w:b/>
                <w:kern w:val="0"/>
                <w:sz w:val="20"/>
              </w:rPr>
            </w:pPr>
            <w:r>
              <w:rPr>
                <w:rFonts w:hint="eastAsia" w:ascii="汉仪书宋一简" w:eastAsia="汉仪书宋一简"/>
                <w:kern w:val="0"/>
                <w:sz w:val="20"/>
              </w:rPr>
              <w:t>专项规划，应当在该专项规划草案上报审批前，组织进行环境影响评价，并向审批该专项规划的机关提出环境影响报告书，与专项规划一并附送审批机关审查；未附送环境影响报告书的，审批机关不予审批</w:t>
            </w:r>
          </w:p>
        </w:tc>
      </w:tr>
      <w:tr w14:paraId="5506C544">
        <w:tblPrEx>
          <w:tblBorders>
            <w:top w:val="single" w:color="FF0000" w:sz="8" w:space="0"/>
            <w:left w:val="single" w:color="FF0000" w:sz="8" w:space="0"/>
            <w:bottom w:val="single" w:color="FF0000" w:sz="8" w:space="0"/>
            <w:right w:val="single" w:color="FF0000" w:sz="8" w:space="0"/>
            <w:insideH w:val="single" w:color="FF0000" w:sz="8" w:space="0"/>
            <w:insideV w:val="single" w:color="FF0000" w:sz="8" w:space="0"/>
          </w:tblBorders>
          <w:tblCellMar>
            <w:top w:w="0" w:type="dxa"/>
            <w:left w:w="108" w:type="dxa"/>
            <w:bottom w:w="0" w:type="dxa"/>
            <w:right w:w="108" w:type="dxa"/>
          </w:tblCellMar>
        </w:tblPrEx>
        <w:trPr>
          <w:trHeight w:val="20" w:hRule="atLeast"/>
          <w:jc w:val="center"/>
        </w:trPr>
        <w:tc>
          <w:tcPr>
            <w:tcW w:w="724" w:type="pct"/>
            <w:vMerge w:val="restart"/>
            <w:shd w:val="clear" w:color="auto" w:fill="auto"/>
            <w:vAlign w:val="center"/>
          </w:tcPr>
          <w:p w14:paraId="5E514B41">
            <w:pPr>
              <w:spacing w:before="31" w:beforeLines="10" w:after="62" w:afterLines="20" w:line="280" w:lineRule="exact"/>
              <w:ind w:firstLine="0" w:firstLineChars="0"/>
              <w:jc w:val="center"/>
              <w:rPr>
                <w:rFonts w:hint="eastAsia" w:ascii="汉仪中黑简" w:eastAsia="汉仪中黑简"/>
                <w:bCs/>
                <w:kern w:val="0"/>
                <w:sz w:val="20"/>
              </w:rPr>
            </w:pPr>
            <w:r>
              <w:rPr>
                <w:rFonts w:hint="eastAsia" w:ascii="汉仪中黑简" w:eastAsia="汉仪中黑简"/>
                <w:bCs/>
                <w:kern w:val="0"/>
                <w:sz w:val="20"/>
              </w:rPr>
              <w:t>建设项目</w:t>
            </w:r>
          </w:p>
        </w:tc>
        <w:tc>
          <w:tcPr>
            <w:tcW w:w="4276" w:type="pct"/>
            <w:shd w:val="clear" w:color="auto" w:fill="auto"/>
            <w:vAlign w:val="center"/>
          </w:tcPr>
          <w:p w14:paraId="6FC0DDB8">
            <w:pPr>
              <w:spacing w:before="31" w:beforeLines="10" w:after="62" w:afterLines="20" w:line="280" w:lineRule="exact"/>
              <w:ind w:firstLine="0" w:firstLineChars="0"/>
              <w:rPr>
                <w:rFonts w:hint="eastAsia" w:ascii="汉仪书宋一简" w:eastAsia="汉仪书宋一简"/>
                <w:kern w:val="0"/>
                <w:sz w:val="20"/>
                <w:lang w:eastAsia="zh-CN"/>
              </w:rPr>
            </w:pPr>
            <w:r>
              <w:rPr>
                <w:rFonts w:hint="eastAsia" w:ascii="汉仪中黑简" w:eastAsia="汉仪中黑简"/>
                <w:kern w:val="0"/>
                <w:sz w:val="20"/>
              </w:rPr>
              <w:t>分类管理：</w:t>
            </w:r>
            <w:r>
              <w:rPr>
                <w:rFonts w:hint="eastAsia" w:ascii="汉仪书宋一简" w:eastAsia="汉仪书宋一简"/>
                <w:kern w:val="0"/>
                <w:sz w:val="20"/>
              </w:rPr>
              <w:t>（1）可能造成</w:t>
            </w:r>
            <w:r>
              <w:rPr>
                <w:rFonts w:hint="eastAsia" w:ascii="汉仪书宋一简" w:hAnsi="楷体" w:eastAsia="汉仪中黑简" w:cs="楷体"/>
                <w:color w:val="FF0000"/>
                <w:kern w:val="0"/>
                <w:sz w:val="20"/>
              </w:rPr>
              <w:t>重大环境影响</w:t>
            </w:r>
            <w:r>
              <w:rPr>
                <w:rFonts w:hint="eastAsia" w:ascii="汉仪书宋一简" w:eastAsia="汉仪书宋一简"/>
                <w:kern w:val="0"/>
                <w:sz w:val="20"/>
              </w:rPr>
              <w:t>的，应当编制环境影响</w:t>
            </w:r>
            <w:r>
              <w:rPr>
                <w:rFonts w:hint="eastAsia" w:ascii="汉仪书宋一简" w:hAnsi="楷体" w:eastAsia="汉仪中黑简" w:cs="楷体"/>
                <w:color w:val="FF0000"/>
                <w:kern w:val="0"/>
                <w:sz w:val="20"/>
              </w:rPr>
              <w:t>报告书</w:t>
            </w:r>
            <w:r>
              <w:rPr>
                <w:rFonts w:hint="eastAsia" w:ascii="汉仪书宋一简" w:eastAsia="汉仪书宋一简"/>
                <w:kern w:val="0"/>
                <w:sz w:val="20"/>
              </w:rPr>
              <w:t>进行全面评价；（2）可能造成</w:t>
            </w:r>
            <w:r>
              <w:rPr>
                <w:rFonts w:hint="eastAsia" w:ascii="汉仪书宋一简" w:hAnsi="楷体" w:eastAsia="汉仪中黑简" w:cs="楷体"/>
                <w:color w:val="FF0000"/>
                <w:kern w:val="0"/>
                <w:sz w:val="20"/>
              </w:rPr>
              <w:t>轻度环境影响</w:t>
            </w:r>
            <w:r>
              <w:rPr>
                <w:rFonts w:hint="eastAsia" w:ascii="汉仪书宋一简" w:eastAsia="汉仪书宋一简"/>
                <w:kern w:val="0"/>
                <w:sz w:val="20"/>
              </w:rPr>
              <w:t>的，应当编制环境影响</w:t>
            </w:r>
            <w:r>
              <w:rPr>
                <w:rFonts w:hint="eastAsia" w:ascii="汉仪书宋一简" w:hAnsi="楷体" w:eastAsia="汉仪中黑简" w:cs="楷体"/>
                <w:color w:val="FF0000"/>
                <w:kern w:val="0"/>
                <w:sz w:val="20"/>
              </w:rPr>
              <w:t>报告表</w:t>
            </w:r>
            <w:r>
              <w:rPr>
                <w:rFonts w:hint="eastAsia" w:ascii="汉仪书宋一简" w:eastAsia="汉仪书宋一简"/>
                <w:kern w:val="0"/>
                <w:sz w:val="20"/>
              </w:rPr>
              <w:t>进行分析或者专项评价；（3）对环境影响很小、不需要进行环境影响评价的，应当填报环境影响登记表</w:t>
            </w:r>
            <w:r>
              <w:rPr>
                <w:rFonts w:hint="eastAsia" w:ascii="汉仪书宋一简" w:eastAsia="汉仪书宋一简"/>
                <w:color w:val="0000FF"/>
                <w:kern w:val="0"/>
                <w:sz w:val="20"/>
                <w:lang w:eastAsia="zh-CN"/>
              </w:rPr>
              <w:t>（</w:t>
            </w:r>
            <w:r>
              <w:rPr>
                <w:rFonts w:hint="eastAsia" w:ascii="汉仪书宋一简" w:eastAsia="汉仪书宋一简"/>
                <w:color w:val="0000FF"/>
                <w:kern w:val="0"/>
                <w:sz w:val="20"/>
                <w:lang w:val="en-US" w:eastAsia="zh-CN"/>
              </w:rPr>
              <w:t>区分重大和轻度</w:t>
            </w:r>
            <w:r>
              <w:rPr>
                <w:rFonts w:hint="eastAsia" w:ascii="汉仪书宋一简" w:eastAsia="汉仪书宋一简"/>
                <w:color w:val="0000FF"/>
                <w:kern w:val="0"/>
                <w:sz w:val="20"/>
                <w:lang w:eastAsia="zh-CN"/>
              </w:rPr>
              <w:t>）</w:t>
            </w:r>
          </w:p>
        </w:tc>
      </w:tr>
      <w:tr w14:paraId="4CC4143C">
        <w:tblPrEx>
          <w:tblBorders>
            <w:top w:val="single" w:color="FF0000" w:sz="8" w:space="0"/>
            <w:left w:val="single" w:color="FF0000" w:sz="8" w:space="0"/>
            <w:bottom w:val="single" w:color="FF0000" w:sz="8" w:space="0"/>
            <w:right w:val="single" w:color="FF0000" w:sz="8" w:space="0"/>
            <w:insideH w:val="single" w:color="FF0000" w:sz="8" w:space="0"/>
            <w:insideV w:val="single" w:color="FF0000" w:sz="8" w:space="0"/>
          </w:tblBorders>
          <w:tblCellMar>
            <w:top w:w="0" w:type="dxa"/>
            <w:left w:w="108" w:type="dxa"/>
            <w:bottom w:w="0" w:type="dxa"/>
            <w:right w:w="108" w:type="dxa"/>
          </w:tblCellMar>
        </w:tblPrEx>
        <w:trPr>
          <w:trHeight w:val="20" w:hRule="atLeast"/>
          <w:jc w:val="center"/>
        </w:trPr>
        <w:tc>
          <w:tcPr>
            <w:tcW w:w="724" w:type="pct"/>
            <w:vMerge w:val="continue"/>
            <w:shd w:val="clear" w:color="auto" w:fill="auto"/>
            <w:vAlign w:val="center"/>
          </w:tcPr>
          <w:p w14:paraId="7FCAB16B">
            <w:pPr>
              <w:spacing w:before="31" w:beforeLines="10" w:after="62" w:afterLines="20" w:line="280" w:lineRule="exact"/>
              <w:ind w:firstLine="0" w:firstLineChars="0"/>
              <w:rPr>
                <w:rFonts w:hint="eastAsia" w:ascii="汉仪书宋一简" w:eastAsia="汉仪书宋一简"/>
                <w:b/>
                <w:kern w:val="0"/>
                <w:sz w:val="20"/>
              </w:rPr>
            </w:pPr>
          </w:p>
        </w:tc>
        <w:tc>
          <w:tcPr>
            <w:tcW w:w="4276" w:type="pct"/>
            <w:shd w:val="clear" w:color="auto" w:fill="auto"/>
            <w:vAlign w:val="center"/>
          </w:tcPr>
          <w:p w14:paraId="1E054F68">
            <w:pPr>
              <w:spacing w:before="31" w:beforeLines="10" w:after="62" w:afterLines="20" w:line="280" w:lineRule="exact"/>
              <w:ind w:firstLine="0" w:firstLineChars="0"/>
              <w:rPr>
                <w:rFonts w:hint="default" w:ascii="汉仪书宋一简" w:eastAsia="汉仪书宋一简"/>
                <w:kern w:val="0"/>
                <w:sz w:val="20"/>
                <w:lang w:val="en-US" w:eastAsia="zh-CN"/>
              </w:rPr>
            </w:pPr>
            <w:r>
              <w:rPr>
                <w:rFonts w:hint="eastAsia" w:ascii="汉仪书宋一简" w:eastAsia="汉仪书宋一简"/>
                <w:kern w:val="0"/>
                <w:sz w:val="20"/>
              </w:rPr>
              <w:t>报告书应当包括：（1）建设项目概况；（2）建设项目周围环境现状；（3）建设项目对环境可能造成影响的分析、预测和评估；（4）建设项目环境保护措施及其技术、经济论证；（5）建设项目对环境影响的经济损益分析；（6）对建设项目实施环境监测的建议；（7）环境影响评价的结论</w:t>
            </w:r>
            <w:r>
              <w:rPr>
                <w:rFonts w:hint="eastAsia" w:ascii="汉仪书宋一简" w:eastAsia="汉仪书宋一简"/>
                <w:kern w:val="0"/>
                <w:sz w:val="20"/>
                <w:lang w:val="en-US" w:eastAsia="zh-CN"/>
              </w:rPr>
              <w:t xml:space="preserve"> 了</w:t>
            </w:r>
            <w:r>
              <w:rPr>
                <w:rFonts w:hint="eastAsia" w:ascii="汉仪书宋一简" w:eastAsia="汉仪书宋一简"/>
                <w:color w:val="0000FF"/>
                <w:kern w:val="0"/>
                <w:sz w:val="20"/>
                <w:lang w:val="en-US" w:eastAsia="zh-CN"/>
              </w:rPr>
              <w:t>解</w:t>
            </w:r>
          </w:p>
        </w:tc>
      </w:tr>
      <w:tr w14:paraId="14DEF9C7">
        <w:tblPrEx>
          <w:tblBorders>
            <w:top w:val="single" w:color="FF0000" w:sz="8" w:space="0"/>
            <w:left w:val="single" w:color="FF0000" w:sz="8" w:space="0"/>
            <w:bottom w:val="single" w:color="FF0000" w:sz="8" w:space="0"/>
            <w:right w:val="single" w:color="FF0000" w:sz="8" w:space="0"/>
            <w:insideH w:val="single" w:color="FF0000" w:sz="8" w:space="0"/>
            <w:insideV w:val="single" w:color="FF0000" w:sz="8" w:space="0"/>
          </w:tblBorders>
          <w:tblCellMar>
            <w:top w:w="0" w:type="dxa"/>
            <w:left w:w="108" w:type="dxa"/>
            <w:bottom w:w="0" w:type="dxa"/>
            <w:right w:w="108" w:type="dxa"/>
          </w:tblCellMar>
        </w:tblPrEx>
        <w:trPr>
          <w:trHeight w:val="20" w:hRule="atLeast"/>
          <w:jc w:val="center"/>
        </w:trPr>
        <w:tc>
          <w:tcPr>
            <w:tcW w:w="724" w:type="pct"/>
            <w:vMerge w:val="continue"/>
            <w:shd w:val="clear" w:color="auto" w:fill="auto"/>
            <w:vAlign w:val="center"/>
          </w:tcPr>
          <w:p w14:paraId="19491844">
            <w:pPr>
              <w:spacing w:before="31" w:beforeLines="10" w:after="62" w:afterLines="20" w:line="280" w:lineRule="exact"/>
              <w:ind w:firstLine="0" w:firstLineChars="0"/>
              <w:rPr>
                <w:rFonts w:hint="eastAsia" w:ascii="汉仪书宋一简" w:eastAsia="汉仪书宋一简"/>
                <w:b/>
                <w:kern w:val="0"/>
                <w:sz w:val="20"/>
              </w:rPr>
            </w:pPr>
          </w:p>
        </w:tc>
        <w:tc>
          <w:tcPr>
            <w:tcW w:w="4276" w:type="pct"/>
            <w:shd w:val="clear" w:color="auto" w:fill="auto"/>
            <w:vAlign w:val="center"/>
          </w:tcPr>
          <w:p w14:paraId="2434B3B5">
            <w:pPr>
              <w:spacing w:before="31" w:beforeLines="10" w:after="62" w:afterLines="20" w:line="280" w:lineRule="exact"/>
              <w:ind w:firstLine="0" w:firstLineChars="0"/>
              <w:rPr>
                <w:rFonts w:hint="eastAsia" w:ascii="汉仪书宋一简" w:eastAsia="汉仪书宋一简"/>
                <w:kern w:val="0"/>
                <w:sz w:val="20"/>
              </w:rPr>
            </w:pPr>
            <w:r>
              <w:rPr>
                <w:rFonts w:hint="eastAsia" w:ascii="汉仪中黑简" w:eastAsia="汉仪中黑简"/>
                <w:kern w:val="0"/>
                <w:sz w:val="20"/>
              </w:rPr>
              <w:t>编制：</w:t>
            </w:r>
            <w:r>
              <w:rPr>
                <w:rFonts w:hint="eastAsia" w:ascii="汉仪书宋一简" w:eastAsia="汉仪书宋一简"/>
                <w:kern w:val="0"/>
                <w:sz w:val="20"/>
              </w:rPr>
              <w:t>建设单位可以委托技术单位也可以自行对其建设项目开展环境影响评价。接受委托的技术单位，不得与负责审批建设项目环境影响报告书、环境影响报告表的生态环境主管部门或者其他有关审批部门存在任何利益关系</w:t>
            </w:r>
          </w:p>
        </w:tc>
      </w:tr>
      <w:tr w14:paraId="68267C1D">
        <w:tblPrEx>
          <w:tblBorders>
            <w:top w:val="single" w:color="FF0000" w:sz="8" w:space="0"/>
            <w:left w:val="single" w:color="FF0000" w:sz="8" w:space="0"/>
            <w:bottom w:val="single" w:color="FF0000" w:sz="8" w:space="0"/>
            <w:right w:val="single" w:color="FF0000" w:sz="8" w:space="0"/>
            <w:insideH w:val="single" w:color="FF0000" w:sz="8" w:space="0"/>
            <w:insideV w:val="single" w:color="FF0000" w:sz="8" w:space="0"/>
          </w:tblBorders>
          <w:tblCellMar>
            <w:top w:w="0" w:type="dxa"/>
            <w:left w:w="108" w:type="dxa"/>
            <w:bottom w:w="0" w:type="dxa"/>
            <w:right w:w="108" w:type="dxa"/>
          </w:tblCellMar>
        </w:tblPrEx>
        <w:trPr>
          <w:trHeight w:val="20" w:hRule="atLeast"/>
          <w:jc w:val="center"/>
        </w:trPr>
        <w:tc>
          <w:tcPr>
            <w:tcW w:w="724" w:type="pct"/>
            <w:vMerge w:val="continue"/>
            <w:shd w:val="clear" w:color="auto" w:fill="auto"/>
            <w:vAlign w:val="center"/>
          </w:tcPr>
          <w:p w14:paraId="492104A9">
            <w:pPr>
              <w:spacing w:before="31" w:beforeLines="10" w:after="62" w:afterLines="20" w:line="280" w:lineRule="exact"/>
              <w:ind w:firstLine="0" w:firstLineChars="0"/>
              <w:rPr>
                <w:rFonts w:hint="eastAsia" w:ascii="汉仪书宋一简" w:eastAsia="汉仪书宋一简"/>
                <w:b/>
                <w:kern w:val="0"/>
                <w:sz w:val="20"/>
              </w:rPr>
            </w:pPr>
          </w:p>
        </w:tc>
        <w:tc>
          <w:tcPr>
            <w:tcW w:w="4276" w:type="pct"/>
            <w:shd w:val="clear" w:color="auto" w:fill="auto"/>
            <w:vAlign w:val="center"/>
          </w:tcPr>
          <w:p w14:paraId="12BC982C">
            <w:pPr>
              <w:spacing w:before="31" w:beforeLines="10" w:after="62" w:afterLines="20" w:line="280" w:lineRule="exact"/>
              <w:ind w:firstLine="0" w:firstLineChars="0"/>
              <w:rPr>
                <w:rFonts w:hint="eastAsia" w:ascii="汉仪书宋一简" w:eastAsia="汉仪书宋一简"/>
                <w:kern w:val="0"/>
                <w:sz w:val="20"/>
              </w:rPr>
            </w:pPr>
            <w:r>
              <w:rPr>
                <w:rFonts w:hint="eastAsia" w:ascii="汉仪中黑简" w:eastAsia="汉仪中黑简"/>
                <w:kern w:val="0"/>
                <w:sz w:val="20"/>
              </w:rPr>
              <w:t>审批与备案：</w:t>
            </w:r>
            <w:r>
              <w:rPr>
                <w:rFonts w:hint="eastAsia" w:ascii="汉仪书宋一简" w:hAnsi="楷体" w:eastAsia="汉仪中黑简" w:cs="楷体"/>
                <w:color w:val="FF0000"/>
                <w:kern w:val="0"/>
                <w:sz w:val="20"/>
              </w:rPr>
              <w:t>报告书、报告表实行审批制</w:t>
            </w:r>
            <w:r>
              <w:rPr>
                <w:rFonts w:hint="eastAsia" w:ascii="汉仪书宋一简" w:hAnsi="楷体" w:eastAsia="汉仪中黑简" w:cs="楷体"/>
                <w:color w:val="FF0000"/>
                <w:kern w:val="0"/>
                <w:sz w:val="20"/>
                <w:lang w:eastAsia="zh-CN"/>
              </w:rPr>
              <w:t>（</w:t>
            </w:r>
            <w:r>
              <w:rPr>
                <w:rFonts w:hint="eastAsia" w:ascii="汉仪书宋一简" w:hAnsi="楷体" w:eastAsia="汉仪中黑简" w:cs="楷体"/>
                <w:color w:val="FF0000"/>
                <w:kern w:val="0"/>
                <w:sz w:val="20"/>
                <w:lang w:val="en-US" w:eastAsia="zh-CN"/>
              </w:rPr>
              <w:t>国省两级</w:t>
            </w:r>
            <w:r>
              <w:rPr>
                <w:rFonts w:hint="eastAsia" w:ascii="汉仪书宋一简" w:hAnsi="楷体" w:eastAsia="汉仪中黑简" w:cs="楷体"/>
                <w:color w:val="FF0000"/>
                <w:kern w:val="0"/>
                <w:sz w:val="20"/>
                <w:lang w:eastAsia="zh-CN"/>
              </w:rPr>
              <w:t>）</w:t>
            </w:r>
            <w:r>
              <w:rPr>
                <w:rFonts w:hint="eastAsia" w:ascii="汉仪书宋一简" w:eastAsia="汉仪书宋一简"/>
                <w:kern w:val="0"/>
                <w:sz w:val="20"/>
              </w:rPr>
              <w:t>，国务院生态环境主管部门负责审批核设施、绝密工程等特殊性质的建设项目，跨省级行政区域的建设项目以及由国务院审批的或者由国务院授权有关部门审批的建设项目的环评文件。其他项目的审批权限，由省级政府规定。建设项目可能造成跨行政区域的不良环境影响，有关生态环境主管部门对该项目的环境影响评价结论有争议的，其环境影响评价文件由共同的上一级生态环境主管部门审批。</w:t>
            </w:r>
            <w:r>
              <w:rPr>
                <w:rFonts w:hint="eastAsia" w:ascii="汉仪书宋一简" w:hAnsi="楷体" w:eastAsia="汉仪中黑简" w:cs="楷体"/>
                <w:color w:val="FF0000"/>
                <w:kern w:val="0"/>
                <w:sz w:val="20"/>
              </w:rPr>
              <w:t>登记表实行备案制</w:t>
            </w:r>
          </w:p>
        </w:tc>
      </w:tr>
      <w:tr w14:paraId="14AD4909">
        <w:tblPrEx>
          <w:tblBorders>
            <w:top w:val="single" w:color="FF0000" w:sz="8" w:space="0"/>
            <w:left w:val="single" w:color="FF0000" w:sz="8" w:space="0"/>
            <w:bottom w:val="single" w:color="FF0000" w:sz="8" w:space="0"/>
            <w:right w:val="single" w:color="FF0000" w:sz="8" w:space="0"/>
            <w:insideH w:val="single" w:color="FF0000" w:sz="8" w:space="0"/>
            <w:insideV w:val="single" w:color="FF0000" w:sz="8" w:space="0"/>
          </w:tblBorders>
          <w:tblCellMar>
            <w:top w:w="0" w:type="dxa"/>
            <w:left w:w="108" w:type="dxa"/>
            <w:bottom w:w="0" w:type="dxa"/>
            <w:right w:w="108" w:type="dxa"/>
          </w:tblCellMar>
        </w:tblPrEx>
        <w:trPr>
          <w:trHeight w:val="20" w:hRule="atLeast"/>
          <w:jc w:val="center"/>
        </w:trPr>
        <w:tc>
          <w:tcPr>
            <w:tcW w:w="724" w:type="pct"/>
            <w:vMerge w:val="restart"/>
            <w:shd w:val="clear" w:color="auto" w:fill="auto"/>
            <w:vAlign w:val="center"/>
          </w:tcPr>
          <w:p w14:paraId="27746437">
            <w:pPr>
              <w:spacing w:before="31" w:beforeLines="10" w:after="62" w:afterLines="20" w:line="280" w:lineRule="exact"/>
              <w:ind w:firstLine="0" w:firstLineChars="0"/>
              <w:jc w:val="center"/>
              <w:rPr>
                <w:rFonts w:hint="eastAsia" w:ascii="汉仪书宋一简" w:eastAsia="汉仪书宋一简"/>
                <w:b/>
                <w:kern w:val="0"/>
                <w:sz w:val="20"/>
              </w:rPr>
            </w:pPr>
            <w:r>
              <w:rPr>
                <w:rFonts w:hint="eastAsia" w:ascii="汉仪中黑简" w:eastAsia="汉仪中黑简"/>
                <w:bCs/>
                <w:kern w:val="0"/>
                <w:sz w:val="20"/>
              </w:rPr>
              <w:t>建设项目</w:t>
            </w:r>
          </w:p>
        </w:tc>
        <w:tc>
          <w:tcPr>
            <w:tcW w:w="4276" w:type="pct"/>
            <w:shd w:val="clear" w:color="auto" w:fill="auto"/>
            <w:vAlign w:val="center"/>
          </w:tcPr>
          <w:p w14:paraId="3735593D">
            <w:pPr>
              <w:spacing w:before="31" w:beforeLines="10" w:after="62" w:afterLines="20" w:line="280" w:lineRule="exact"/>
              <w:ind w:firstLine="0" w:firstLineChars="0"/>
              <w:rPr>
                <w:rFonts w:hint="eastAsia" w:ascii="汉仪书宋一简" w:eastAsia="汉仪书宋一简"/>
                <w:b/>
                <w:kern w:val="0"/>
                <w:sz w:val="20"/>
              </w:rPr>
            </w:pPr>
            <w:r>
              <w:rPr>
                <w:rFonts w:hint="eastAsia" w:ascii="汉仪中黑简" w:eastAsia="汉仪中黑简"/>
                <w:kern w:val="0"/>
                <w:sz w:val="20"/>
              </w:rPr>
              <w:t>重新报批：</w:t>
            </w:r>
            <w:r>
              <w:rPr>
                <w:rFonts w:hint="eastAsia" w:ascii="汉仪书宋一简" w:eastAsia="汉仪书宋一简"/>
                <w:kern w:val="0"/>
                <w:sz w:val="20"/>
              </w:rPr>
              <w:t>建设项目的环境影响评价文件经批准后，建设项目的性质、规模、地点、采用的生产工艺或者防治污染、防止生态破坏的措施</w:t>
            </w:r>
            <w:r>
              <w:rPr>
                <w:rFonts w:hint="eastAsia" w:ascii="汉仪书宋一简" w:hAnsi="楷体" w:eastAsia="汉仪中黑简" w:cs="楷体"/>
                <w:color w:val="FF0000"/>
                <w:kern w:val="0"/>
                <w:sz w:val="20"/>
              </w:rPr>
              <w:t>发生重大变动</w:t>
            </w:r>
            <w:r>
              <w:rPr>
                <w:rFonts w:hint="eastAsia" w:ascii="汉仪书宋一简" w:eastAsia="汉仪书宋一简"/>
                <w:kern w:val="0"/>
                <w:sz w:val="20"/>
              </w:rPr>
              <w:t>的，建设单位应当重新报批建设项目的环境影响评价文件</w:t>
            </w:r>
          </w:p>
        </w:tc>
      </w:tr>
      <w:tr w14:paraId="58C22FA2">
        <w:tblPrEx>
          <w:tblBorders>
            <w:top w:val="single" w:color="FF0000" w:sz="8" w:space="0"/>
            <w:left w:val="single" w:color="FF0000" w:sz="8" w:space="0"/>
            <w:bottom w:val="single" w:color="FF0000" w:sz="8" w:space="0"/>
            <w:right w:val="single" w:color="FF0000" w:sz="8" w:space="0"/>
            <w:insideH w:val="single" w:color="FF0000" w:sz="8" w:space="0"/>
            <w:insideV w:val="single" w:color="FF0000" w:sz="8" w:space="0"/>
          </w:tblBorders>
          <w:tblCellMar>
            <w:top w:w="0" w:type="dxa"/>
            <w:left w:w="108" w:type="dxa"/>
            <w:bottom w:w="0" w:type="dxa"/>
            <w:right w:w="108" w:type="dxa"/>
          </w:tblCellMar>
        </w:tblPrEx>
        <w:trPr>
          <w:trHeight w:val="20" w:hRule="atLeast"/>
          <w:jc w:val="center"/>
        </w:trPr>
        <w:tc>
          <w:tcPr>
            <w:tcW w:w="724" w:type="pct"/>
            <w:vMerge w:val="continue"/>
            <w:shd w:val="clear" w:color="auto" w:fill="auto"/>
            <w:vAlign w:val="center"/>
          </w:tcPr>
          <w:p w14:paraId="56D7A9DF">
            <w:pPr>
              <w:spacing w:before="31" w:beforeLines="10" w:after="62" w:afterLines="20" w:line="280" w:lineRule="exact"/>
              <w:ind w:firstLine="0" w:firstLineChars="0"/>
              <w:rPr>
                <w:rFonts w:hint="eastAsia" w:ascii="汉仪书宋一简" w:eastAsia="汉仪书宋一简"/>
                <w:b/>
                <w:kern w:val="0"/>
                <w:sz w:val="20"/>
              </w:rPr>
            </w:pPr>
          </w:p>
        </w:tc>
        <w:tc>
          <w:tcPr>
            <w:tcW w:w="4276" w:type="pct"/>
            <w:shd w:val="clear" w:color="auto" w:fill="auto"/>
            <w:vAlign w:val="center"/>
          </w:tcPr>
          <w:p w14:paraId="2A9CB46B">
            <w:pPr>
              <w:spacing w:before="31" w:beforeLines="10" w:after="62" w:afterLines="20" w:line="280" w:lineRule="exact"/>
              <w:ind w:firstLine="0" w:firstLineChars="0"/>
              <w:rPr>
                <w:rFonts w:hint="eastAsia" w:ascii="汉仪书宋一简" w:eastAsia="汉仪书宋一简"/>
                <w:b/>
                <w:kern w:val="0"/>
                <w:sz w:val="20"/>
              </w:rPr>
            </w:pPr>
            <w:r>
              <w:rPr>
                <w:rFonts w:hint="eastAsia" w:ascii="汉仪中黑简" w:eastAsia="汉仪中黑简"/>
                <w:kern w:val="0"/>
                <w:sz w:val="20"/>
              </w:rPr>
              <w:t>重新审核：</w:t>
            </w:r>
            <w:r>
              <w:rPr>
                <w:rFonts w:hint="eastAsia" w:ascii="汉仪书宋一简" w:eastAsia="汉仪书宋一简"/>
                <w:color w:val="0000FF"/>
                <w:kern w:val="0"/>
                <w:sz w:val="20"/>
              </w:rPr>
              <w:t>建设项目的环境影响评价文件自批准之日起超过5年，方决定该项目开工建设的</w:t>
            </w:r>
            <w:r>
              <w:rPr>
                <w:rFonts w:hint="eastAsia" w:ascii="汉仪书宋一简" w:eastAsia="汉仪书宋一简"/>
                <w:kern w:val="0"/>
                <w:sz w:val="20"/>
              </w:rPr>
              <w:t>，其环境影响评价文件应当报原审批部门重新审核</w:t>
            </w:r>
          </w:p>
        </w:tc>
      </w:tr>
      <w:tr w14:paraId="31684EB4">
        <w:tblPrEx>
          <w:tblBorders>
            <w:top w:val="single" w:color="FF0000" w:sz="8" w:space="0"/>
            <w:left w:val="single" w:color="FF0000" w:sz="8" w:space="0"/>
            <w:bottom w:val="single" w:color="FF0000" w:sz="8" w:space="0"/>
            <w:right w:val="single" w:color="FF0000" w:sz="8" w:space="0"/>
            <w:insideH w:val="single" w:color="FF0000" w:sz="8" w:space="0"/>
            <w:insideV w:val="single" w:color="FF0000" w:sz="8" w:space="0"/>
          </w:tblBorders>
          <w:tblCellMar>
            <w:top w:w="0" w:type="dxa"/>
            <w:left w:w="108" w:type="dxa"/>
            <w:bottom w:w="0" w:type="dxa"/>
            <w:right w:w="108" w:type="dxa"/>
          </w:tblCellMar>
        </w:tblPrEx>
        <w:trPr>
          <w:trHeight w:val="20" w:hRule="atLeast"/>
          <w:jc w:val="center"/>
        </w:trPr>
        <w:tc>
          <w:tcPr>
            <w:tcW w:w="724" w:type="pct"/>
            <w:vMerge w:val="continue"/>
            <w:shd w:val="clear" w:color="auto" w:fill="auto"/>
            <w:vAlign w:val="center"/>
          </w:tcPr>
          <w:p w14:paraId="2CAA2D9F">
            <w:pPr>
              <w:spacing w:before="31" w:beforeLines="10" w:after="62" w:afterLines="20" w:line="280" w:lineRule="exact"/>
              <w:ind w:firstLine="0" w:firstLineChars="0"/>
              <w:rPr>
                <w:rFonts w:hint="eastAsia" w:ascii="汉仪书宋一简" w:eastAsia="汉仪书宋一简"/>
                <w:b/>
                <w:kern w:val="0"/>
                <w:sz w:val="20"/>
              </w:rPr>
            </w:pPr>
          </w:p>
        </w:tc>
        <w:tc>
          <w:tcPr>
            <w:tcW w:w="4276" w:type="pct"/>
            <w:shd w:val="clear" w:color="auto" w:fill="auto"/>
            <w:vAlign w:val="center"/>
          </w:tcPr>
          <w:p w14:paraId="17A50973">
            <w:pPr>
              <w:spacing w:before="31" w:beforeLines="10" w:after="62" w:afterLines="20" w:line="280" w:lineRule="exact"/>
              <w:ind w:firstLine="0" w:firstLineChars="0"/>
              <w:rPr>
                <w:rFonts w:hint="eastAsia" w:ascii="汉仪书宋一简" w:eastAsia="汉仪书宋一简"/>
                <w:kern w:val="0"/>
                <w:sz w:val="20"/>
                <w:lang w:eastAsia="zh-CN"/>
              </w:rPr>
            </w:pPr>
            <w:r>
              <w:rPr>
                <w:rFonts w:hint="eastAsia" w:ascii="汉仪中黑简" w:eastAsia="汉仪中黑简"/>
                <w:kern w:val="0"/>
                <w:sz w:val="20"/>
              </w:rPr>
              <w:t>后评价：</w:t>
            </w:r>
            <w:r>
              <w:rPr>
                <w:rFonts w:hint="eastAsia" w:ascii="汉仪书宋一简" w:eastAsia="汉仪书宋一简" w:hAnsiTheme="minorEastAsia"/>
                <w:kern w:val="0"/>
                <w:sz w:val="20"/>
              </w:rPr>
              <w:t>在项目建设、运行过程中产生不符合经审批的环境影响评价文件的情形的，建设单位应当组织环境影响的后评价，采取改进措施，并报原环境影响评价文件审批部门和建设项目审批部门备案；原环境影响评价文件审批部门也可以责成建设单位进行环境影响的后评价，采取改进措施</w:t>
            </w:r>
            <w:r>
              <w:rPr>
                <w:rFonts w:hint="eastAsia" w:ascii="汉仪书宋一简" w:eastAsia="汉仪书宋一简" w:hAnsiTheme="minorEastAsia"/>
                <w:color w:val="0000FF"/>
                <w:kern w:val="0"/>
                <w:sz w:val="20"/>
                <w:lang w:eastAsia="zh-CN"/>
              </w:rPr>
              <w:t>（</w:t>
            </w:r>
            <w:r>
              <w:rPr>
                <w:rFonts w:hint="eastAsia" w:ascii="汉仪书宋一简" w:eastAsia="汉仪书宋一简" w:hAnsiTheme="minorEastAsia"/>
                <w:color w:val="0000FF"/>
                <w:kern w:val="0"/>
                <w:sz w:val="20"/>
                <w:lang w:val="en-US" w:eastAsia="zh-CN"/>
              </w:rPr>
              <w:t>过程中</w:t>
            </w:r>
            <w:r>
              <w:rPr>
                <w:rFonts w:hint="eastAsia" w:ascii="汉仪书宋一简" w:eastAsia="汉仪书宋一简" w:hAnsiTheme="minorEastAsia"/>
                <w:color w:val="0000FF"/>
                <w:kern w:val="0"/>
                <w:sz w:val="20"/>
                <w:lang w:eastAsia="zh-CN"/>
              </w:rPr>
              <w:t>）</w:t>
            </w:r>
          </w:p>
        </w:tc>
      </w:tr>
      <w:tr w14:paraId="5FD6A072">
        <w:tblPrEx>
          <w:tblBorders>
            <w:top w:val="single" w:color="FF0000" w:sz="8" w:space="0"/>
            <w:left w:val="single" w:color="FF0000" w:sz="8" w:space="0"/>
            <w:bottom w:val="single" w:color="FF0000" w:sz="8" w:space="0"/>
            <w:right w:val="single" w:color="FF0000" w:sz="8" w:space="0"/>
            <w:insideH w:val="single" w:color="FF0000" w:sz="8" w:space="0"/>
            <w:insideV w:val="single" w:color="FF0000" w:sz="8" w:space="0"/>
          </w:tblBorders>
          <w:tblCellMar>
            <w:top w:w="0" w:type="dxa"/>
            <w:left w:w="108" w:type="dxa"/>
            <w:bottom w:w="0" w:type="dxa"/>
            <w:right w:w="108" w:type="dxa"/>
          </w:tblCellMar>
        </w:tblPrEx>
        <w:trPr>
          <w:trHeight w:val="20" w:hRule="atLeast"/>
          <w:jc w:val="center"/>
        </w:trPr>
        <w:tc>
          <w:tcPr>
            <w:tcW w:w="724" w:type="pct"/>
            <w:vMerge w:val="restart"/>
            <w:shd w:val="clear" w:color="auto" w:fill="auto"/>
            <w:vAlign w:val="center"/>
          </w:tcPr>
          <w:p w14:paraId="09A025A3">
            <w:pPr>
              <w:spacing w:before="31" w:beforeLines="10" w:after="62" w:afterLines="20" w:line="280" w:lineRule="exact"/>
              <w:ind w:firstLine="0" w:firstLineChars="0"/>
              <w:jc w:val="center"/>
              <w:rPr>
                <w:rFonts w:hint="eastAsia" w:ascii="汉仪书宋一简" w:eastAsia="汉仪书宋一简"/>
                <w:b/>
                <w:kern w:val="0"/>
                <w:sz w:val="20"/>
              </w:rPr>
            </w:pPr>
            <w:r>
              <w:rPr>
                <w:rFonts w:hint="eastAsia" w:ascii="汉仪中黑简" w:eastAsia="汉仪中黑简"/>
                <w:bCs/>
                <w:kern w:val="0"/>
                <w:sz w:val="20"/>
              </w:rPr>
              <w:t>规划与建设项目环评的关系</w:t>
            </w:r>
          </w:p>
        </w:tc>
        <w:tc>
          <w:tcPr>
            <w:tcW w:w="4276" w:type="pct"/>
            <w:shd w:val="clear" w:color="auto" w:fill="auto"/>
            <w:vAlign w:val="center"/>
          </w:tcPr>
          <w:p w14:paraId="5FD09450">
            <w:pPr>
              <w:spacing w:before="31" w:beforeLines="10" w:after="62" w:afterLines="20" w:line="280" w:lineRule="exact"/>
              <w:ind w:firstLine="0" w:firstLineChars="0"/>
              <w:rPr>
                <w:rFonts w:hint="eastAsia" w:ascii="汉仪书宋一简" w:eastAsia="汉仪书宋一简"/>
                <w:kern w:val="0"/>
                <w:sz w:val="20"/>
              </w:rPr>
            </w:pPr>
            <w:r>
              <w:rPr>
                <w:rFonts w:hint="eastAsia" w:ascii="汉仪书宋一简" w:eastAsia="汉仪书宋一简"/>
                <w:kern w:val="0"/>
                <w:sz w:val="20"/>
              </w:rPr>
              <w:t>建设项目的环境影响评价，</w:t>
            </w:r>
            <w:r>
              <w:rPr>
                <w:rFonts w:hint="eastAsia" w:ascii="汉仪书宋一简" w:eastAsia="汉仪书宋一简"/>
                <w:color w:val="0000FF"/>
                <w:kern w:val="0"/>
                <w:sz w:val="20"/>
              </w:rPr>
              <w:t>应当避免与规划的环境影响评价相重复</w:t>
            </w:r>
          </w:p>
        </w:tc>
      </w:tr>
      <w:tr w14:paraId="52D6E91E">
        <w:tblPrEx>
          <w:tblBorders>
            <w:top w:val="single" w:color="FF0000" w:sz="8" w:space="0"/>
            <w:left w:val="single" w:color="FF0000" w:sz="8" w:space="0"/>
            <w:bottom w:val="single" w:color="FF0000" w:sz="8" w:space="0"/>
            <w:right w:val="single" w:color="FF0000" w:sz="8" w:space="0"/>
            <w:insideH w:val="single" w:color="FF0000" w:sz="8" w:space="0"/>
            <w:insideV w:val="single" w:color="FF0000" w:sz="8" w:space="0"/>
          </w:tblBorders>
          <w:tblCellMar>
            <w:top w:w="0" w:type="dxa"/>
            <w:left w:w="108" w:type="dxa"/>
            <w:bottom w:w="0" w:type="dxa"/>
            <w:right w:w="108" w:type="dxa"/>
          </w:tblCellMar>
        </w:tblPrEx>
        <w:trPr>
          <w:trHeight w:val="20" w:hRule="atLeast"/>
          <w:jc w:val="center"/>
        </w:trPr>
        <w:tc>
          <w:tcPr>
            <w:tcW w:w="724" w:type="pct"/>
            <w:vMerge w:val="continue"/>
            <w:shd w:val="clear" w:color="auto" w:fill="auto"/>
            <w:vAlign w:val="center"/>
          </w:tcPr>
          <w:p w14:paraId="47D61805">
            <w:pPr>
              <w:spacing w:before="31" w:beforeLines="10" w:after="62" w:afterLines="20" w:line="280" w:lineRule="exact"/>
              <w:ind w:firstLine="0" w:firstLineChars="0"/>
              <w:rPr>
                <w:rFonts w:hint="eastAsia" w:ascii="汉仪书宋一简" w:eastAsia="汉仪书宋一简"/>
                <w:b/>
                <w:kern w:val="0"/>
                <w:sz w:val="20"/>
              </w:rPr>
            </w:pPr>
          </w:p>
        </w:tc>
        <w:tc>
          <w:tcPr>
            <w:tcW w:w="4276" w:type="pct"/>
            <w:shd w:val="clear" w:color="auto" w:fill="auto"/>
            <w:vAlign w:val="center"/>
          </w:tcPr>
          <w:p w14:paraId="7B645327">
            <w:pPr>
              <w:spacing w:before="31" w:beforeLines="10" w:after="62" w:afterLines="20" w:line="280" w:lineRule="exact"/>
              <w:ind w:firstLine="0" w:firstLineChars="0"/>
              <w:rPr>
                <w:rFonts w:hint="eastAsia" w:ascii="汉仪书宋一简" w:eastAsia="汉仪书宋一简"/>
                <w:b/>
                <w:kern w:val="0"/>
                <w:sz w:val="20"/>
              </w:rPr>
            </w:pPr>
            <w:r>
              <w:rPr>
                <w:rFonts w:hint="eastAsia" w:ascii="汉仪书宋一简" w:eastAsia="汉仪书宋一简"/>
                <w:kern w:val="0"/>
                <w:sz w:val="20"/>
              </w:rPr>
              <w:t>作为一项整体建设项目的规划，按建设项目进行环评，不进行规划的环评</w:t>
            </w:r>
          </w:p>
        </w:tc>
      </w:tr>
      <w:tr w14:paraId="64333803">
        <w:tblPrEx>
          <w:tblBorders>
            <w:top w:val="single" w:color="FF0000" w:sz="8" w:space="0"/>
            <w:left w:val="single" w:color="FF0000" w:sz="8" w:space="0"/>
            <w:bottom w:val="single" w:color="FF0000" w:sz="8" w:space="0"/>
            <w:right w:val="single" w:color="FF0000" w:sz="8" w:space="0"/>
            <w:insideH w:val="single" w:color="FF0000" w:sz="8" w:space="0"/>
            <w:insideV w:val="single" w:color="FF0000" w:sz="8" w:space="0"/>
          </w:tblBorders>
          <w:tblCellMar>
            <w:top w:w="0" w:type="dxa"/>
            <w:left w:w="108" w:type="dxa"/>
            <w:bottom w:w="0" w:type="dxa"/>
            <w:right w:w="108" w:type="dxa"/>
          </w:tblCellMar>
        </w:tblPrEx>
        <w:trPr>
          <w:trHeight w:val="20" w:hRule="atLeast"/>
          <w:jc w:val="center"/>
        </w:trPr>
        <w:tc>
          <w:tcPr>
            <w:tcW w:w="724" w:type="pct"/>
            <w:vMerge w:val="continue"/>
            <w:shd w:val="clear" w:color="auto" w:fill="auto"/>
            <w:vAlign w:val="center"/>
          </w:tcPr>
          <w:p w14:paraId="19B9F7BF">
            <w:pPr>
              <w:spacing w:before="31" w:beforeLines="10" w:after="62" w:afterLines="20" w:line="280" w:lineRule="exact"/>
              <w:ind w:firstLine="0" w:firstLineChars="0"/>
              <w:rPr>
                <w:rFonts w:hint="eastAsia" w:ascii="汉仪书宋一简" w:eastAsia="汉仪书宋一简"/>
                <w:b/>
                <w:kern w:val="0"/>
                <w:sz w:val="20"/>
              </w:rPr>
            </w:pPr>
          </w:p>
        </w:tc>
        <w:tc>
          <w:tcPr>
            <w:tcW w:w="4276" w:type="pct"/>
            <w:shd w:val="clear" w:color="auto" w:fill="auto"/>
            <w:vAlign w:val="center"/>
          </w:tcPr>
          <w:p w14:paraId="0E6217AE">
            <w:pPr>
              <w:spacing w:before="31" w:beforeLines="10" w:after="62" w:afterLines="20" w:line="280" w:lineRule="exact"/>
              <w:ind w:firstLine="0" w:firstLineChars="0"/>
              <w:rPr>
                <w:rFonts w:hint="eastAsia" w:ascii="汉仪书宋一简" w:eastAsia="汉仪书宋一简"/>
                <w:b/>
                <w:kern w:val="0"/>
                <w:sz w:val="20"/>
              </w:rPr>
            </w:pPr>
            <w:r>
              <w:rPr>
                <w:rFonts w:hint="eastAsia" w:ascii="汉仪书宋一简" w:eastAsia="汉仪书宋一简"/>
                <w:kern w:val="0"/>
                <w:sz w:val="20"/>
              </w:rPr>
              <w:t>已经进行了环境影响评价的规划包含具体建设项目的，</w:t>
            </w:r>
            <w:r>
              <w:rPr>
                <w:rFonts w:hint="eastAsia" w:ascii="汉仪书宋一简" w:eastAsia="汉仪书宋一简"/>
                <w:color w:val="0000FF"/>
                <w:kern w:val="0"/>
                <w:sz w:val="20"/>
              </w:rPr>
              <w:t>规划的环境影响评价结论应当作为建设项目环境影响评价的重要依据</w:t>
            </w:r>
            <w:r>
              <w:rPr>
                <w:rFonts w:hint="eastAsia" w:ascii="汉仪书宋一简" w:eastAsia="汉仪书宋一简"/>
                <w:kern w:val="0"/>
                <w:sz w:val="20"/>
              </w:rPr>
              <w:t>，建设项目环境影响评价的内容应当根据规划的环境影响评价审查意见予以简化</w:t>
            </w:r>
          </w:p>
        </w:tc>
      </w:tr>
    </w:tbl>
    <w:p w14:paraId="58B81A23">
      <w:pPr>
        <w:ind w:firstLine="420"/>
        <w:rPr>
          <w:rFonts w:hint="eastAsia" w:ascii="汉仪书宋二简" w:cs="Times New Roman"/>
          <w:color w:val="000000"/>
          <w:szCs w:val="22"/>
        </w:rPr>
      </w:pPr>
    </w:p>
    <w:p w14:paraId="53181EBA">
      <w:pPr>
        <w:tabs>
          <w:tab w:val="clear" w:pos="420"/>
        </w:tabs>
        <w:autoSpaceDE w:val="0"/>
        <w:autoSpaceDN w:val="0"/>
        <w:adjustRightInd w:val="0"/>
        <w:ind w:firstLine="0" w:firstLineChars="0"/>
        <w:jc w:val="left"/>
        <w:textAlignment w:val="center"/>
        <w:rPr>
          <w:rFonts w:ascii="汉仪粗宋简" w:hAnsi="Times New Roman" w:eastAsia="汉仪大宋简" w:cs="汉仪粗宋简"/>
          <w:color w:val="000000"/>
          <w:kern w:val="0"/>
          <w:position w:val="4"/>
          <w:sz w:val="26"/>
          <w:szCs w:val="26"/>
        </w:rPr>
      </w:pPr>
      <w:r>
        <w:rPr>
          <w:rFonts w:hint="eastAsia" w:ascii="汉仪粗宋简" w:hAnsi="Times New Roman" w:eastAsia="汉仪大宋简" w:cs="汉仪粗宋简"/>
          <w:color w:val="000000"/>
          <w:kern w:val="0"/>
          <w:position w:val="4"/>
          <w:sz w:val="26"/>
          <w:szCs w:val="26"/>
          <w:lang w:val="zh-CN"/>
        </w:rPr>
        <w:t>二、其他基本制度</w:t>
      </w:r>
    </w:p>
    <w:p w14:paraId="5F5FAFF8">
      <w:pPr>
        <w:ind w:firstLine="440"/>
        <w:rPr>
          <w:rFonts w:hint="eastAsia" w:ascii="汉仪中黑简" w:eastAsia="汉仪中黑简" w:hAnsiTheme="minorEastAsia"/>
          <w:kern w:val="0"/>
          <w:sz w:val="22"/>
          <w:szCs w:val="22"/>
        </w:rPr>
      </w:pPr>
      <w:r>
        <w:rPr>
          <w:rFonts w:hint="eastAsia" w:ascii="汉仪中黑简" w:eastAsia="汉仪中黑简"/>
          <w:kern w:val="0"/>
          <w:sz w:val="22"/>
          <w:szCs w:val="22"/>
        </w:rPr>
        <w:t>1</w:t>
      </w:r>
      <w:r>
        <w:rPr>
          <w:rFonts w:hint="eastAsia" w:ascii="汉仪中黑简" w:eastAsia="汉仪中黑简" w:hAnsiTheme="minorEastAsia"/>
          <w:kern w:val="0"/>
          <w:sz w:val="22"/>
          <w:szCs w:val="22"/>
        </w:rPr>
        <w:t>．环境标准</w:t>
      </w:r>
    </w:p>
    <w:p w14:paraId="74EE943C">
      <w:pPr>
        <w:ind w:firstLine="420"/>
        <w:rPr>
          <w:rFonts w:hint="eastAsia" w:ascii="汉仪书宋二简" w:hAnsiTheme="minorEastAsia"/>
          <w:color w:val="0000FF"/>
          <w:kern w:val="0"/>
        </w:rPr>
      </w:pPr>
      <w:r>
        <w:rPr>
          <w:rFonts w:hint="eastAsia" w:ascii="汉仪书宋二简" w:hAnsiTheme="minorEastAsia"/>
          <w:kern w:val="0"/>
        </w:rPr>
        <w:t>（</w:t>
      </w:r>
      <w:r>
        <w:rPr>
          <w:rFonts w:hint="eastAsia" w:ascii="汉仪书宋二简"/>
          <w:kern w:val="0"/>
        </w:rPr>
        <w:t>1</w:t>
      </w:r>
      <w:r>
        <w:rPr>
          <w:rFonts w:hint="eastAsia" w:ascii="汉仪书宋二简" w:hAnsiTheme="minorEastAsia"/>
          <w:kern w:val="0"/>
        </w:rPr>
        <w:t>）环境质量标准：国标由国务院环境保护主管部门制定，地标由省级政府制定并报国务院环境保护主管部门备案。</w:t>
      </w:r>
      <w:r>
        <w:rPr>
          <w:rFonts w:hint="eastAsia" w:ascii="汉仪书宋二简" w:hAnsiTheme="minorEastAsia"/>
          <w:color w:val="0000FF"/>
          <w:kern w:val="0"/>
        </w:rPr>
        <w:t>没有国标可以制定地标，有国标可以制定更严格地标。</w:t>
      </w:r>
    </w:p>
    <w:p w14:paraId="7FB9A526">
      <w:pPr>
        <w:ind w:firstLine="420"/>
        <w:rPr>
          <w:rFonts w:hint="eastAsia" w:ascii="汉仪书宋二简" w:hAnsiTheme="minorEastAsia"/>
          <w:color w:val="0000FF"/>
          <w:kern w:val="0"/>
        </w:rPr>
      </w:pPr>
      <w:r>
        <w:rPr>
          <w:rFonts w:hint="eastAsia" w:ascii="汉仪书宋二简" w:hAnsiTheme="minorEastAsia"/>
          <w:kern w:val="0"/>
        </w:rPr>
        <w:t>（</w:t>
      </w:r>
      <w:r>
        <w:rPr>
          <w:rFonts w:hint="eastAsia" w:ascii="汉仪书宋二简"/>
          <w:kern w:val="0"/>
        </w:rPr>
        <w:t>2</w:t>
      </w:r>
      <w:r>
        <w:rPr>
          <w:rFonts w:hint="eastAsia" w:ascii="汉仪书宋二简" w:hAnsiTheme="minorEastAsia"/>
          <w:kern w:val="0"/>
        </w:rPr>
        <w:t>）污染物排放标准：国务院环境保护主管部门根据国家环境质量标准和国家经济、技术条件，制定国家污染物排放标准。地标由省级政府制定并报国务院环境保护主管部门备案。</w:t>
      </w:r>
      <w:r>
        <w:rPr>
          <w:rFonts w:hint="eastAsia" w:ascii="汉仪书宋二简" w:hAnsiTheme="minorEastAsia"/>
          <w:color w:val="0000FF"/>
          <w:kern w:val="0"/>
        </w:rPr>
        <w:t>没有国标可以制定地标，有国标可以制定更严格地标。</w:t>
      </w:r>
    </w:p>
    <w:p w14:paraId="10019D9E">
      <w:pPr>
        <w:ind w:firstLine="440"/>
        <w:rPr>
          <w:rFonts w:hint="eastAsia" w:ascii="汉仪中黑简" w:eastAsia="汉仪中黑简"/>
          <w:kern w:val="0"/>
          <w:sz w:val="22"/>
          <w:szCs w:val="22"/>
        </w:rPr>
      </w:pPr>
      <w:r>
        <w:rPr>
          <w:rFonts w:hint="eastAsia" w:ascii="汉仪中黑简" w:eastAsia="汉仪中黑简"/>
          <w:kern w:val="0"/>
          <w:sz w:val="22"/>
          <w:szCs w:val="22"/>
        </w:rPr>
        <w:t>2．生态保护</w:t>
      </w:r>
    </w:p>
    <w:p w14:paraId="29085EC9">
      <w:pPr>
        <w:ind w:firstLine="420"/>
        <w:rPr>
          <w:rFonts w:hint="eastAsia" w:ascii="汉仪书宋二简" w:eastAsia="汉仪书宋二简" w:hAnsiTheme="minorEastAsia"/>
          <w:kern w:val="0"/>
          <w:lang w:eastAsia="zh-CN"/>
        </w:rPr>
      </w:pPr>
      <w:r>
        <w:rPr>
          <w:rFonts w:hint="eastAsia" w:ascii="汉仪书宋二简" w:hAnsiTheme="minorEastAsia"/>
          <w:kern w:val="0"/>
        </w:rPr>
        <w:t>（</w:t>
      </w:r>
      <w:r>
        <w:rPr>
          <w:rFonts w:hint="eastAsia" w:ascii="汉仪书宋二简"/>
          <w:kern w:val="0"/>
        </w:rPr>
        <w:t>1</w:t>
      </w:r>
      <w:r>
        <w:rPr>
          <w:rFonts w:hint="eastAsia" w:ascii="汉仪书宋二简" w:hAnsiTheme="minorEastAsia"/>
          <w:kern w:val="0"/>
        </w:rPr>
        <w:t>）生态保护红线：国家在</w:t>
      </w:r>
      <w:r>
        <w:rPr>
          <w:rFonts w:hint="eastAsia" w:ascii="汉仪书宋二简" w:hAnsiTheme="minorEastAsia"/>
          <w:color w:val="0000FF"/>
          <w:kern w:val="0"/>
        </w:rPr>
        <w:t>重点生态功能区、生态环境敏感区和脆弱区等区域划定生态保护红线</w:t>
      </w:r>
      <w:r>
        <w:rPr>
          <w:rFonts w:hint="eastAsia" w:ascii="汉仪书宋二简" w:hAnsiTheme="minorEastAsia"/>
          <w:kern w:val="0"/>
        </w:rPr>
        <w:t>，实行严格保护。</w:t>
      </w:r>
      <w:r>
        <w:rPr>
          <w:rFonts w:hint="eastAsia" w:ascii="汉仪书宋二简" w:hAnsiTheme="minorEastAsia"/>
          <w:kern w:val="0"/>
          <w:lang w:eastAsia="zh-CN"/>
        </w:rPr>
        <w:t>（</w:t>
      </w:r>
      <w:r>
        <w:rPr>
          <w:rFonts w:hint="eastAsia" w:ascii="汉仪书宋二简" w:hAnsiTheme="minorEastAsia"/>
          <w:kern w:val="0"/>
          <w:lang w:val="en-US" w:eastAsia="zh-CN"/>
        </w:rPr>
        <w:t>三区</w:t>
      </w:r>
      <w:r>
        <w:rPr>
          <w:rFonts w:hint="eastAsia" w:ascii="汉仪书宋二简" w:hAnsiTheme="minorEastAsia"/>
          <w:kern w:val="0"/>
          <w:lang w:eastAsia="zh-CN"/>
        </w:rPr>
        <w:t>）</w:t>
      </w:r>
    </w:p>
    <w:p w14:paraId="41291B30">
      <w:pPr>
        <w:ind w:firstLine="420"/>
        <w:rPr>
          <w:rFonts w:hint="eastAsia" w:ascii="汉仪书宋二简" w:hAnsiTheme="minorEastAsia"/>
          <w:kern w:val="0"/>
        </w:rPr>
      </w:pPr>
      <w:r>
        <w:rPr>
          <w:rFonts w:hint="eastAsia" w:ascii="汉仪书宋二简" w:hAnsiTheme="minorEastAsia"/>
          <w:kern w:val="0"/>
        </w:rPr>
        <w:t>（</w:t>
      </w:r>
      <w:r>
        <w:rPr>
          <w:rFonts w:hint="eastAsia" w:ascii="汉仪书宋二简"/>
          <w:kern w:val="0"/>
        </w:rPr>
        <w:t>2</w:t>
      </w:r>
      <w:r>
        <w:rPr>
          <w:rFonts w:hint="eastAsia" w:ascii="汉仪书宋二简" w:hAnsiTheme="minorEastAsia"/>
          <w:kern w:val="0"/>
        </w:rPr>
        <w:t>）生物多样性：引进外来物种以及研究、开发和利用生物技术，应当采取措施，防止对生物多样性的破坏。</w:t>
      </w:r>
    </w:p>
    <w:p w14:paraId="6104D5EE">
      <w:pPr>
        <w:ind w:firstLine="420"/>
        <w:rPr>
          <w:rFonts w:hint="eastAsia" w:ascii="汉仪书宋二简" w:hAnsiTheme="minorEastAsia"/>
          <w:kern w:val="0"/>
        </w:rPr>
      </w:pPr>
      <w:r>
        <w:rPr>
          <w:rFonts w:hint="eastAsia" w:ascii="汉仪书宋二简" w:hAnsiTheme="minorEastAsia"/>
          <w:kern w:val="0"/>
        </w:rPr>
        <w:t>（</w:t>
      </w:r>
      <w:r>
        <w:rPr>
          <w:rFonts w:hint="eastAsia" w:ascii="汉仪书宋二简"/>
          <w:kern w:val="0"/>
        </w:rPr>
        <w:t>3</w:t>
      </w:r>
      <w:r>
        <w:rPr>
          <w:rFonts w:hint="eastAsia" w:ascii="汉仪书宋二简" w:hAnsiTheme="minorEastAsia"/>
          <w:kern w:val="0"/>
        </w:rPr>
        <w:t>）生态补偿：国家</w:t>
      </w:r>
      <w:r>
        <w:rPr>
          <w:rFonts w:hint="eastAsia" w:ascii="汉仪书宋二简" w:hAnsiTheme="minorEastAsia"/>
          <w:color w:val="0000FF"/>
          <w:kern w:val="0"/>
        </w:rPr>
        <w:t>加大对生态保护地区的财政转移支付力度</w:t>
      </w:r>
      <w:r>
        <w:rPr>
          <w:rFonts w:hint="eastAsia" w:ascii="汉仪书宋二简" w:hAnsiTheme="minorEastAsia"/>
          <w:kern w:val="0"/>
        </w:rPr>
        <w:t>。国家指导受益地区和生态保护地区人民政府通过协商或者按照市场规则进行生态保护补偿。</w:t>
      </w:r>
    </w:p>
    <w:p w14:paraId="118FEEF8">
      <w:pPr>
        <w:ind w:firstLine="440"/>
        <w:rPr>
          <w:rFonts w:hint="eastAsia" w:ascii="汉仪中黑简" w:eastAsia="汉仪中黑简"/>
          <w:kern w:val="0"/>
          <w:sz w:val="22"/>
          <w:szCs w:val="22"/>
        </w:rPr>
      </w:pPr>
      <w:r>
        <w:rPr>
          <w:rFonts w:hint="eastAsia" w:ascii="汉仪中黑简" w:eastAsia="汉仪中黑简"/>
          <w:kern w:val="0"/>
          <w:sz w:val="22"/>
          <w:szCs w:val="22"/>
        </w:rPr>
        <w:t>3．总量控制</w:t>
      </w:r>
    </w:p>
    <w:p w14:paraId="59CF5BF6">
      <w:pPr>
        <w:ind w:firstLine="420"/>
        <w:rPr>
          <w:rFonts w:hint="eastAsia" w:ascii="汉仪书宋二简" w:hAnsiTheme="minorEastAsia"/>
          <w:kern w:val="0"/>
        </w:rPr>
      </w:pPr>
      <w:r>
        <w:rPr>
          <w:rFonts w:hint="eastAsia" w:ascii="汉仪书宋二简" w:hAnsiTheme="minorEastAsia"/>
          <w:kern w:val="0"/>
        </w:rPr>
        <w:t>（</w:t>
      </w:r>
      <w:r>
        <w:rPr>
          <w:rFonts w:hint="eastAsia" w:ascii="汉仪书宋二简"/>
          <w:kern w:val="0"/>
        </w:rPr>
        <w:t>1</w:t>
      </w:r>
      <w:r>
        <w:rPr>
          <w:rFonts w:hint="eastAsia" w:ascii="汉仪书宋二简" w:hAnsiTheme="minorEastAsia"/>
          <w:kern w:val="0"/>
        </w:rPr>
        <w:t>）重点污染物排放总量控制指标由国务院下达，省级政府分解落实。</w:t>
      </w:r>
    </w:p>
    <w:p w14:paraId="0307CB3B">
      <w:pPr>
        <w:ind w:firstLine="420"/>
        <w:rPr>
          <w:rFonts w:hint="eastAsia" w:ascii="汉仪书宋二简" w:hAnsiTheme="minorEastAsia"/>
          <w:kern w:val="0"/>
        </w:rPr>
      </w:pPr>
      <w:r>
        <w:rPr>
          <w:rFonts w:hint="eastAsia" w:ascii="汉仪书宋二简" w:hAnsiTheme="minorEastAsia"/>
          <w:kern w:val="0"/>
        </w:rPr>
        <w:t>（</w:t>
      </w:r>
      <w:r>
        <w:rPr>
          <w:rFonts w:hint="eastAsia" w:ascii="汉仪书宋二简"/>
          <w:kern w:val="0"/>
        </w:rPr>
        <w:t>2</w:t>
      </w:r>
      <w:r>
        <w:rPr>
          <w:rFonts w:hint="eastAsia" w:ascii="汉仪书宋二简" w:hAnsiTheme="minorEastAsia"/>
          <w:kern w:val="0"/>
        </w:rPr>
        <w:t>）区域限批：对超过国家重点污染物排放总量控制指标或未完成国家确定的环境质量目标的地区，省级以上政府环境保护主管部门应当暂停审批其新增重点污染物排放总量的建设项目环境影响评价文件。</w:t>
      </w:r>
    </w:p>
    <w:p w14:paraId="5D0C4842">
      <w:pPr>
        <w:ind w:firstLine="440"/>
        <w:rPr>
          <w:rFonts w:hint="eastAsia" w:ascii="汉仪中黑简" w:eastAsia="汉仪中黑简"/>
          <w:kern w:val="0"/>
          <w:sz w:val="22"/>
          <w:szCs w:val="22"/>
        </w:rPr>
      </w:pPr>
      <w:r>
        <w:rPr>
          <w:rFonts w:hint="eastAsia" w:ascii="汉仪中黑简" w:eastAsia="汉仪中黑简"/>
          <w:kern w:val="0"/>
          <w:sz w:val="22"/>
          <w:szCs w:val="22"/>
        </w:rPr>
        <w:t>4．公益诉讼</w:t>
      </w:r>
    </w:p>
    <w:p w14:paraId="3B3D042A">
      <w:pPr>
        <w:ind w:firstLine="420"/>
        <w:rPr>
          <w:rFonts w:hint="eastAsia" w:ascii="汉仪书宋二简" w:hAnsiTheme="minorEastAsia"/>
          <w:kern w:val="0"/>
        </w:rPr>
      </w:pPr>
      <w:r>
        <w:rPr>
          <w:rFonts w:hint="eastAsia" w:ascii="汉仪书宋二简" w:hAnsiTheme="minorEastAsia"/>
          <w:kern w:val="0"/>
        </w:rPr>
        <w:t>（</w:t>
      </w:r>
      <w:r>
        <w:rPr>
          <w:rFonts w:hint="eastAsia" w:ascii="汉仪书宋二简"/>
          <w:kern w:val="0"/>
        </w:rPr>
        <w:t>1</w:t>
      </w:r>
      <w:r>
        <w:rPr>
          <w:rFonts w:hint="eastAsia" w:ascii="汉仪书宋二简" w:hAnsiTheme="minorEastAsia"/>
          <w:kern w:val="0"/>
        </w:rPr>
        <w:t>）适用范围：污染环境、破坏生态，损害社会公共利益的行为。</w:t>
      </w:r>
    </w:p>
    <w:p w14:paraId="2ED5973A">
      <w:pPr>
        <w:ind w:firstLine="420"/>
        <w:rPr>
          <w:rFonts w:hint="default" w:ascii="汉仪书宋二简" w:eastAsia="汉仪书宋二简" w:hAnsiTheme="minorEastAsia"/>
          <w:color w:val="0000FF"/>
          <w:kern w:val="0"/>
          <w:lang w:val="en-US" w:eastAsia="zh-CN"/>
        </w:rPr>
      </w:pPr>
      <w:r>
        <w:rPr>
          <w:rFonts w:hint="eastAsia" w:ascii="汉仪书宋二简" w:hAnsiTheme="minorEastAsia"/>
          <w:kern w:val="0"/>
        </w:rPr>
        <w:t>（</w:t>
      </w:r>
      <w:r>
        <w:rPr>
          <w:rFonts w:hint="eastAsia" w:ascii="汉仪书宋二简"/>
          <w:kern w:val="0"/>
        </w:rPr>
        <w:t>2</w:t>
      </w:r>
      <w:r>
        <w:rPr>
          <w:rFonts w:hint="eastAsia" w:ascii="汉仪书宋二简" w:hAnsiTheme="minorEastAsia"/>
          <w:kern w:val="0"/>
        </w:rPr>
        <w:t>）原告资格：依法</w:t>
      </w:r>
      <w:r>
        <w:rPr>
          <w:rFonts w:hint="eastAsia" w:ascii="汉仪书宋二简" w:hAnsi="楷体" w:eastAsia="汉仪中黑简" w:cs="楷体"/>
          <w:color w:val="FF0000"/>
          <w:kern w:val="0"/>
        </w:rPr>
        <w:t>在设区的市级以上政府民政部门登记</w:t>
      </w:r>
      <w:r>
        <w:rPr>
          <w:rFonts w:hint="eastAsia" w:ascii="汉仪书宋二简" w:hAnsiTheme="minorEastAsia"/>
          <w:kern w:val="0"/>
        </w:rPr>
        <w:t>、专门从事环境保护公益活动连续</w:t>
      </w:r>
      <w:r>
        <w:rPr>
          <w:rFonts w:hint="eastAsia" w:ascii="汉仪书宋二简"/>
          <w:kern w:val="0"/>
        </w:rPr>
        <w:t>5</w:t>
      </w:r>
      <w:r>
        <w:rPr>
          <w:rFonts w:hint="eastAsia" w:ascii="汉仪书宋二简" w:hAnsiTheme="minorEastAsia"/>
          <w:kern w:val="0"/>
        </w:rPr>
        <w:t>年以上且无违法记录的社会组织可以起诉</w:t>
      </w:r>
      <w:r>
        <w:rPr>
          <w:rFonts w:hint="eastAsia" w:ascii="汉仪书宋二简" w:hAnsiTheme="minorEastAsia"/>
          <w:color w:val="0000FF"/>
          <w:kern w:val="0"/>
        </w:rPr>
        <w:t>。</w:t>
      </w:r>
      <w:r>
        <w:rPr>
          <w:rFonts w:hint="eastAsia" w:ascii="汉仪书宋二简" w:hAnsiTheme="minorEastAsia"/>
          <w:color w:val="0000FF"/>
          <w:kern w:val="0"/>
          <w:lang w:val="en-US" w:eastAsia="zh-CN"/>
        </w:rPr>
        <w:t>检察院可以提起</w:t>
      </w:r>
    </w:p>
    <w:p w14:paraId="43ACC13C">
      <w:pPr>
        <w:ind w:firstLine="420"/>
        <w:rPr>
          <w:rFonts w:hint="eastAsia" w:ascii="汉仪书宋二简" w:cs="Times New Roman"/>
          <w:color w:val="000000"/>
          <w:szCs w:val="22"/>
        </w:rPr>
      </w:pPr>
    </w:p>
    <w:p w14:paraId="7B2BB433">
      <w:pPr>
        <w:pStyle w:val="3"/>
        <w:rPr>
          <w:rFonts w:hint="eastAsia"/>
        </w:rPr>
      </w:pPr>
      <w:r>
        <w:rPr>
          <w:rFonts w:hint="eastAsia"/>
        </w:rPr>
        <w:t>三、环境法律责任</w:t>
      </w:r>
    </w:p>
    <w:p w14:paraId="7E07BB46">
      <w:pPr>
        <w:ind w:firstLine="480"/>
        <w:rPr>
          <w:rFonts w:hint="eastAsia" w:ascii="汉仪书宋二简"/>
          <w:b/>
          <w:sz w:val="24"/>
          <w:szCs w:val="24"/>
        </w:rPr>
      </w:pPr>
    </w:p>
    <w:tbl>
      <w:tblPr>
        <w:tblStyle w:val="7"/>
        <w:tblW w:w="8505" w:type="dxa"/>
        <w:jc w:val="center"/>
        <w:tblBorders>
          <w:top w:val="single" w:color="FF0000" w:sz="8" w:space="0"/>
          <w:left w:val="single" w:color="FF0000" w:sz="8" w:space="0"/>
          <w:bottom w:val="single" w:color="FF0000" w:sz="8" w:space="0"/>
          <w:right w:val="single" w:color="FF0000" w:sz="8" w:space="0"/>
          <w:insideH w:val="single" w:color="FF0000" w:sz="8" w:space="0"/>
          <w:insideV w:val="single" w:color="FF0000" w:sz="8" w:space="0"/>
        </w:tblBorders>
        <w:tblLayout w:type="autofit"/>
        <w:tblCellMar>
          <w:top w:w="0" w:type="dxa"/>
          <w:left w:w="108" w:type="dxa"/>
          <w:bottom w:w="0" w:type="dxa"/>
          <w:right w:w="108" w:type="dxa"/>
        </w:tblCellMar>
      </w:tblPr>
      <w:tblGrid>
        <w:gridCol w:w="1124"/>
        <w:gridCol w:w="7381"/>
      </w:tblGrid>
      <w:tr w14:paraId="1CE6EDE8">
        <w:tblPrEx>
          <w:tblBorders>
            <w:top w:val="single" w:color="FF0000" w:sz="8" w:space="0"/>
            <w:left w:val="single" w:color="FF0000" w:sz="8" w:space="0"/>
            <w:bottom w:val="single" w:color="FF0000" w:sz="8" w:space="0"/>
            <w:right w:val="single" w:color="FF0000" w:sz="8" w:space="0"/>
            <w:insideH w:val="single" w:color="FF0000" w:sz="8" w:space="0"/>
            <w:insideV w:val="single" w:color="FF0000" w:sz="8" w:space="0"/>
          </w:tblBorders>
          <w:tblCellMar>
            <w:top w:w="0" w:type="dxa"/>
            <w:left w:w="108" w:type="dxa"/>
            <w:bottom w:w="0" w:type="dxa"/>
            <w:right w:w="108" w:type="dxa"/>
          </w:tblCellMar>
        </w:tblPrEx>
        <w:trPr>
          <w:trHeight w:val="20" w:hRule="atLeast"/>
          <w:jc w:val="center"/>
        </w:trPr>
        <w:tc>
          <w:tcPr>
            <w:tcW w:w="661" w:type="pct"/>
            <w:vMerge w:val="restart"/>
            <w:shd w:val="clear" w:color="auto" w:fill="auto"/>
            <w:vAlign w:val="center"/>
          </w:tcPr>
          <w:p w14:paraId="56ACF5FF">
            <w:pPr>
              <w:spacing w:before="31" w:beforeLines="10" w:after="62" w:afterLines="20" w:line="280" w:lineRule="exact"/>
              <w:ind w:firstLine="0" w:firstLineChars="0"/>
              <w:jc w:val="center"/>
              <w:rPr>
                <w:rFonts w:hint="eastAsia" w:ascii="汉仪中黑简" w:eastAsia="汉仪中黑简"/>
                <w:bCs/>
                <w:kern w:val="0"/>
                <w:sz w:val="20"/>
              </w:rPr>
            </w:pPr>
            <w:r>
              <w:rPr>
                <w:rFonts w:hint="eastAsia" w:ascii="汉仪中黑简" w:eastAsia="汉仪中黑简"/>
                <w:bCs/>
                <w:kern w:val="0"/>
                <w:sz w:val="20"/>
              </w:rPr>
              <w:t>民事责任</w:t>
            </w:r>
          </w:p>
        </w:tc>
        <w:tc>
          <w:tcPr>
            <w:tcW w:w="4339" w:type="pct"/>
            <w:shd w:val="clear" w:color="auto" w:fill="auto"/>
            <w:vAlign w:val="center"/>
          </w:tcPr>
          <w:p w14:paraId="44662003">
            <w:pPr>
              <w:spacing w:before="31" w:beforeLines="10" w:after="62" w:afterLines="20" w:line="280" w:lineRule="exact"/>
              <w:ind w:firstLine="0" w:firstLineChars="0"/>
              <w:rPr>
                <w:rFonts w:hint="eastAsia" w:ascii="汉仪书宋一简" w:eastAsia="汉仪书宋一简"/>
                <w:kern w:val="0"/>
                <w:sz w:val="20"/>
              </w:rPr>
            </w:pPr>
            <w:r>
              <w:rPr>
                <w:rFonts w:hint="eastAsia" w:ascii="汉仪书宋一简" w:eastAsia="汉仪书宋一简"/>
                <w:kern w:val="0"/>
                <w:sz w:val="20"/>
              </w:rPr>
              <w:t>适用《民法典》</w:t>
            </w:r>
          </w:p>
        </w:tc>
      </w:tr>
      <w:tr w14:paraId="6AD3DEE2">
        <w:tblPrEx>
          <w:tblBorders>
            <w:top w:val="single" w:color="FF0000" w:sz="8" w:space="0"/>
            <w:left w:val="single" w:color="FF0000" w:sz="8" w:space="0"/>
            <w:bottom w:val="single" w:color="FF0000" w:sz="8" w:space="0"/>
            <w:right w:val="single" w:color="FF0000" w:sz="8" w:space="0"/>
            <w:insideH w:val="single" w:color="FF0000" w:sz="8" w:space="0"/>
            <w:insideV w:val="single" w:color="FF0000" w:sz="8" w:space="0"/>
          </w:tblBorders>
          <w:tblCellMar>
            <w:top w:w="0" w:type="dxa"/>
            <w:left w:w="108" w:type="dxa"/>
            <w:bottom w:w="0" w:type="dxa"/>
            <w:right w:w="108" w:type="dxa"/>
          </w:tblCellMar>
        </w:tblPrEx>
        <w:trPr>
          <w:trHeight w:val="20" w:hRule="atLeast"/>
          <w:jc w:val="center"/>
        </w:trPr>
        <w:tc>
          <w:tcPr>
            <w:tcW w:w="661" w:type="pct"/>
            <w:vMerge w:val="continue"/>
            <w:shd w:val="clear" w:color="auto" w:fill="auto"/>
            <w:vAlign w:val="center"/>
          </w:tcPr>
          <w:p w14:paraId="62419673">
            <w:pPr>
              <w:spacing w:before="31" w:beforeLines="10" w:after="62" w:afterLines="20" w:line="280" w:lineRule="exact"/>
              <w:ind w:firstLine="0" w:firstLineChars="0"/>
              <w:jc w:val="center"/>
              <w:rPr>
                <w:rFonts w:hint="eastAsia" w:ascii="汉仪中黑简" w:eastAsia="汉仪中黑简"/>
                <w:bCs/>
                <w:kern w:val="0"/>
                <w:sz w:val="20"/>
              </w:rPr>
            </w:pPr>
          </w:p>
        </w:tc>
        <w:tc>
          <w:tcPr>
            <w:tcW w:w="4339" w:type="pct"/>
            <w:shd w:val="clear" w:color="auto" w:fill="auto"/>
            <w:vAlign w:val="center"/>
          </w:tcPr>
          <w:p w14:paraId="0935AA53">
            <w:pPr>
              <w:spacing w:before="31" w:beforeLines="10" w:after="62" w:afterLines="20" w:line="280" w:lineRule="exact"/>
              <w:ind w:firstLine="0" w:firstLineChars="0"/>
              <w:rPr>
                <w:rFonts w:hint="eastAsia" w:ascii="汉仪书宋一简" w:eastAsia="汉仪书宋一简"/>
                <w:kern w:val="0"/>
                <w:sz w:val="20"/>
              </w:rPr>
            </w:pPr>
            <w:r>
              <w:rPr>
                <w:rFonts w:hint="eastAsia" w:ascii="汉仪书宋一简" w:eastAsia="汉仪书宋一简"/>
                <w:kern w:val="0"/>
                <w:sz w:val="20"/>
              </w:rPr>
              <w:t>连带责任：环境影响评价机构、环境监测机构以及从事环境监测设备和防治污染设施维护、运营的机构，在有关环境服务活动中弄虚作假，对造成的环境污染和生态破坏负有责任的，除予以处罚外，</w:t>
            </w:r>
            <w:r>
              <w:rPr>
                <w:rFonts w:hint="eastAsia" w:ascii="汉仪书宋一简" w:eastAsia="汉仪书宋一简"/>
                <w:color w:val="0000FF"/>
                <w:kern w:val="0"/>
                <w:sz w:val="20"/>
              </w:rPr>
              <w:t>还应当与造成环境污染和生态破坏的其他责任者承担连带责任</w:t>
            </w:r>
          </w:p>
        </w:tc>
      </w:tr>
      <w:tr w14:paraId="1E954D80">
        <w:tblPrEx>
          <w:tblBorders>
            <w:top w:val="single" w:color="FF0000" w:sz="8" w:space="0"/>
            <w:left w:val="single" w:color="FF0000" w:sz="8" w:space="0"/>
            <w:bottom w:val="single" w:color="FF0000" w:sz="8" w:space="0"/>
            <w:right w:val="single" w:color="FF0000" w:sz="8" w:space="0"/>
            <w:insideH w:val="single" w:color="FF0000" w:sz="8" w:space="0"/>
            <w:insideV w:val="single" w:color="FF0000" w:sz="8" w:space="0"/>
          </w:tblBorders>
          <w:tblCellMar>
            <w:top w:w="0" w:type="dxa"/>
            <w:left w:w="108" w:type="dxa"/>
            <w:bottom w:w="0" w:type="dxa"/>
            <w:right w:w="108" w:type="dxa"/>
          </w:tblCellMar>
        </w:tblPrEx>
        <w:trPr>
          <w:trHeight w:val="20" w:hRule="atLeast"/>
          <w:jc w:val="center"/>
        </w:trPr>
        <w:tc>
          <w:tcPr>
            <w:tcW w:w="661" w:type="pct"/>
            <w:vMerge w:val="restart"/>
            <w:shd w:val="clear" w:color="auto" w:fill="auto"/>
            <w:vAlign w:val="center"/>
          </w:tcPr>
          <w:p w14:paraId="7E691CC7">
            <w:pPr>
              <w:spacing w:before="31" w:beforeLines="10" w:after="62" w:afterLines="20" w:line="280" w:lineRule="exact"/>
              <w:ind w:firstLine="0" w:firstLineChars="0"/>
              <w:jc w:val="center"/>
              <w:rPr>
                <w:rFonts w:hint="eastAsia" w:ascii="汉仪中黑简" w:eastAsia="汉仪中黑简"/>
                <w:bCs/>
                <w:kern w:val="0"/>
                <w:sz w:val="20"/>
              </w:rPr>
            </w:pPr>
          </w:p>
          <w:p w14:paraId="0FD704E0">
            <w:pPr>
              <w:spacing w:before="31" w:beforeLines="10" w:after="62" w:afterLines="20" w:line="280" w:lineRule="exact"/>
              <w:ind w:firstLine="0" w:firstLineChars="0"/>
              <w:jc w:val="center"/>
              <w:rPr>
                <w:rFonts w:hint="eastAsia" w:ascii="汉仪中黑简" w:eastAsia="汉仪中黑简"/>
                <w:bCs/>
                <w:kern w:val="0"/>
                <w:sz w:val="20"/>
              </w:rPr>
            </w:pPr>
          </w:p>
          <w:p w14:paraId="023C3BFC">
            <w:pPr>
              <w:spacing w:before="31" w:beforeLines="10" w:after="62" w:afterLines="20" w:line="280" w:lineRule="exact"/>
              <w:ind w:firstLine="0" w:firstLineChars="0"/>
              <w:jc w:val="center"/>
              <w:rPr>
                <w:rFonts w:hint="eastAsia" w:ascii="汉仪中黑简" w:eastAsia="汉仪中黑简"/>
                <w:bCs/>
                <w:kern w:val="0"/>
                <w:sz w:val="20"/>
              </w:rPr>
            </w:pPr>
          </w:p>
          <w:p w14:paraId="5548B615">
            <w:pPr>
              <w:spacing w:before="31" w:beforeLines="10" w:after="62" w:afterLines="20" w:line="280" w:lineRule="exact"/>
              <w:ind w:firstLine="0" w:firstLineChars="0"/>
              <w:jc w:val="center"/>
              <w:rPr>
                <w:rFonts w:hint="eastAsia" w:ascii="汉仪中黑简" w:eastAsia="汉仪中黑简"/>
                <w:bCs/>
                <w:kern w:val="0"/>
                <w:sz w:val="20"/>
              </w:rPr>
            </w:pPr>
            <w:r>
              <w:rPr>
                <w:rFonts w:hint="eastAsia" w:ascii="汉仪中黑简" w:eastAsia="汉仪中黑简"/>
                <w:bCs/>
                <w:kern w:val="0"/>
                <w:sz w:val="20"/>
              </w:rPr>
              <w:t>行政责任</w:t>
            </w:r>
          </w:p>
          <w:p w14:paraId="425F26AD">
            <w:pPr>
              <w:spacing w:before="31" w:beforeLines="10" w:after="62" w:afterLines="20" w:line="280" w:lineRule="exact"/>
              <w:ind w:firstLine="0" w:firstLineChars="0"/>
              <w:jc w:val="center"/>
              <w:rPr>
                <w:rFonts w:hint="eastAsia" w:ascii="汉仪中黑简" w:eastAsia="汉仪中黑简"/>
                <w:bCs/>
                <w:kern w:val="0"/>
                <w:sz w:val="20"/>
              </w:rPr>
            </w:pPr>
          </w:p>
          <w:p w14:paraId="6C44D98F">
            <w:pPr>
              <w:spacing w:before="31" w:beforeLines="10" w:after="62" w:afterLines="20" w:line="280" w:lineRule="exact"/>
              <w:ind w:firstLine="0" w:firstLineChars="0"/>
              <w:jc w:val="center"/>
              <w:rPr>
                <w:rFonts w:hint="eastAsia" w:ascii="汉仪中黑简" w:eastAsia="汉仪中黑简"/>
                <w:bCs/>
                <w:kern w:val="0"/>
                <w:sz w:val="20"/>
              </w:rPr>
            </w:pPr>
          </w:p>
          <w:p w14:paraId="4F518ABE">
            <w:pPr>
              <w:spacing w:before="31" w:beforeLines="10" w:after="62" w:afterLines="20" w:line="280" w:lineRule="exact"/>
              <w:ind w:firstLine="0" w:firstLineChars="0"/>
              <w:jc w:val="center"/>
              <w:rPr>
                <w:rFonts w:hint="eastAsia" w:ascii="汉仪中黑简" w:eastAsia="汉仪中黑简"/>
                <w:bCs/>
                <w:kern w:val="0"/>
                <w:sz w:val="20"/>
              </w:rPr>
            </w:pPr>
          </w:p>
          <w:p w14:paraId="0D2F9DD8">
            <w:pPr>
              <w:spacing w:before="31" w:beforeLines="10" w:after="62" w:afterLines="20" w:line="280" w:lineRule="exact"/>
              <w:ind w:firstLine="0" w:firstLineChars="0"/>
              <w:jc w:val="center"/>
              <w:rPr>
                <w:rFonts w:hint="eastAsia" w:ascii="汉仪中黑简" w:eastAsia="汉仪中黑简"/>
                <w:bCs/>
                <w:kern w:val="0"/>
                <w:sz w:val="20"/>
              </w:rPr>
            </w:pPr>
          </w:p>
          <w:p w14:paraId="7A04BB38">
            <w:pPr>
              <w:spacing w:before="31" w:beforeLines="10" w:after="62" w:afterLines="20" w:line="280" w:lineRule="exact"/>
              <w:ind w:firstLine="0" w:firstLineChars="0"/>
              <w:jc w:val="center"/>
              <w:rPr>
                <w:rFonts w:hint="eastAsia" w:ascii="汉仪中黑简" w:eastAsia="汉仪中黑简"/>
                <w:bCs/>
                <w:kern w:val="0"/>
                <w:sz w:val="20"/>
              </w:rPr>
            </w:pPr>
          </w:p>
          <w:p w14:paraId="6EB31D1F">
            <w:pPr>
              <w:spacing w:before="31" w:beforeLines="10" w:after="62" w:afterLines="20" w:line="200" w:lineRule="exact"/>
              <w:ind w:firstLine="0" w:firstLineChars="0"/>
              <w:jc w:val="center"/>
              <w:rPr>
                <w:rFonts w:hint="eastAsia" w:ascii="汉仪中黑简" w:eastAsia="汉仪中黑简"/>
                <w:bCs/>
                <w:kern w:val="0"/>
                <w:sz w:val="20"/>
              </w:rPr>
            </w:pPr>
          </w:p>
          <w:p w14:paraId="39164FE9">
            <w:pPr>
              <w:spacing w:before="31" w:beforeLines="10" w:after="62" w:afterLines="20" w:line="140" w:lineRule="exact"/>
              <w:ind w:firstLine="0" w:firstLineChars="0"/>
              <w:jc w:val="center"/>
              <w:rPr>
                <w:rFonts w:hint="eastAsia" w:ascii="汉仪中黑简" w:eastAsia="汉仪中黑简"/>
                <w:bCs/>
                <w:kern w:val="0"/>
                <w:sz w:val="20"/>
              </w:rPr>
            </w:pPr>
          </w:p>
          <w:p w14:paraId="5D1A6ECC">
            <w:pPr>
              <w:spacing w:before="31" w:beforeLines="10" w:after="62" w:afterLines="20" w:line="280" w:lineRule="exact"/>
              <w:ind w:firstLine="0" w:firstLineChars="0"/>
              <w:jc w:val="center"/>
              <w:rPr>
                <w:rFonts w:hint="eastAsia" w:ascii="汉仪中黑简" w:eastAsia="汉仪中黑简"/>
                <w:bCs/>
                <w:kern w:val="0"/>
                <w:sz w:val="20"/>
              </w:rPr>
            </w:pPr>
            <w:r>
              <w:rPr>
                <w:rFonts w:hint="eastAsia" w:ascii="汉仪中黑简" w:eastAsia="汉仪中黑简"/>
                <w:bCs/>
                <w:kern w:val="0"/>
                <w:sz w:val="20"/>
              </w:rPr>
              <w:t>行政责任</w:t>
            </w:r>
          </w:p>
        </w:tc>
        <w:tc>
          <w:tcPr>
            <w:tcW w:w="4339" w:type="pct"/>
            <w:shd w:val="clear" w:color="auto" w:fill="auto"/>
            <w:vAlign w:val="center"/>
          </w:tcPr>
          <w:p w14:paraId="5A197B1F">
            <w:pPr>
              <w:spacing w:before="31" w:beforeLines="10" w:after="62" w:afterLines="20" w:line="280" w:lineRule="exact"/>
              <w:ind w:firstLine="0" w:firstLineChars="0"/>
              <w:rPr>
                <w:rFonts w:hint="eastAsia" w:ascii="汉仪书宋一简" w:eastAsia="汉仪书宋一简"/>
                <w:kern w:val="0"/>
                <w:sz w:val="20"/>
                <w:lang w:eastAsia="zh-CN"/>
              </w:rPr>
            </w:pPr>
            <w:r>
              <w:rPr>
                <w:rFonts w:hint="eastAsia" w:ascii="汉仪书宋一简" w:eastAsia="汉仪书宋一简"/>
                <w:kern w:val="0"/>
                <w:sz w:val="20"/>
              </w:rPr>
              <w:t>按日连续处罚：违法排放污染物，受到罚款处罚，被责令改正，拒不改正的，依法作出处罚决定的行政机关可以自责令改正之日的次日起，按照原处罚数额按日连续处罚。地方性法规可以根据环境保护的实际需要，增加按日连续处罚的违法行为的种类</w:t>
            </w:r>
            <w:r>
              <w:rPr>
                <w:rFonts w:hint="eastAsia" w:ascii="汉仪书宋一简" w:eastAsia="汉仪书宋一简"/>
                <w:kern w:val="0"/>
                <w:sz w:val="20"/>
                <w:lang w:eastAsia="zh-CN"/>
              </w:rPr>
              <w:t>（</w:t>
            </w:r>
            <w:r>
              <w:rPr>
                <w:rFonts w:hint="eastAsia" w:ascii="汉仪书宋一简" w:eastAsia="汉仪书宋一简"/>
                <w:color w:val="0000FF"/>
                <w:kern w:val="0"/>
                <w:sz w:val="20"/>
                <w:lang w:val="en-US" w:eastAsia="zh-CN"/>
              </w:rPr>
              <w:t>罚款数额不一定按原来的</w:t>
            </w:r>
            <w:r>
              <w:rPr>
                <w:rFonts w:hint="eastAsia" w:ascii="汉仪书宋一简" w:eastAsia="汉仪书宋一简"/>
                <w:kern w:val="0"/>
                <w:sz w:val="20"/>
                <w:lang w:eastAsia="zh-CN"/>
              </w:rPr>
              <w:t>）</w:t>
            </w:r>
          </w:p>
        </w:tc>
      </w:tr>
      <w:tr w14:paraId="1870B712">
        <w:tblPrEx>
          <w:tblBorders>
            <w:top w:val="single" w:color="FF0000" w:sz="8" w:space="0"/>
            <w:left w:val="single" w:color="FF0000" w:sz="8" w:space="0"/>
            <w:bottom w:val="single" w:color="FF0000" w:sz="8" w:space="0"/>
            <w:right w:val="single" w:color="FF0000" w:sz="8" w:space="0"/>
            <w:insideH w:val="single" w:color="FF0000" w:sz="8" w:space="0"/>
            <w:insideV w:val="single" w:color="FF0000" w:sz="8" w:space="0"/>
          </w:tblBorders>
          <w:tblCellMar>
            <w:top w:w="0" w:type="dxa"/>
            <w:left w:w="108" w:type="dxa"/>
            <w:bottom w:w="0" w:type="dxa"/>
            <w:right w:w="108" w:type="dxa"/>
          </w:tblCellMar>
        </w:tblPrEx>
        <w:trPr>
          <w:trHeight w:val="20" w:hRule="atLeast"/>
          <w:jc w:val="center"/>
        </w:trPr>
        <w:tc>
          <w:tcPr>
            <w:tcW w:w="661" w:type="pct"/>
            <w:vMerge w:val="continue"/>
            <w:shd w:val="clear" w:color="auto" w:fill="auto"/>
            <w:vAlign w:val="center"/>
          </w:tcPr>
          <w:p w14:paraId="60CAD6EE">
            <w:pPr>
              <w:spacing w:before="31" w:beforeLines="10" w:after="62" w:afterLines="20" w:line="280" w:lineRule="exact"/>
              <w:ind w:firstLine="0" w:firstLineChars="0"/>
              <w:jc w:val="center"/>
              <w:rPr>
                <w:rFonts w:hint="eastAsia" w:ascii="汉仪中黑简" w:eastAsia="汉仪中黑简"/>
                <w:bCs/>
                <w:kern w:val="0"/>
                <w:sz w:val="20"/>
              </w:rPr>
            </w:pPr>
          </w:p>
        </w:tc>
        <w:tc>
          <w:tcPr>
            <w:tcW w:w="4339" w:type="pct"/>
            <w:shd w:val="clear" w:color="auto" w:fill="auto"/>
            <w:vAlign w:val="center"/>
          </w:tcPr>
          <w:p w14:paraId="60A44179">
            <w:pPr>
              <w:spacing w:before="31" w:beforeLines="10" w:after="62" w:afterLines="20" w:line="280" w:lineRule="exact"/>
              <w:ind w:firstLine="0" w:firstLineChars="0"/>
              <w:rPr>
                <w:rFonts w:hint="eastAsia" w:ascii="汉仪书宋一简" w:eastAsia="汉仪书宋一简"/>
                <w:kern w:val="0"/>
                <w:sz w:val="20"/>
              </w:rPr>
            </w:pPr>
            <w:r>
              <w:rPr>
                <w:rFonts w:hint="eastAsia" w:ascii="汉仪书宋一简" w:eastAsia="汉仪书宋一简"/>
                <w:kern w:val="0"/>
                <w:sz w:val="20"/>
              </w:rPr>
              <w:t>超标排污：企业事业单位和其他生产经营者超过污染物排放标准或者超过重点污染物排放总量控制指标排放污染物的，县级以上生态环境主管部门可以责令其采取限制生产、停产整治等措施；情节严重的，报经有批准权的政府批准，责令停业、关闭</w:t>
            </w:r>
          </w:p>
        </w:tc>
      </w:tr>
      <w:tr w14:paraId="7C522980">
        <w:tblPrEx>
          <w:tblBorders>
            <w:top w:val="single" w:color="FF0000" w:sz="8" w:space="0"/>
            <w:left w:val="single" w:color="FF0000" w:sz="8" w:space="0"/>
            <w:bottom w:val="single" w:color="FF0000" w:sz="8" w:space="0"/>
            <w:right w:val="single" w:color="FF0000" w:sz="8" w:space="0"/>
            <w:insideH w:val="single" w:color="FF0000" w:sz="8" w:space="0"/>
            <w:insideV w:val="single" w:color="FF0000" w:sz="8" w:space="0"/>
          </w:tblBorders>
          <w:tblCellMar>
            <w:top w:w="0" w:type="dxa"/>
            <w:left w:w="108" w:type="dxa"/>
            <w:bottom w:w="0" w:type="dxa"/>
            <w:right w:w="108" w:type="dxa"/>
          </w:tblCellMar>
        </w:tblPrEx>
        <w:trPr>
          <w:trHeight w:val="20" w:hRule="atLeast"/>
          <w:jc w:val="center"/>
        </w:trPr>
        <w:tc>
          <w:tcPr>
            <w:tcW w:w="661" w:type="pct"/>
            <w:vMerge w:val="continue"/>
            <w:shd w:val="clear" w:color="auto" w:fill="auto"/>
            <w:vAlign w:val="center"/>
          </w:tcPr>
          <w:p w14:paraId="372BE789">
            <w:pPr>
              <w:spacing w:before="31" w:beforeLines="10" w:after="62" w:afterLines="20" w:line="280" w:lineRule="exact"/>
              <w:ind w:firstLine="0" w:firstLineChars="0"/>
              <w:jc w:val="center"/>
              <w:rPr>
                <w:rFonts w:hint="eastAsia" w:ascii="汉仪中黑简" w:eastAsia="汉仪中黑简"/>
                <w:bCs/>
                <w:kern w:val="0"/>
                <w:sz w:val="20"/>
              </w:rPr>
            </w:pPr>
          </w:p>
        </w:tc>
        <w:tc>
          <w:tcPr>
            <w:tcW w:w="4339" w:type="pct"/>
            <w:shd w:val="clear" w:color="auto" w:fill="auto"/>
            <w:vAlign w:val="center"/>
          </w:tcPr>
          <w:p w14:paraId="631CDFC0">
            <w:pPr>
              <w:spacing w:before="31" w:beforeLines="10" w:after="62" w:afterLines="20" w:line="280" w:lineRule="exact"/>
              <w:ind w:firstLine="0" w:firstLineChars="0"/>
              <w:rPr>
                <w:rFonts w:hint="eastAsia" w:ascii="汉仪书宋一简" w:eastAsia="汉仪书宋一简"/>
                <w:kern w:val="0"/>
                <w:sz w:val="20"/>
              </w:rPr>
            </w:pPr>
            <w:r>
              <w:rPr>
                <w:rFonts w:hint="eastAsia" w:ascii="汉仪书宋一简" w:eastAsia="汉仪书宋一简"/>
                <w:kern w:val="0"/>
                <w:sz w:val="20"/>
              </w:rPr>
              <w:t>行政拘留：企业事业单位和其他生产经营者有下列行为之一，尚不构成犯罪的，除依照有关法律法规规定予以处罚外，移送公安机关，对其直接负责的主管人员和其他直接责任人员处以拘留：</w:t>
            </w:r>
          </w:p>
          <w:p w14:paraId="2C3B34BC">
            <w:pPr>
              <w:spacing w:before="31" w:beforeLines="10" w:after="62" w:afterLines="20" w:line="280" w:lineRule="exact"/>
              <w:ind w:firstLine="0" w:firstLineChars="0"/>
              <w:rPr>
                <w:rFonts w:hint="eastAsia" w:ascii="汉仪书宋一简" w:eastAsia="汉仪书宋一简"/>
                <w:kern w:val="0"/>
                <w:sz w:val="20"/>
              </w:rPr>
            </w:pPr>
            <w:r>
              <w:rPr>
                <w:rFonts w:hint="eastAsia" w:ascii="汉仪书宋一简" w:eastAsia="汉仪书宋一简"/>
                <w:kern w:val="0"/>
                <w:sz w:val="20"/>
              </w:rPr>
              <w:t>（1）建设项目未依法进行环境影响评价，被责令停止建设，拒不执行的</w:t>
            </w:r>
          </w:p>
          <w:p w14:paraId="474505DC">
            <w:pPr>
              <w:spacing w:before="31" w:beforeLines="10" w:after="62" w:afterLines="20" w:line="280" w:lineRule="exact"/>
              <w:ind w:firstLine="0" w:firstLineChars="0"/>
              <w:rPr>
                <w:rFonts w:hint="eastAsia" w:ascii="汉仪书宋一简" w:eastAsia="汉仪书宋一简"/>
                <w:kern w:val="0"/>
                <w:sz w:val="20"/>
              </w:rPr>
            </w:pPr>
            <w:r>
              <w:rPr>
                <w:rFonts w:hint="eastAsia" w:ascii="汉仪书宋一简" w:eastAsia="汉仪书宋一简"/>
                <w:kern w:val="0"/>
                <w:sz w:val="20"/>
              </w:rPr>
              <w:t>（2）违反法律规定，未取得排污许可证排放污染物，被责令停止排污，拒不执行的</w:t>
            </w:r>
          </w:p>
          <w:p w14:paraId="6B3B7595">
            <w:pPr>
              <w:spacing w:before="31" w:beforeLines="10" w:after="62" w:afterLines="20" w:line="280" w:lineRule="exact"/>
              <w:ind w:firstLine="0" w:firstLineChars="0"/>
              <w:rPr>
                <w:rFonts w:hint="eastAsia" w:ascii="汉仪书宋一简" w:eastAsia="汉仪书宋一简"/>
                <w:kern w:val="0"/>
                <w:sz w:val="20"/>
              </w:rPr>
            </w:pPr>
            <w:r>
              <w:rPr>
                <w:rFonts w:hint="eastAsia" w:ascii="汉仪书宋一简" w:eastAsia="汉仪书宋一简"/>
                <w:kern w:val="0"/>
                <w:sz w:val="20"/>
              </w:rPr>
              <w:t>（3）通过暗管、渗井、渗坑、灌注或者篡改、伪造监测数据，或者不正常运行防治污染设施等逃避监管的方式违法排放污染物的</w:t>
            </w:r>
          </w:p>
          <w:p w14:paraId="2A5E3CE0">
            <w:pPr>
              <w:spacing w:before="31" w:beforeLines="10" w:after="62" w:afterLines="20" w:line="280" w:lineRule="exact"/>
              <w:ind w:firstLine="0" w:firstLineChars="0"/>
              <w:rPr>
                <w:rFonts w:hint="eastAsia" w:ascii="汉仪书宋一简" w:eastAsia="汉仪书宋一简"/>
                <w:kern w:val="0"/>
                <w:sz w:val="20"/>
              </w:rPr>
            </w:pPr>
            <w:r>
              <w:rPr>
                <w:rFonts w:hint="eastAsia" w:ascii="汉仪书宋一简" w:eastAsia="汉仪书宋一简"/>
                <w:kern w:val="0"/>
                <w:sz w:val="20"/>
              </w:rPr>
              <w:t>（4）生产、使用国家明令禁止生产、使用的农药，被责令改正，拒不改正的</w:t>
            </w:r>
          </w:p>
        </w:tc>
      </w:tr>
      <w:tr w14:paraId="39B5D284">
        <w:tblPrEx>
          <w:tblBorders>
            <w:top w:val="single" w:color="FF0000" w:sz="8" w:space="0"/>
            <w:left w:val="single" w:color="FF0000" w:sz="8" w:space="0"/>
            <w:bottom w:val="single" w:color="FF0000" w:sz="8" w:space="0"/>
            <w:right w:val="single" w:color="FF0000" w:sz="8" w:space="0"/>
            <w:insideH w:val="single" w:color="FF0000" w:sz="8" w:space="0"/>
            <w:insideV w:val="single" w:color="FF0000" w:sz="8" w:space="0"/>
          </w:tblBorders>
          <w:tblCellMar>
            <w:top w:w="0" w:type="dxa"/>
            <w:left w:w="108" w:type="dxa"/>
            <w:bottom w:w="0" w:type="dxa"/>
            <w:right w:w="108" w:type="dxa"/>
          </w:tblCellMar>
        </w:tblPrEx>
        <w:trPr>
          <w:trHeight w:val="20" w:hRule="atLeast"/>
          <w:jc w:val="center"/>
        </w:trPr>
        <w:tc>
          <w:tcPr>
            <w:tcW w:w="661" w:type="pct"/>
            <w:shd w:val="clear" w:color="auto" w:fill="auto"/>
            <w:vAlign w:val="center"/>
          </w:tcPr>
          <w:p w14:paraId="770F0251">
            <w:pPr>
              <w:spacing w:before="31" w:beforeLines="10" w:after="62" w:afterLines="20" w:line="280" w:lineRule="exact"/>
              <w:ind w:firstLine="0" w:firstLineChars="0"/>
              <w:jc w:val="center"/>
              <w:rPr>
                <w:rFonts w:hint="eastAsia" w:ascii="汉仪中黑简" w:eastAsia="汉仪中黑简"/>
                <w:bCs/>
                <w:kern w:val="0"/>
                <w:sz w:val="20"/>
              </w:rPr>
            </w:pPr>
            <w:r>
              <w:rPr>
                <w:rFonts w:hint="eastAsia" w:ascii="汉仪中黑简" w:eastAsia="汉仪中黑简"/>
                <w:bCs/>
                <w:kern w:val="0"/>
                <w:sz w:val="20"/>
              </w:rPr>
              <w:t>刑事责任</w:t>
            </w:r>
          </w:p>
        </w:tc>
        <w:tc>
          <w:tcPr>
            <w:tcW w:w="4339" w:type="pct"/>
            <w:shd w:val="clear" w:color="auto" w:fill="auto"/>
            <w:vAlign w:val="center"/>
          </w:tcPr>
          <w:p w14:paraId="15D8D025">
            <w:pPr>
              <w:spacing w:before="31" w:beforeLines="10" w:after="62" w:afterLines="20" w:line="280" w:lineRule="exact"/>
              <w:ind w:firstLine="0" w:firstLineChars="0"/>
              <w:rPr>
                <w:rFonts w:hint="eastAsia" w:ascii="汉仪书宋一简" w:eastAsia="汉仪书宋一简"/>
                <w:kern w:val="0"/>
                <w:sz w:val="20"/>
              </w:rPr>
            </w:pPr>
            <w:r>
              <w:rPr>
                <w:rFonts w:hint="eastAsia" w:ascii="汉仪书宋一简" w:eastAsia="汉仪书宋一简"/>
                <w:kern w:val="0"/>
                <w:sz w:val="20"/>
              </w:rPr>
              <w:t>违反本法规定，构成犯罪的，依法追究刑事责任</w:t>
            </w:r>
          </w:p>
        </w:tc>
      </w:tr>
    </w:tbl>
    <w:p w14:paraId="66A86403">
      <w:pPr>
        <w:ind w:left="0" w:leftChars="0" w:firstLine="0" w:firstLineChars="0"/>
        <w:rPr>
          <w:rFonts w:hint="eastAsia" w:ascii="汉仪书宋二简"/>
        </w:rPr>
      </w:pPr>
    </w:p>
    <w:p w14:paraId="72CFFFAE">
      <w:pPr>
        <w:tabs>
          <w:tab w:val="clear" w:pos="420"/>
        </w:tabs>
        <w:autoSpaceDE w:val="0"/>
        <w:autoSpaceDN w:val="0"/>
        <w:adjustRightInd w:val="0"/>
        <w:ind w:firstLine="425" w:firstLineChars="0"/>
        <w:textAlignment w:val="center"/>
        <w:rPr>
          <w:rFonts w:ascii="汉仪书宋二简" w:hAnsi="Times New Roman" w:cs="汉仪书宋二简"/>
          <w:color w:val="000000"/>
          <w:kern w:val="0"/>
          <w:lang w:val="zh-CN"/>
        </w:rPr>
      </w:pPr>
    </w:p>
    <w:p w14:paraId="65F9B1A1">
      <w:pPr>
        <w:pStyle w:val="2"/>
        <w:spacing w:before="0" w:line="480" w:lineRule="exact"/>
        <w:rPr>
          <w:rFonts w:hint="eastAsia"/>
        </w:rPr>
      </w:pPr>
      <w:bookmarkStart w:id="4" w:name="_Toc898225165"/>
      <w:bookmarkStart w:id="5" w:name="_Toc193726293"/>
      <w:r>
        <w:rPr>
          <w:rFonts w:hint="eastAsia"/>
          <w:color w:val="FF0000"/>
        </w:rPr>
        <w:t xml:space="preserve">考点9  </w:t>
      </w:r>
      <w:r>
        <w:rPr>
          <w:rFonts w:hint="eastAsia"/>
        </w:rPr>
        <w:t>自然资源法</w:t>
      </w:r>
      <w:bookmarkEnd w:id="4"/>
      <w:bookmarkEnd w:id="5"/>
    </w:p>
    <w:p w14:paraId="49A8587F">
      <w:pPr>
        <w:tabs>
          <w:tab w:val="clear" w:pos="420"/>
        </w:tabs>
        <w:autoSpaceDE w:val="0"/>
        <w:autoSpaceDN w:val="0"/>
        <w:adjustRightInd w:val="0"/>
        <w:ind w:firstLine="425" w:firstLineChars="0"/>
        <w:textAlignment w:val="center"/>
        <w:rPr>
          <w:rFonts w:ascii="汉仪书宋二简" w:hAnsi="Times New Roman" w:cs="汉仪书宋二简"/>
          <w:color w:val="000000"/>
          <w:kern w:val="0"/>
          <w:lang w:val="zh-CN"/>
        </w:rPr>
      </w:pPr>
    </w:p>
    <w:p w14:paraId="02E6CDDC">
      <w:pPr>
        <w:ind w:firstLine="420"/>
        <w:rPr>
          <w:rFonts w:hint="eastAsia" w:ascii="汉仪书宋二简"/>
        </w:rPr>
      </w:pPr>
    </w:p>
    <w:p w14:paraId="6B74255F">
      <w:pPr>
        <w:tabs>
          <w:tab w:val="clear" w:pos="420"/>
        </w:tabs>
        <w:autoSpaceDE w:val="0"/>
        <w:autoSpaceDN w:val="0"/>
        <w:adjustRightInd w:val="0"/>
        <w:ind w:firstLine="0" w:firstLineChars="0"/>
        <w:jc w:val="left"/>
        <w:textAlignment w:val="center"/>
        <w:rPr>
          <w:rFonts w:ascii="汉仪粗宋简" w:hAnsi="Times New Roman" w:eastAsia="汉仪大宋简" w:cs="汉仪粗宋简"/>
          <w:color w:val="000000"/>
          <w:kern w:val="0"/>
          <w:position w:val="4"/>
          <w:sz w:val="26"/>
          <w:szCs w:val="26"/>
          <w:lang w:val="zh-CN"/>
        </w:rPr>
      </w:pPr>
      <w:r>
        <w:rPr>
          <w:rFonts w:hint="eastAsia" w:ascii="汉仪粗宋简" w:hAnsi="Times New Roman" w:eastAsia="汉仪大宋简" w:cs="汉仪粗宋简"/>
          <w:color w:val="000000"/>
          <w:kern w:val="0"/>
          <w:position w:val="4"/>
          <w:sz w:val="26"/>
          <w:szCs w:val="26"/>
          <w:lang w:val="zh-CN"/>
        </w:rPr>
        <w:t>一、森林资源</w:t>
      </w:r>
    </w:p>
    <w:p w14:paraId="61CA8D0C">
      <w:pPr>
        <w:ind w:firstLine="440"/>
        <w:rPr>
          <w:rFonts w:hint="eastAsia" w:ascii="汉仪中黑简" w:eastAsia="汉仪中黑简" w:hAnsiTheme="minorEastAsia"/>
          <w:sz w:val="22"/>
          <w:szCs w:val="22"/>
        </w:rPr>
      </w:pPr>
      <w:r>
        <w:rPr>
          <w:rFonts w:hint="eastAsia" w:ascii="汉仪中黑简" w:eastAsia="汉仪中黑简"/>
          <w:sz w:val="22"/>
          <w:szCs w:val="22"/>
        </w:rPr>
        <w:t>1</w:t>
      </w:r>
      <w:r>
        <w:rPr>
          <w:rFonts w:hint="eastAsia" w:ascii="汉仪中黑简" w:eastAsia="汉仪中黑简" w:hAnsiTheme="minorEastAsia"/>
          <w:sz w:val="22"/>
          <w:szCs w:val="22"/>
        </w:rPr>
        <w:t>．森林权属</w:t>
      </w:r>
    </w:p>
    <w:p w14:paraId="3291E68B">
      <w:pPr>
        <w:ind w:firstLine="420"/>
        <w:rPr>
          <w:rFonts w:hint="eastAsia" w:ascii="汉仪书宋二简" w:hAnsiTheme="minorEastAsia"/>
        </w:rPr>
      </w:pPr>
      <w:r>
        <w:rPr>
          <w:rFonts w:hint="eastAsia" w:ascii="汉仪书宋二简" w:hAnsiTheme="minorEastAsia"/>
        </w:rPr>
        <w:t>（</w:t>
      </w:r>
      <w:r>
        <w:rPr>
          <w:rFonts w:hint="eastAsia" w:ascii="汉仪书宋二简"/>
        </w:rPr>
        <w:t>1</w:t>
      </w:r>
      <w:r>
        <w:rPr>
          <w:rFonts w:hint="eastAsia" w:ascii="汉仪书宋二简" w:hAnsiTheme="minorEastAsia"/>
        </w:rPr>
        <w:t>）森林资源属于国家所有，由法律规定属于集体所有的除外。</w:t>
      </w:r>
    </w:p>
    <w:p w14:paraId="22462C87">
      <w:pPr>
        <w:ind w:firstLine="420"/>
        <w:rPr>
          <w:rFonts w:hint="eastAsia" w:ascii="汉仪书宋二简" w:hAnsiTheme="minorEastAsia"/>
        </w:rPr>
      </w:pPr>
      <w:r>
        <w:rPr>
          <w:rFonts w:hint="eastAsia" w:ascii="汉仪书宋二简" w:hAnsiTheme="minorEastAsia"/>
        </w:rPr>
        <w:t>（</w:t>
      </w:r>
      <w:r>
        <w:rPr>
          <w:rFonts w:hint="eastAsia" w:ascii="汉仪书宋二简"/>
        </w:rPr>
        <w:t>2</w:t>
      </w:r>
      <w:r>
        <w:rPr>
          <w:rFonts w:hint="eastAsia" w:ascii="汉仪书宋二简" w:hAnsiTheme="minorEastAsia"/>
        </w:rPr>
        <w:t>）林业经营者依法取得的国有林地和林地上的森</w:t>
      </w:r>
      <w:r>
        <w:rPr>
          <w:rFonts w:hint="eastAsia" w:ascii="汉仪书宋二简" w:hAnsiTheme="minorEastAsia"/>
          <w:color w:val="0000FF"/>
        </w:rPr>
        <w:t>林、林木的使用权，</w:t>
      </w:r>
      <w:r>
        <w:rPr>
          <w:rFonts w:hint="eastAsia" w:ascii="汉仪书宋二简" w:hAnsiTheme="minorEastAsia"/>
        </w:rPr>
        <w:t>经批准可以转让、出租、作价出资等。</w:t>
      </w:r>
    </w:p>
    <w:p w14:paraId="7926FC33">
      <w:pPr>
        <w:ind w:firstLine="420"/>
        <w:rPr>
          <w:rFonts w:hint="eastAsia" w:ascii="汉仪书宋二简" w:hAnsiTheme="minorEastAsia"/>
        </w:rPr>
      </w:pPr>
      <w:r>
        <w:rPr>
          <w:rFonts w:hint="eastAsia" w:ascii="汉仪书宋二简" w:hAnsiTheme="minorEastAsia"/>
        </w:rPr>
        <w:t>（</w:t>
      </w:r>
      <w:r>
        <w:rPr>
          <w:rFonts w:hint="eastAsia" w:ascii="汉仪书宋二简"/>
        </w:rPr>
        <w:t>3</w:t>
      </w:r>
      <w:r>
        <w:rPr>
          <w:rFonts w:hint="eastAsia" w:ascii="汉仪书宋二简" w:hAnsiTheme="minorEastAsia"/>
        </w:rPr>
        <w:t>）集体林地的承包方享有林地承包经营权和承包林地上的林木所有权。承包方可以依法采取出租（转包）、入股、转让等方式流转林地经营权、林木所有权和使用权。</w:t>
      </w:r>
    </w:p>
    <w:p w14:paraId="67A62377">
      <w:pPr>
        <w:ind w:firstLine="420"/>
        <w:rPr>
          <w:rFonts w:hint="eastAsia" w:ascii="汉仪书宋二简" w:hAnsiTheme="minorEastAsia"/>
        </w:rPr>
      </w:pPr>
      <w:r>
        <w:rPr>
          <w:rFonts w:hint="eastAsia" w:ascii="汉仪书宋二简" w:hAnsiTheme="minorEastAsia"/>
        </w:rPr>
        <w:t>（</w:t>
      </w:r>
      <w:r>
        <w:rPr>
          <w:rFonts w:hint="eastAsia" w:ascii="汉仪书宋二简"/>
        </w:rPr>
        <w:t>4</w:t>
      </w:r>
      <w:r>
        <w:rPr>
          <w:rFonts w:hint="eastAsia" w:ascii="汉仪书宋二简" w:hAnsiTheme="minorEastAsia"/>
        </w:rPr>
        <w:t>）林木、林地所有权和使用权争议，</w:t>
      </w:r>
      <w:r>
        <w:rPr>
          <w:rFonts w:hint="eastAsia" w:ascii="汉仪书宋二简" w:hAnsi="楷体" w:eastAsia="汉仪中黑简" w:cs="楷体"/>
          <w:color w:val="FF0000"/>
        </w:rPr>
        <w:t>解决途径同土地权属争议</w:t>
      </w:r>
      <w:r>
        <w:rPr>
          <w:rFonts w:hint="eastAsia" w:ascii="汉仪书宋二简" w:hAnsiTheme="minorEastAsia"/>
        </w:rPr>
        <w:t>。单位之间发生的林木、林地所有权和使用权争议，由县级以上人民政府依法处理。个人之间、个人与单位之间发生的林木所有权和林地使用权争议，由乡镇人民政府或者县级以上人民政府依法处理。当事人对有关人民政府的处理决定不服的，可以自接到处理决定通知之日起</w:t>
      </w:r>
      <w:r>
        <w:rPr>
          <w:rFonts w:hint="eastAsia" w:ascii="汉仪书宋二简"/>
        </w:rPr>
        <w:t>30</w:t>
      </w:r>
      <w:r>
        <w:rPr>
          <w:rFonts w:hint="eastAsia" w:ascii="汉仪书宋二简" w:hAnsiTheme="minorEastAsia"/>
        </w:rPr>
        <w:t>日内，向人民法院起诉。</w:t>
      </w:r>
    </w:p>
    <w:p w14:paraId="6BAB7EA5">
      <w:pPr>
        <w:ind w:firstLine="440"/>
        <w:rPr>
          <w:rFonts w:hint="eastAsia" w:ascii="汉仪中黑简" w:eastAsia="汉仪中黑简"/>
          <w:sz w:val="22"/>
          <w:szCs w:val="22"/>
        </w:rPr>
      </w:pPr>
      <w:r>
        <w:rPr>
          <w:rFonts w:hint="eastAsia" w:ascii="汉仪中黑简" w:eastAsia="汉仪中黑简"/>
          <w:sz w:val="22"/>
          <w:szCs w:val="22"/>
        </w:rPr>
        <w:t>2．林地占用</w:t>
      </w:r>
    </w:p>
    <w:p w14:paraId="2D2667CB">
      <w:pPr>
        <w:ind w:firstLine="420"/>
        <w:rPr>
          <w:rFonts w:hint="eastAsia" w:ascii="汉仪书宋二简" w:hAnsiTheme="minorEastAsia"/>
        </w:rPr>
      </w:pPr>
      <w:r>
        <w:rPr>
          <w:rFonts w:hint="eastAsia" w:ascii="汉仪书宋二简"/>
          <w:bCs/>
        </w:rPr>
        <w:t>（1）</w:t>
      </w:r>
      <w:r>
        <w:rPr>
          <w:rFonts w:hint="eastAsia" w:ascii="汉仪书宋二简" w:hAnsiTheme="minorEastAsia"/>
        </w:rPr>
        <w:t>实行占用林地总量控制，确保林地保有量不减少。</w:t>
      </w:r>
    </w:p>
    <w:p w14:paraId="3568A74C">
      <w:pPr>
        <w:ind w:firstLine="420"/>
        <w:rPr>
          <w:rFonts w:hint="eastAsia" w:ascii="汉仪书宋二简" w:hAnsiTheme="minorEastAsia"/>
        </w:rPr>
      </w:pPr>
      <w:r>
        <w:rPr>
          <w:rFonts w:hint="eastAsia" w:ascii="汉仪书宋二简" w:hAnsiTheme="minorEastAsia"/>
        </w:rPr>
        <w:t>（</w:t>
      </w:r>
      <w:r>
        <w:rPr>
          <w:rFonts w:hint="eastAsia" w:ascii="汉仪书宋二简"/>
        </w:rPr>
        <w:t>2</w:t>
      </w:r>
      <w:r>
        <w:rPr>
          <w:rFonts w:hint="eastAsia" w:ascii="汉仪书宋二简" w:hAnsiTheme="minorEastAsia"/>
        </w:rPr>
        <w:t>）确需占用林地的，应当经县级以上政府林业主管部门审核同意，依法办理建设用地审批手续。</w:t>
      </w:r>
    </w:p>
    <w:p w14:paraId="0AE6CC34">
      <w:pPr>
        <w:ind w:firstLine="420"/>
        <w:rPr>
          <w:rFonts w:hint="eastAsia" w:ascii="汉仪书宋二简" w:hAnsiTheme="minorEastAsia"/>
        </w:rPr>
      </w:pPr>
      <w:r>
        <w:rPr>
          <w:rFonts w:hint="eastAsia" w:ascii="汉仪书宋二简" w:hAnsiTheme="minorEastAsia"/>
        </w:rPr>
        <w:t>（</w:t>
      </w:r>
      <w:r>
        <w:rPr>
          <w:rFonts w:hint="eastAsia" w:ascii="汉仪书宋二简"/>
        </w:rPr>
        <w:t>3</w:t>
      </w:r>
      <w:r>
        <w:rPr>
          <w:rFonts w:hint="eastAsia" w:ascii="汉仪书宋二简" w:hAnsiTheme="minorEastAsia"/>
        </w:rPr>
        <w:t>）占用林地的单位应当缴纳森林植被恢复费。</w:t>
      </w:r>
    </w:p>
    <w:p w14:paraId="5334A634">
      <w:pPr>
        <w:ind w:firstLine="420"/>
        <w:rPr>
          <w:rFonts w:hint="eastAsia" w:ascii="汉仪书宋二简" w:hAnsiTheme="minorEastAsia"/>
        </w:rPr>
      </w:pPr>
      <w:r>
        <w:rPr>
          <w:rFonts w:hint="eastAsia" w:ascii="汉仪书宋二简" w:hAnsiTheme="minorEastAsia"/>
        </w:rPr>
        <w:t>（</w:t>
      </w:r>
      <w:r>
        <w:rPr>
          <w:rFonts w:hint="eastAsia" w:ascii="汉仪书宋二简"/>
        </w:rPr>
        <w:t>4</w:t>
      </w:r>
      <w:r>
        <w:rPr>
          <w:rFonts w:hint="eastAsia" w:ascii="汉仪书宋二简" w:hAnsiTheme="minorEastAsia"/>
        </w:rPr>
        <w:t>）需要临时使用林地的，应当经县级以上政府林业主管部门批准；临</w:t>
      </w:r>
      <w:r>
        <w:rPr>
          <w:rFonts w:hint="eastAsia" w:ascii="汉仪书宋二简" w:hAnsiTheme="minorEastAsia"/>
          <w:color w:val="0000FF"/>
        </w:rPr>
        <w:t>时使用林地的期限一般不超过</w:t>
      </w:r>
      <w:r>
        <w:rPr>
          <w:rFonts w:hint="eastAsia" w:ascii="汉仪书宋二简"/>
          <w:color w:val="0000FF"/>
        </w:rPr>
        <w:t>2</w:t>
      </w:r>
      <w:r>
        <w:rPr>
          <w:rFonts w:hint="eastAsia" w:ascii="汉仪书宋二简" w:hAnsiTheme="minorEastAsia"/>
          <w:color w:val="0000FF"/>
        </w:rPr>
        <w:t>年</w:t>
      </w:r>
      <w:r>
        <w:rPr>
          <w:rFonts w:hint="eastAsia" w:ascii="汉仪书宋二简" w:hAnsiTheme="minorEastAsia"/>
        </w:rPr>
        <w:t>，并不得在临时使用的林地上修建永久性建筑物。</w:t>
      </w:r>
    </w:p>
    <w:p w14:paraId="25D90564">
      <w:pPr>
        <w:ind w:firstLine="440"/>
        <w:rPr>
          <w:rFonts w:hint="eastAsia" w:ascii="汉仪中黑简" w:eastAsia="汉仪中黑简"/>
          <w:sz w:val="22"/>
          <w:szCs w:val="22"/>
        </w:rPr>
      </w:pPr>
      <w:r>
        <w:rPr>
          <w:rFonts w:hint="eastAsia" w:ascii="汉仪中黑简" w:eastAsia="汉仪中黑简"/>
          <w:sz w:val="22"/>
          <w:szCs w:val="22"/>
        </w:rPr>
        <w:t>3．公益林</w:t>
      </w:r>
    </w:p>
    <w:p w14:paraId="11B08168">
      <w:pPr>
        <w:ind w:firstLine="420"/>
        <w:rPr>
          <w:rFonts w:hint="eastAsia" w:ascii="汉仪书宋二简" w:hAnsiTheme="minorEastAsia"/>
        </w:rPr>
      </w:pPr>
      <w:r>
        <w:rPr>
          <w:rFonts w:hint="eastAsia" w:ascii="汉仪书宋二简" w:hAnsiTheme="minorEastAsia"/>
        </w:rPr>
        <w:t>（</w:t>
      </w:r>
      <w:r>
        <w:rPr>
          <w:rFonts w:hint="eastAsia" w:ascii="汉仪书宋二简"/>
        </w:rPr>
        <w:t>1</w:t>
      </w:r>
      <w:r>
        <w:rPr>
          <w:rFonts w:hint="eastAsia" w:ascii="汉仪书宋二简" w:hAnsiTheme="minorEastAsia"/>
        </w:rPr>
        <w:t>）公益林以发挥生态效益为主要目的，由国务院和省级政府划定并公布。</w:t>
      </w:r>
    </w:p>
    <w:p w14:paraId="3B612F79">
      <w:pPr>
        <w:ind w:firstLine="420"/>
        <w:rPr>
          <w:rFonts w:hint="eastAsia" w:ascii="汉仪书宋二简" w:hAnsiTheme="minorEastAsia"/>
        </w:rPr>
      </w:pPr>
      <w:r>
        <w:rPr>
          <w:rFonts w:hint="eastAsia" w:ascii="汉仪书宋二简" w:hAnsiTheme="minorEastAsia"/>
        </w:rPr>
        <w:t>（</w:t>
      </w:r>
      <w:r>
        <w:rPr>
          <w:rFonts w:hint="eastAsia" w:ascii="汉仪书宋二简"/>
        </w:rPr>
        <w:t>2</w:t>
      </w:r>
      <w:r>
        <w:rPr>
          <w:rFonts w:hint="eastAsia" w:ascii="汉仪书宋二简" w:hAnsiTheme="minorEastAsia"/>
        </w:rPr>
        <w:t>）下列区域的林地和林地上的森林，应当划定为公益林：①重要江河源头汇水区域；②重要江河干流及支流两岸、饮用水水源地保护区；③重要湿地和重要水库周围；④森林和陆生野生动物类型的自然保护区；⑤荒漠化和水土流失严重地区的防风固沙林基干林带；⑥沿海防护林基干林带；⑦未开发利用的原始林地区；⑧需要划定的其他区域。公益林划定涉及非国有林地的，应当与权利人签订书面协议，并给予合理补偿。</w:t>
      </w:r>
    </w:p>
    <w:p w14:paraId="1A6713BE">
      <w:pPr>
        <w:ind w:firstLine="420"/>
        <w:rPr>
          <w:rFonts w:hint="eastAsia" w:ascii="汉仪书宋二简" w:hAnsiTheme="minorEastAsia"/>
        </w:rPr>
      </w:pPr>
      <w:r>
        <w:rPr>
          <w:rFonts w:hint="eastAsia" w:ascii="汉仪书宋二简" w:hAnsiTheme="minorEastAsia"/>
        </w:rPr>
        <w:t>（</w:t>
      </w:r>
      <w:r>
        <w:rPr>
          <w:rFonts w:hint="eastAsia" w:ascii="汉仪书宋二简"/>
        </w:rPr>
        <w:t>3</w:t>
      </w:r>
      <w:r>
        <w:rPr>
          <w:rFonts w:hint="eastAsia" w:ascii="汉仪书宋二简" w:hAnsiTheme="minorEastAsia"/>
        </w:rPr>
        <w:t>）国家对公益林实施严格保护。在符合公益林生态区位保护要求和不影响公益林生态功能的前提下，</w:t>
      </w:r>
      <w:r>
        <w:rPr>
          <w:rFonts w:hint="eastAsia" w:ascii="汉仪书宋二简" w:hAnsiTheme="minorEastAsia"/>
          <w:color w:val="0000FF"/>
        </w:rPr>
        <w:t>经科学论证，可以合理利用公益林林地资源和森林景观资源，</w:t>
      </w:r>
      <w:r>
        <w:rPr>
          <w:rFonts w:hint="eastAsia" w:ascii="汉仪书宋二简" w:hAnsiTheme="minorEastAsia"/>
        </w:rPr>
        <w:t>适度开展林下经济、森林旅游等。</w:t>
      </w:r>
    </w:p>
    <w:p w14:paraId="7F6D313E">
      <w:pPr>
        <w:ind w:firstLine="440"/>
        <w:rPr>
          <w:rFonts w:hint="eastAsia" w:ascii="汉仪中黑简" w:eastAsia="汉仪中黑简"/>
          <w:sz w:val="22"/>
          <w:szCs w:val="22"/>
        </w:rPr>
      </w:pPr>
      <w:r>
        <w:rPr>
          <w:rFonts w:hint="eastAsia" w:ascii="汉仪中黑简" w:eastAsia="汉仪中黑简"/>
          <w:sz w:val="22"/>
          <w:szCs w:val="22"/>
        </w:rPr>
        <w:t>4．商品林</w:t>
      </w:r>
    </w:p>
    <w:p w14:paraId="1B0713D5">
      <w:pPr>
        <w:ind w:firstLine="420"/>
        <w:rPr>
          <w:rFonts w:hint="eastAsia" w:ascii="汉仪书宋二简" w:hAnsiTheme="minorEastAsia"/>
        </w:rPr>
      </w:pPr>
      <w:r>
        <w:rPr>
          <w:rFonts w:hint="eastAsia" w:ascii="汉仪书宋二简" w:hAnsiTheme="minorEastAsia"/>
        </w:rPr>
        <w:t>（</w:t>
      </w:r>
      <w:r>
        <w:rPr>
          <w:rFonts w:hint="eastAsia" w:ascii="汉仪书宋二简"/>
        </w:rPr>
        <w:t>1</w:t>
      </w:r>
      <w:r>
        <w:rPr>
          <w:rFonts w:hint="eastAsia" w:ascii="汉仪书宋二简" w:hAnsiTheme="minorEastAsia"/>
        </w:rPr>
        <w:t>）未划定为公益林的林地和林地上的森林属于商品林。</w:t>
      </w:r>
    </w:p>
    <w:p w14:paraId="7990930A">
      <w:pPr>
        <w:ind w:firstLine="420"/>
        <w:rPr>
          <w:rFonts w:hint="eastAsia" w:ascii="汉仪书宋二简" w:hAnsiTheme="minorEastAsia"/>
        </w:rPr>
      </w:pPr>
      <w:r>
        <w:rPr>
          <w:rFonts w:hint="eastAsia" w:ascii="汉仪书宋二简"/>
          <w:bCs/>
        </w:rPr>
        <w:t>（2）</w:t>
      </w:r>
      <w:r>
        <w:rPr>
          <w:rFonts w:hint="eastAsia" w:ascii="汉仪书宋二简" w:hAnsiTheme="minorEastAsia"/>
        </w:rPr>
        <w:t>国家鼓励发展下列商品林：①用材林；②经济林；③能源林；④其他。</w:t>
      </w:r>
    </w:p>
    <w:p w14:paraId="3A65DD78">
      <w:pPr>
        <w:ind w:firstLine="420"/>
        <w:rPr>
          <w:rFonts w:hint="eastAsia" w:ascii="汉仪书宋二简" w:hAnsiTheme="minorEastAsia"/>
        </w:rPr>
      </w:pPr>
      <w:r>
        <w:rPr>
          <w:rFonts w:hint="eastAsia" w:ascii="汉仪书宋二简" w:hAnsiTheme="minorEastAsia"/>
        </w:rPr>
        <w:t>（</w:t>
      </w:r>
      <w:r>
        <w:rPr>
          <w:rFonts w:hint="eastAsia" w:ascii="汉仪书宋二简"/>
        </w:rPr>
        <w:t>3</w:t>
      </w:r>
      <w:r>
        <w:rPr>
          <w:rFonts w:hint="eastAsia" w:ascii="汉仪书宋二简" w:hAnsiTheme="minorEastAsia"/>
        </w:rPr>
        <w:t>）商品林由林业经营者依法自主经营。</w:t>
      </w:r>
    </w:p>
    <w:p w14:paraId="42D8C591">
      <w:pPr>
        <w:ind w:firstLine="420"/>
        <w:rPr>
          <w:rFonts w:hint="eastAsia" w:ascii="汉仪书宋二简" w:hAnsiTheme="minorEastAsia"/>
        </w:rPr>
      </w:pPr>
    </w:p>
    <w:p w14:paraId="70EE21BA">
      <w:pPr>
        <w:ind w:firstLine="440"/>
        <w:rPr>
          <w:rFonts w:hint="eastAsia" w:ascii="汉仪中黑简" w:eastAsia="汉仪中黑简"/>
          <w:sz w:val="22"/>
          <w:szCs w:val="22"/>
        </w:rPr>
      </w:pPr>
      <w:r>
        <w:rPr>
          <w:rFonts w:hint="eastAsia" w:ascii="汉仪中黑简" w:eastAsia="汉仪中黑简"/>
          <w:sz w:val="22"/>
          <w:szCs w:val="22"/>
        </w:rPr>
        <w:t>5．林木采伐</w:t>
      </w:r>
    </w:p>
    <w:p w14:paraId="7A90D44D">
      <w:pPr>
        <w:ind w:firstLine="420"/>
        <w:rPr>
          <w:rFonts w:hint="eastAsia" w:ascii="汉仪书宋二简" w:hAnsiTheme="minorEastAsia"/>
        </w:rPr>
      </w:pPr>
      <w:r>
        <w:rPr>
          <w:rFonts w:hint="eastAsia" w:ascii="汉仪书宋二简" w:hAnsiTheme="minorEastAsia"/>
        </w:rPr>
        <w:t>（</w:t>
      </w:r>
      <w:r>
        <w:rPr>
          <w:rFonts w:hint="eastAsia" w:ascii="汉仪书宋二简"/>
        </w:rPr>
        <w:t>1</w:t>
      </w:r>
      <w:r>
        <w:rPr>
          <w:rFonts w:hint="eastAsia" w:ascii="汉仪书宋二简" w:hAnsiTheme="minorEastAsia"/>
        </w:rPr>
        <w:t>）采伐限额：省级政府林业主管部门根据消耗量低于生长量和森林分类经营管理的原则，编制本行政区域的年采伐限额，经征求国务院林业主管部门意见，报本级人民政府批准后公布实施，并报国务院备案。</w:t>
      </w:r>
    </w:p>
    <w:p w14:paraId="212D985E">
      <w:pPr>
        <w:ind w:firstLine="420"/>
        <w:rPr>
          <w:rFonts w:hint="eastAsia" w:ascii="汉仪书宋二简" w:hAnsiTheme="minorEastAsia"/>
        </w:rPr>
      </w:pPr>
      <w:r>
        <w:rPr>
          <w:rFonts w:hint="eastAsia" w:ascii="汉仪书宋二简" w:hAnsiTheme="minorEastAsia"/>
        </w:rPr>
        <w:t>（</w:t>
      </w:r>
      <w:r>
        <w:rPr>
          <w:rFonts w:hint="eastAsia" w:ascii="汉仪书宋二简"/>
        </w:rPr>
        <w:t>2</w:t>
      </w:r>
      <w:r>
        <w:rPr>
          <w:rFonts w:hint="eastAsia" w:ascii="汉仪书宋二简" w:hAnsiTheme="minorEastAsia"/>
        </w:rPr>
        <w:t>）采伐要求：①</w:t>
      </w:r>
      <w:r>
        <w:rPr>
          <w:rFonts w:hint="eastAsia" w:ascii="汉仪书宋二简" w:hAnsiTheme="minorEastAsia"/>
          <w:color w:val="0000FF"/>
        </w:rPr>
        <w:t>公益林只能进行抚育、更新和低质低效林改造性质的采伐。</w:t>
      </w:r>
      <w:r>
        <w:rPr>
          <w:rFonts w:hint="eastAsia" w:ascii="汉仪书宋二简" w:hAnsiTheme="minorEastAsia"/>
        </w:rPr>
        <w:t>但是，因科研或者实验、防治林业有害生物、建设护林防火设施、营造生物防火隔离带、遭受自然灾害等需要采伐的除外。②商品林应当根据不同情况，采取不同采伐方式，严格控制采伐面积，伐育同步规划实施。③自然保护区的林木，禁止采伐。但是，因防治林业有害生物、森林防火、维护主要保护对象生存环境、遭受自然灾害等特殊情况必须采伐的和实验区的竹林除外。</w:t>
      </w:r>
    </w:p>
    <w:p w14:paraId="6D3B1481">
      <w:pPr>
        <w:ind w:firstLine="420"/>
        <w:rPr>
          <w:rFonts w:hint="default" w:ascii="汉仪书宋二简" w:eastAsia="汉仪书宋二简" w:hAnsiTheme="minorEastAsia"/>
          <w:color w:val="0000FF"/>
          <w:lang w:val="en-US" w:eastAsia="zh-CN"/>
        </w:rPr>
      </w:pPr>
      <w:r>
        <w:rPr>
          <w:rFonts w:hint="eastAsia" w:ascii="汉仪书宋二简" w:hAnsiTheme="minorEastAsia"/>
        </w:rPr>
        <w:t>（</w:t>
      </w:r>
      <w:r>
        <w:rPr>
          <w:rFonts w:hint="eastAsia" w:ascii="汉仪书宋二简"/>
        </w:rPr>
        <w:t>3</w:t>
      </w:r>
      <w:r>
        <w:rPr>
          <w:rFonts w:hint="eastAsia" w:ascii="汉仪书宋二简" w:hAnsiTheme="minorEastAsia"/>
        </w:rPr>
        <w:t>）采伐许可：采伐自然保护区以外的竹林，农村居民采伐自留地和房前屋后个人所有的零星林木，不需要申请采伐许可证。其他的采伐需要许可。采伐许可证一般由县级以上政府林业主管部门核发，但农村居民采伐自留山和个人承包集体林地上的林木，由县级政府林业主管部门或其委托的乡镇政府核发。</w:t>
      </w:r>
      <w:r>
        <w:rPr>
          <w:rFonts w:hint="eastAsia" w:ascii="汉仪书宋二简" w:hAnsiTheme="minorEastAsia"/>
          <w:color w:val="0000FF"/>
          <w:lang w:val="en-US" w:eastAsia="zh-CN"/>
        </w:rPr>
        <w:t>自留山的需要许可</w:t>
      </w:r>
    </w:p>
    <w:p w14:paraId="0E8E8836">
      <w:pPr>
        <w:ind w:firstLine="420"/>
        <w:rPr>
          <w:rFonts w:hint="eastAsia" w:ascii="汉仪书宋二简" w:hAnsiTheme="minorEastAsia"/>
        </w:rPr>
      </w:pPr>
      <w:r>
        <w:rPr>
          <w:rFonts w:hint="eastAsia" w:ascii="汉仪书宋二简" w:hAnsiTheme="minorEastAsia"/>
        </w:rPr>
        <w:t>（</w:t>
      </w:r>
      <w:r>
        <w:rPr>
          <w:rFonts w:hint="eastAsia" w:ascii="汉仪书宋二简"/>
        </w:rPr>
        <w:t>4</w:t>
      </w:r>
      <w:r>
        <w:rPr>
          <w:rFonts w:hint="eastAsia" w:ascii="汉仪书宋二简" w:hAnsiTheme="minorEastAsia"/>
        </w:rPr>
        <w:t>）更新造林：采伐林木的组织和个人应当按照有关规定完成更新造林，更新造林的面积不得少于采伐的面积。</w:t>
      </w:r>
    </w:p>
    <w:p w14:paraId="5941C173">
      <w:pPr>
        <w:ind w:left="0" w:leftChars="0" w:firstLine="0" w:firstLineChars="0"/>
        <w:rPr>
          <w:rFonts w:hint="eastAsia" w:ascii="汉仪书宋二简" w:hAnsiTheme="minorEastAsia"/>
          <w:b/>
          <w:bCs/>
        </w:rPr>
      </w:pPr>
    </w:p>
    <w:p w14:paraId="4AA73E9B">
      <w:pPr>
        <w:pStyle w:val="3"/>
        <w:rPr>
          <w:rFonts w:hint="eastAsia"/>
        </w:rPr>
      </w:pPr>
      <w:r>
        <w:rPr>
          <w:rFonts w:hint="eastAsia"/>
        </w:rPr>
        <w:t>二、矿产资源</w:t>
      </w:r>
    </w:p>
    <w:p w14:paraId="0D199462">
      <w:pPr>
        <w:ind w:firstLine="440"/>
        <w:rPr>
          <w:rFonts w:hint="eastAsia" w:ascii="汉仪中黑简" w:eastAsia="汉仪中黑简"/>
          <w:sz w:val="22"/>
          <w:szCs w:val="22"/>
        </w:rPr>
      </w:pPr>
      <w:r>
        <w:rPr>
          <w:rFonts w:hint="eastAsia" w:ascii="汉仪中黑简" w:eastAsia="汉仪中黑简"/>
          <w:sz w:val="22"/>
          <w:szCs w:val="22"/>
        </w:rPr>
        <w:t>1．矿产资源归属</w:t>
      </w:r>
    </w:p>
    <w:p w14:paraId="295E1F70">
      <w:pPr>
        <w:ind w:firstLine="420"/>
        <w:rPr>
          <w:rFonts w:hint="eastAsia" w:ascii="汉仪书宋二简" w:hAnsiTheme="minorEastAsia"/>
          <w:kern w:val="0"/>
        </w:rPr>
      </w:pPr>
      <w:r>
        <w:rPr>
          <w:rFonts w:hint="eastAsia" w:ascii="汉仪书宋二简" w:hAnsiTheme="minorEastAsia"/>
          <w:bCs/>
          <w:kern w:val="0"/>
        </w:rPr>
        <w:t>（</w:t>
      </w:r>
      <w:r>
        <w:rPr>
          <w:rFonts w:hint="eastAsia" w:ascii="汉仪书宋二简"/>
          <w:bCs/>
          <w:kern w:val="0"/>
        </w:rPr>
        <w:t>1</w:t>
      </w:r>
      <w:r>
        <w:rPr>
          <w:rFonts w:hint="eastAsia" w:ascii="汉仪书宋二简" w:hAnsiTheme="minorEastAsia"/>
          <w:bCs/>
          <w:kern w:val="0"/>
        </w:rPr>
        <w:t>）</w:t>
      </w:r>
      <w:r>
        <w:rPr>
          <w:rFonts w:hint="eastAsia" w:ascii="汉仪书宋二简" w:hAnsiTheme="minorEastAsia"/>
          <w:kern w:val="0"/>
        </w:rPr>
        <w:t>矿产资源属于国家所有，由国务院行使国家对矿产资源的所有权。</w:t>
      </w:r>
    </w:p>
    <w:p w14:paraId="1AE8C922">
      <w:pPr>
        <w:ind w:firstLine="420"/>
        <w:rPr>
          <w:rFonts w:hint="eastAsia" w:ascii="汉仪书宋二简" w:hAnsiTheme="minorEastAsia"/>
          <w:kern w:val="0"/>
        </w:rPr>
      </w:pPr>
      <w:r>
        <w:rPr>
          <w:rFonts w:hint="eastAsia" w:ascii="汉仪书宋二简" w:hAnsiTheme="minorEastAsia"/>
          <w:kern w:val="0"/>
        </w:rPr>
        <w:t>（</w:t>
      </w:r>
      <w:r>
        <w:rPr>
          <w:rFonts w:hint="eastAsia" w:ascii="汉仪书宋二简"/>
          <w:kern w:val="0"/>
        </w:rPr>
        <w:t>2</w:t>
      </w:r>
      <w:r>
        <w:rPr>
          <w:rFonts w:hint="eastAsia" w:ascii="汉仪书宋二简" w:hAnsiTheme="minorEastAsia"/>
          <w:kern w:val="0"/>
        </w:rPr>
        <w:t>）矿产资源的国家所有权，</w:t>
      </w:r>
      <w:r>
        <w:rPr>
          <w:rFonts w:hint="eastAsia" w:ascii="汉仪书宋二简" w:hAnsi="楷体" w:eastAsia="汉仪中黑简" w:cs="楷体"/>
          <w:color w:val="FF0000"/>
          <w:kern w:val="0"/>
        </w:rPr>
        <w:t>不因其所依附的土地的所有权或使用权的不同而改变</w:t>
      </w:r>
      <w:r>
        <w:rPr>
          <w:rFonts w:hint="eastAsia" w:ascii="汉仪书宋二简" w:hAnsiTheme="minorEastAsia"/>
          <w:kern w:val="0"/>
        </w:rPr>
        <w:t>。</w:t>
      </w:r>
    </w:p>
    <w:p w14:paraId="6F78CEBA">
      <w:pPr>
        <w:ind w:firstLine="420"/>
        <w:rPr>
          <w:rFonts w:hint="eastAsia" w:ascii="汉仪书宋二简" w:hAnsiTheme="minorEastAsia"/>
          <w:bCs/>
          <w:kern w:val="0"/>
        </w:rPr>
      </w:pPr>
      <w:r>
        <w:rPr>
          <w:rFonts w:hint="eastAsia" w:ascii="汉仪书宋二简" w:hAnsiTheme="minorEastAsia"/>
          <w:bCs/>
          <w:kern w:val="0"/>
        </w:rPr>
        <w:t>（3）</w:t>
      </w:r>
      <w:r>
        <w:rPr>
          <w:rFonts w:hint="eastAsia" w:ascii="汉仪书宋二简" w:hAnsiTheme="minorEastAsia"/>
          <w:kern w:val="0"/>
        </w:rPr>
        <w:t>矿产资源规划：全国矿产资源规划（国务院自然资源主管部门会同国务院有关部门，依据国家发展规划、全国国土空间规划、地质调查成果等，编制全国矿产资源规划，报国务院或者其授权的部门批准后实施），地方矿产资源规划（省、地级市、县人民政府自然资源主管部门会同有关部门编制本行政区域矿产资源规划，经本级人民政府同意后，报上一级人民政府自然资源主管部门批准后实施）。</w:t>
      </w:r>
    </w:p>
    <w:p w14:paraId="089FAA50">
      <w:pPr>
        <w:ind w:firstLine="440"/>
        <w:rPr>
          <w:rFonts w:hint="eastAsia" w:ascii="汉仪中黑简" w:eastAsia="汉仪中黑简"/>
          <w:sz w:val="22"/>
          <w:szCs w:val="22"/>
        </w:rPr>
      </w:pPr>
      <w:r>
        <w:rPr>
          <w:rFonts w:hint="eastAsia" w:ascii="汉仪中黑简" w:eastAsia="汉仪中黑简"/>
          <w:sz w:val="22"/>
          <w:szCs w:val="22"/>
        </w:rPr>
        <w:t>2．矿业权</w:t>
      </w:r>
    </w:p>
    <w:p w14:paraId="70557289">
      <w:pPr>
        <w:ind w:firstLine="420"/>
        <w:rPr>
          <w:rFonts w:hint="eastAsia" w:ascii="汉仪书宋二简" w:hAnsiTheme="minorEastAsia"/>
          <w:bCs/>
          <w:kern w:val="0"/>
        </w:rPr>
      </w:pPr>
      <w:r>
        <w:rPr>
          <w:rFonts w:hint="eastAsia" w:ascii="汉仪书宋二简" w:hAnsiTheme="minorEastAsia"/>
          <w:bCs/>
          <w:kern w:val="0"/>
        </w:rPr>
        <w:t>（1）矿业权包括探矿权和采矿权，性质为用益物权。</w:t>
      </w:r>
    </w:p>
    <w:p w14:paraId="1917E9CF">
      <w:pPr>
        <w:ind w:firstLine="420"/>
        <w:rPr>
          <w:rFonts w:hint="eastAsia" w:ascii="汉仪书宋二简" w:hAnsiTheme="minorEastAsia"/>
          <w:bCs/>
          <w:kern w:val="0"/>
        </w:rPr>
      </w:pPr>
      <w:r>
        <w:rPr>
          <w:rFonts w:hint="eastAsia" w:ascii="汉仪书宋二简" w:hAnsiTheme="minorEastAsia"/>
          <w:bCs/>
          <w:kern w:val="0"/>
        </w:rPr>
        <w:t>（2）矿业权的取得：有偿取得。矿业权应当通过招标、拍卖、挂牌等</w:t>
      </w:r>
      <w:r>
        <w:rPr>
          <w:rFonts w:hint="eastAsia" w:ascii="汉仪书宋二简" w:hAnsi="楷体" w:eastAsia="汉仪中黑简" w:cs="楷体"/>
          <w:color w:val="FF0000"/>
          <w:kern w:val="0"/>
        </w:rPr>
        <w:t>竞争性方式</w:t>
      </w:r>
      <w:r>
        <w:rPr>
          <w:rFonts w:hint="eastAsia" w:ascii="汉仪书宋二简" w:hAnsiTheme="minorEastAsia"/>
          <w:bCs/>
          <w:kern w:val="0"/>
        </w:rPr>
        <w:t>出让，法律、行政法规或者国务院规定可以通过协议出让或者其他方式设立的除外。</w:t>
      </w:r>
      <w:r>
        <w:rPr>
          <w:rFonts w:hint="eastAsia" w:ascii="汉仪书宋二简" w:hAnsiTheme="minorEastAsia"/>
          <w:bCs/>
          <w:color w:val="0000FF"/>
          <w:kern w:val="0"/>
        </w:rPr>
        <w:t>出让矿业权的，矿业权出让部门应当与依法确定的受让人以书面形式签订矿业权出让合同</w:t>
      </w:r>
      <w:r>
        <w:rPr>
          <w:rFonts w:hint="eastAsia" w:ascii="汉仪书宋二简" w:hAnsiTheme="minorEastAsia"/>
          <w:bCs/>
          <w:kern w:val="0"/>
        </w:rPr>
        <w:t>。</w:t>
      </w:r>
    </w:p>
    <w:p w14:paraId="45715D60">
      <w:pPr>
        <w:ind w:firstLine="420"/>
        <w:rPr>
          <w:rFonts w:hint="default" w:ascii="汉仪书宋二简" w:eastAsia="汉仪书宋二简" w:hAnsiTheme="minorEastAsia"/>
          <w:bCs/>
          <w:color w:val="0000FF"/>
          <w:kern w:val="0"/>
          <w:lang w:val="en-US" w:eastAsia="zh-CN"/>
        </w:rPr>
      </w:pPr>
      <w:r>
        <w:rPr>
          <w:rFonts w:hint="eastAsia" w:ascii="汉仪书宋二简" w:hAnsiTheme="minorEastAsia"/>
          <w:bCs/>
          <w:kern w:val="0"/>
        </w:rPr>
        <w:t>（3）矿业权登记：</w:t>
      </w:r>
      <w:r>
        <w:rPr>
          <w:rFonts w:hint="eastAsia" w:ascii="汉仪书宋二简" w:hAnsi="楷体" w:eastAsia="汉仪中黑简" w:cs="楷体"/>
          <w:color w:val="FF0000"/>
          <w:kern w:val="0"/>
        </w:rPr>
        <w:t>登记要件主义</w:t>
      </w:r>
      <w:r>
        <w:rPr>
          <w:rFonts w:hint="eastAsia" w:ascii="汉仪书宋二简" w:hAnsiTheme="minorEastAsia"/>
          <w:bCs/>
          <w:kern w:val="0"/>
        </w:rPr>
        <w:t>。矿业权的设立、变更、转让、抵押和消灭的，应当依法办理登记。</w:t>
      </w:r>
      <w:r>
        <w:rPr>
          <w:rFonts w:hint="eastAsia" w:ascii="汉仪书宋二简" w:hAnsiTheme="minorEastAsia"/>
          <w:bCs/>
          <w:color w:val="0000FF"/>
          <w:kern w:val="0"/>
          <w:lang w:val="en-US" w:eastAsia="zh-CN"/>
        </w:rPr>
        <w:t>登记时取得矿业权</w:t>
      </w:r>
    </w:p>
    <w:p w14:paraId="2918080A">
      <w:pPr>
        <w:ind w:firstLine="420"/>
        <w:rPr>
          <w:rFonts w:hint="eastAsia" w:ascii="汉仪书宋二简" w:hAnsiTheme="minorEastAsia"/>
          <w:bCs/>
          <w:kern w:val="0"/>
        </w:rPr>
      </w:pPr>
      <w:r>
        <w:rPr>
          <w:rFonts w:hint="eastAsia" w:ascii="汉仪书宋二简" w:hAnsiTheme="minorEastAsia"/>
          <w:bCs/>
          <w:kern w:val="0"/>
        </w:rPr>
        <w:t>（4）矿业权的内容：探矿权人在登记的勘查区域内，享有勘查有关矿产资源并依法取得采矿权的权利。采矿权人在登记的开采区域内，享有开采有关矿产资源并获得采出的矿产品的权利。矿业权人有权依法</w:t>
      </w:r>
      <w:r>
        <w:rPr>
          <w:rFonts w:hint="eastAsia" w:ascii="汉仪书宋二简" w:hAnsi="楷体" w:eastAsia="汉仪中黑简" w:cs="楷体"/>
          <w:color w:val="FF0000"/>
          <w:kern w:val="0"/>
        </w:rPr>
        <w:t>优先取得</w:t>
      </w:r>
      <w:r>
        <w:rPr>
          <w:rFonts w:hint="eastAsia" w:ascii="汉仪书宋二简" w:hAnsiTheme="minorEastAsia"/>
          <w:bCs/>
          <w:kern w:val="0"/>
        </w:rPr>
        <w:t>登记的勘查、开采区域内新发现的其他矿产资源的矿业权。在已经登记的勘查、开采区域内，不得设立其他矿业权，根据规定可以按照不同矿种分别设立矿业权的除外。</w:t>
      </w:r>
    </w:p>
    <w:p w14:paraId="19F92B25">
      <w:pPr>
        <w:ind w:firstLine="420"/>
        <w:rPr>
          <w:rFonts w:hint="eastAsia" w:ascii="汉仪书宋二简" w:hAnsiTheme="minorEastAsia"/>
          <w:bCs/>
          <w:kern w:val="0"/>
        </w:rPr>
      </w:pPr>
      <w:r>
        <w:rPr>
          <w:rFonts w:hint="eastAsia" w:ascii="汉仪书宋二简" w:hAnsiTheme="minorEastAsia"/>
          <w:bCs/>
          <w:kern w:val="0"/>
        </w:rPr>
        <w:t>（5）矿业权的期限：探矿权5年*4期。采矿权的期限最长不超过30年，期满后登记的开采区域内仍有可供开采的矿产资源的，可以续期。</w:t>
      </w:r>
    </w:p>
    <w:p w14:paraId="06F8F72C">
      <w:pPr>
        <w:ind w:firstLine="420"/>
        <w:rPr>
          <w:rFonts w:hint="eastAsia" w:ascii="汉仪书宋二简" w:eastAsia="汉仪书宋二简" w:hAnsiTheme="minorEastAsia"/>
          <w:bCs/>
          <w:color w:val="0000FF"/>
          <w:kern w:val="0"/>
          <w:lang w:eastAsia="zh-CN"/>
        </w:rPr>
      </w:pPr>
      <w:r>
        <w:rPr>
          <w:rFonts w:hint="eastAsia" w:ascii="汉仪书宋二简" w:hAnsiTheme="minorEastAsia"/>
          <w:bCs/>
          <w:kern w:val="0"/>
        </w:rPr>
        <w:t>（6）探矿采矿直通车：探矿权人</w:t>
      </w:r>
      <w:r>
        <w:rPr>
          <w:rFonts w:hint="eastAsia" w:ascii="汉仪书宋二简" w:hAnsi="楷体" w:eastAsia="汉仪中黑简" w:cs="楷体"/>
          <w:color w:val="FF0000"/>
          <w:kern w:val="0"/>
        </w:rPr>
        <w:t>探明可供开采的矿产资源后</w:t>
      </w:r>
      <w:r>
        <w:rPr>
          <w:rFonts w:hint="eastAsia" w:ascii="汉仪书宋二简" w:hAnsiTheme="minorEastAsia"/>
          <w:bCs/>
          <w:kern w:val="0"/>
        </w:rPr>
        <w:t>可以在探矿权期限内申请</w:t>
      </w:r>
      <w:r>
        <w:rPr>
          <w:rFonts w:hint="eastAsia" w:ascii="汉仪书宋二简" w:hAnsiTheme="minorEastAsia"/>
          <w:bCs/>
          <w:color w:val="0000FF"/>
          <w:kern w:val="0"/>
        </w:rPr>
        <w:t>将其探矿权转为采矿权；</w:t>
      </w:r>
      <w:r>
        <w:rPr>
          <w:rFonts w:hint="eastAsia" w:ascii="汉仪书宋二简" w:hAnsiTheme="minorEastAsia"/>
          <w:bCs/>
          <w:kern w:val="0"/>
        </w:rPr>
        <w:t>法律、行政法规另有规定的除外。原矿业权出让部门应当与该探矿权人签订采矿权出让合同，设立采矿权。为了公共利益的需要，或者因不可抗力或者其他特殊情形，探矿权暂时不能转为采矿权的，探矿权人可以申请办理</w:t>
      </w:r>
      <w:r>
        <w:rPr>
          <w:rFonts w:hint="eastAsia" w:ascii="汉仪书宋二简" w:hAnsi="楷体" w:eastAsia="汉仪中黑简" w:cs="楷体"/>
          <w:color w:val="FF0000"/>
          <w:kern w:val="0"/>
        </w:rPr>
        <w:t>探矿权保留</w:t>
      </w:r>
      <w:r>
        <w:rPr>
          <w:rFonts w:hint="eastAsia" w:ascii="汉仪书宋二简" w:hAnsiTheme="minorEastAsia"/>
          <w:bCs/>
          <w:kern w:val="0"/>
        </w:rPr>
        <w:t>，原矿业权出让部门应当为其办理。探矿权保留期间，探矿权期限中止计算。</w:t>
      </w:r>
      <w:r>
        <w:rPr>
          <w:rFonts w:hint="eastAsia" w:ascii="汉仪书宋二简" w:hAnsiTheme="minorEastAsia"/>
          <w:bCs/>
          <w:color w:val="0000FF"/>
          <w:kern w:val="0"/>
          <w:lang w:eastAsia="zh-CN"/>
        </w:rPr>
        <w:t>（</w:t>
      </w:r>
      <w:r>
        <w:rPr>
          <w:rFonts w:hint="eastAsia" w:ascii="汉仪书宋二简" w:hAnsiTheme="minorEastAsia"/>
          <w:bCs/>
          <w:color w:val="0000FF"/>
          <w:kern w:val="0"/>
          <w:lang w:val="en-US" w:eastAsia="zh-CN"/>
        </w:rPr>
        <w:t>可以转，需要两个手续</w:t>
      </w:r>
      <w:r>
        <w:rPr>
          <w:rFonts w:hint="eastAsia" w:ascii="汉仪书宋二简" w:hAnsiTheme="minorEastAsia"/>
          <w:bCs/>
          <w:color w:val="0000FF"/>
          <w:kern w:val="0"/>
          <w:lang w:eastAsia="zh-CN"/>
        </w:rPr>
        <w:t>）</w:t>
      </w:r>
    </w:p>
    <w:p w14:paraId="182F0676">
      <w:pPr>
        <w:ind w:firstLine="420"/>
        <w:rPr>
          <w:rFonts w:hint="eastAsia" w:ascii="汉仪书宋二简" w:hAnsiTheme="minorEastAsia"/>
          <w:bCs/>
          <w:kern w:val="0"/>
        </w:rPr>
      </w:pPr>
      <w:r>
        <w:rPr>
          <w:rFonts w:hint="eastAsia" w:ascii="汉仪书宋二简" w:hAnsiTheme="minorEastAsia"/>
          <w:bCs/>
          <w:kern w:val="0"/>
        </w:rPr>
        <w:t>（7）矿业权回收补偿：矿业权期限届满前，为了公共利益的需要，原矿业权出让部门可以依法收回矿业权；矿业权被收回的，应当依法给予公平、合理的补偿。</w:t>
      </w:r>
    </w:p>
    <w:p w14:paraId="5F17AE8A">
      <w:pPr>
        <w:ind w:firstLine="420"/>
        <w:rPr>
          <w:rFonts w:hint="eastAsia" w:ascii="汉仪书宋二简" w:hAnsiTheme="minorEastAsia"/>
          <w:bCs/>
          <w:kern w:val="0"/>
        </w:rPr>
      </w:pPr>
      <w:r>
        <w:rPr>
          <w:rFonts w:hint="eastAsia" w:ascii="汉仪书宋二简" w:hAnsiTheme="minorEastAsia"/>
          <w:bCs/>
          <w:kern w:val="0"/>
        </w:rPr>
        <w:t>（8）矿业权转让：矿业权可以依法转让或者出资、抵押等；矿业权转让的，矿业权出让合同和矿业权登记簿所载明的权利、义务随之转移，国家另有规定或者矿业权出让、转让合同另有约定的除外。</w:t>
      </w:r>
    </w:p>
    <w:p w14:paraId="2A8FBD86">
      <w:pPr>
        <w:ind w:firstLine="420"/>
        <w:rPr>
          <w:rFonts w:hint="eastAsia" w:ascii="汉仪书宋二简" w:hAnsiTheme="minorEastAsia"/>
          <w:bCs/>
          <w:kern w:val="0"/>
        </w:rPr>
      </w:pPr>
      <w:r>
        <w:rPr>
          <w:rFonts w:hint="eastAsia" w:ascii="汉仪书宋二简" w:hAnsiTheme="minorEastAsia"/>
          <w:bCs/>
          <w:kern w:val="0"/>
        </w:rPr>
        <w:t>（9）无须取得矿业权：无需取得探矿权的3种情形包括</w:t>
      </w:r>
      <w:r>
        <w:rPr>
          <w:rFonts w:hint="eastAsia" w:ascii="汉仪书宋二简" w:hAnsiTheme="minorEastAsia"/>
          <w:bCs/>
          <w:color w:val="0000FF"/>
          <w:kern w:val="0"/>
        </w:rPr>
        <w:t>国家出资勘查矿产资源；采矿权人在登记的开采区域内为开采活动需要进行勘查；其他情形</w:t>
      </w:r>
      <w:r>
        <w:rPr>
          <w:rFonts w:hint="eastAsia" w:ascii="汉仪书宋二简" w:hAnsiTheme="minorEastAsia"/>
          <w:bCs/>
          <w:kern w:val="0"/>
        </w:rPr>
        <w:t>。无需取得采矿权的3种情形包括个人为生活自用采挖只能用作普通建筑材料的砂、石、黏土；建设项目施工单位在批准的作业区域和建设工期内，因施工需要采挖只能用作普通建筑材料的砂、石、黏土；其他情形。</w:t>
      </w:r>
    </w:p>
    <w:p w14:paraId="67668BE7">
      <w:pPr>
        <w:ind w:firstLine="440"/>
        <w:rPr>
          <w:rFonts w:hint="eastAsia" w:ascii="汉仪中黑简" w:eastAsia="汉仪中黑简"/>
          <w:sz w:val="22"/>
          <w:szCs w:val="22"/>
        </w:rPr>
      </w:pPr>
      <w:r>
        <w:rPr>
          <w:rFonts w:hint="eastAsia" w:ascii="汉仪中黑简" w:eastAsia="汉仪中黑简"/>
          <w:sz w:val="22"/>
          <w:szCs w:val="22"/>
        </w:rPr>
        <w:t>3．矿产资源勘查与开采</w:t>
      </w:r>
    </w:p>
    <w:p w14:paraId="64120F08">
      <w:pPr>
        <w:ind w:firstLine="420"/>
        <w:rPr>
          <w:rFonts w:hint="eastAsia" w:ascii="汉仪书宋二简" w:hAnsiTheme="minorEastAsia"/>
          <w:bCs/>
          <w:kern w:val="0"/>
        </w:rPr>
      </w:pPr>
      <w:r>
        <w:rPr>
          <w:rFonts w:hint="eastAsia" w:ascii="汉仪书宋二简" w:hAnsiTheme="minorEastAsia"/>
          <w:bCs/>
          <w:kern w:val="0"/>
        </w:rPr>
        <w:t>（1）两证分离：</w:t>
      </w:r>
      <w:r>
        <w:rPr>
          <w:rFonts w:hint="eastAsia" w:ascii="汉仪书宋二简" w:hAnsiTheme="minorEastAsia"/>
          <w:bCs/>
          <w:color w:val="0000FF"/>
          <w:kern w:val="0"/>
        </w:rPr>
        <w:t>矿业权证+勘查许可证、采矿许可证。</w:t>
      </w:r>
      <w:r>
        <w:rPr>
          <w:rFonts w:hint="eastAsia" w:ascii="汉仪书宋二简" w:hAnsiTheme="minorEastAsia"/>
          <w:bCs/>
          <w:kern w:val="0"/>
        </w:rPr>
        <w:t>矿业权人应当按照经批准的勘查方案、开采方案进行勘查、开采作业；勘查方案、开采方案需要作重大调整的，应当按照规定报原矿业权出让部门批准。</w:t>
      </w:r>
    </w:p>
    <w:p w14:paraId="23D79840">
      <w:pPr>
        <w:ind w:firstLine="420"/>
        <w:rPr>
          <w:rFonts w:hint="eastAsia" w:ascii="汉仪书宋二简" w:hAnsiTheme="minorEastAsia"/>
          <w:bCs/>
          <w:kern w:val="0"/>
        </w:rPr>
      </w:pPr>
      <w:r>
        <w:rPr>
          <w:rFonts w:hint="eastAsia" w:ascii="汉仪书宋二简" w:hAnsiTheme="minorEastAsia"/>
          <w:bCs/>
          <w:kern w:val="0"/>
        </w:rPr>
        <w:t>（2）矿业用地：自然资源主管部门可以通过出让、租赁、作价出资等多种方式供应矿业用地。开采战略性矿产确需使用农民集体所有土地的，可以依法实施征收。露天开采战略性矿产资源占用土地，报省级以上人民政府自然资源主管部门批准后，可以临时使用土地。矿业用地的使用期限最长不超过矿业权期限。</w:t>
      </w:r>
    </w:p>
    <w:p w14:paraId="245D3B95">
      <w:bookmarkStart w:id="6" w:name="_GoBack"/>
      <w:bookmarkEnd w:id="6"/>
    </w:p>
    <w:sectPr>
      <w:pgSz w:w="11906" w:h="16838"/>
      <w:pgMar w:top="1440" w:right="1800" w:bottom="1440" w:left="1800" w:header="851" w:footer="992" w:gutter="0"/>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ind w:firstLine="420"/>
      </w:pPr>
      <w:r>
        <w:separator/>
      </w:r>
    </w:p>
  </w:endnote>
  <w:endnote w:type="continuationSeparator" w:id="1">
    <w:p>
      <w:pPr>
        <w:spacing w:line="240" w:lineRule="auto"/>
        <w:ind w:firstLine="42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 w:name="汉仪书宋二简">
    <w:altName w:val="微软雅黑"/>
    <w:panose1 w:val="00000000000000000000"/>
    <w:charset w:val="86"/>
    <w:family w:val="modern"/>
    <w:pitch w:val="default"/>
    <w:sig w:usb0="00000000" w:usb1="00000000" w:usb2="00000012" w:usb3="00000000" w:csb0="00040000" w:csb1="00000000"/>
  </w:font>
  <w:font w:name="汉仪大宋简">
    <w:altName w:val="微软雅黑"/>
    <w:panose1 w:val="00000000000000000000"/>
    <w:charset w:val="86"/>
    <w:family w:val="modern"/>
    <w:pitch w:val="default"/>
    <w:sig w:usb0="00000000" w:usb1="00000000" w:usb2="00000012" w:usb3="00000000" w:csb0="00040000" w:csb1="00000000"/>
  </w:font>
  <w:font w:name="Calibri Light">
    <w:panose1 w:val="020F0302020204030204"/>
    <w:charset w:val="00"/>
    <w:family w:val="auto"/>
    <w:pitch w:val="default"/>
    <w:sig w:usb0="E4002EFF" w:usb1="C200247B" w:usb2="00000009" w:usb3="00000000" w:csb0="200001FF" w:csb1="00000000"/>
  </w:font>
  <w:font w:name="汉仪中黑简">
    <w:altName w:val="微软雅黑"/>
    <w:panose1 w:val="00000000000000000000"/>
    <w:charset w:val="86"/>
    <w:family w:val="modern"/>
    <w:pitch w:val="default"/>
    <w:sig w:usb0="00000000" w:usb1="00000000" w:usb2="00000012" w:usb3="00000000" w:csb0="00040000" w:csb1="00000000"/>
  </w:font>
  <w:font w:name="汉仪书宋一简">
    <w:altName w:val="微软雅黑"/>
    <w:panose1 w:val="00000000000000000000"/>
    <w:charset w:val="86"/>
    <w:family w:val="modern"/>
    <w:pitch w:val="default"/>
    <w:sig w:usb0="00000000" w:usb1="00000000" w:usb2="00000012" w:usb3="00000000" w:csb0="00040000" w:csb1="00000000"/>
  </w:font>
  <w:font w:name="楷体">
    <w:panose1 w:val="02010609060101010101"/>
    <w:charset w:val="86"/>
    <w:family w:val="modern"/>
    <w:pitch w:val="default"/>
    <w:sig w:usb0="800002BF" w:usb1="38CF7CFA" w:usb2="00000016" w:usb3="00000000" w:csb0="00040001" w:csb1="00000000"/>
  </w:font>
  <w:font w:name="汉仪大黑简">
    <w:altName w:val="微软雅黑"/>
    <w:panose1 w:val="00000000000000000000"/>
    <w:charset w:val="86"/>
    <w:family w:val="modern"/>
    <w:pitch w:val="default"/>
    <w:sig w:usb0="00000000" w:usb1="00000000" w:usb2="00000012" w:usb3="00000000" w:csb0="00040000" w:csb1="00000000"/>
  </w:font>
  <w:font w:name="汉仪粗黑简">
    <w:altName w:val="微软雅黑"/>
    <w:panose1 w:val="00000000000000000000"/>
    <w:charset w:val="86"/>
    <w:family w:val="modern"/>
    <w:pitch w:val="default"/>
    <w:sig w:usb0="00000000" w:usb1="00000000" w:usb2="00000012" w:usb3="00000000" w:csb0="00040000" w:csb1="00000000"/>
  </w:font>
  <w:font w:name="华文仿宋">
    <w:panose1 w:val="02010600040101010101"/>
    <w:charset w:val="86"/>
    <w:family w:val="auto"/>
    <w:pitch w:val="default"/>
    <w:sig w:usb0="00000287" w:usb1="080F0000" w:usb2="00000000" w:usb3="00000000" w:csb0="0004009F" w:csb1="DFD70000"/>
  </w:font>
  <w:font w:name="仿宋">
    <w:panose1 w:val="02010609060101010101"/>
    <w:charset w:val="86"/>
    <w:family w:val="modern"/>
    <w:pitch w:val="default"/>
    <w:sig w:usb0="800002BF" w:usb1="38CF7CFA" w:usb2="00000016" w:usb3="00000000" w:csb0="00040001" w:csb1="00000000"/>
  </w:font>
  <w:font w:name="汉仪粗宋简">
    <w:altName w:val="微软雅黑"/>
    <w:panose1 w:val="00000000000000000000"/>
    <w:charset w:val="86"/>
    <w:family w:val="modern"/>
    <w:pitch w:val="default"/>
    <w:sig w:usb0="00000000" w:usb1="00000000" w:usb2="00000012" w:usb3="00000000" w:csb0="00040000" w:csb1="00000000"/>
  </w:font>
  <w:font w:name="汉仪书宋二简">
    <w:altName w:val="宋体"/>
    <w:panose1 w:val="00000000000000000000"/>
    <w:charset w:val="00"/>
    <w:family w:val="auto"/>
    <w:pitch w:val="default"/>
    <w:sig w:usb0="00000000" w:usb1="00000000" w:usb2="00000000" w:usb3="00000000" w:csb0="00000000" w:csb1="00000000"/>
  </w:font>
  <w:font w:name="汉仪中黑简">
    <w:altName w:val="黑体"/>
    <w:panose1 w:val="00000000000000000000"/>
    <w:charset w:val="00"/>
    <w:family w:val="auto"/>
    <w:pitch w:val="default"/>
    <w:sig w:usb0="00000000" w:usb1="00000000" w:usb2="00000000" w:usb3="00000000" w:csb0="00000000"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ind w:firstLine="420"/>
      </w:pPr>
      <w:r>
        <w:separator/>
      </w:r>
    </w:p>
  </w:footnote>
  <w:footnote w:type="continuationSeparator" w:id="1">
    <w:p>
      <w:pPr>
        <w:spacing w:line="240" w:lineRule="auto"/>
        <w:ind w:firstLine="420"/>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7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2B241AD0"/>
    <w:rsid w:val="4FE8484E"/>
    <w:rsid w:val="511E4CB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0" w:name="heading 2"/>
    <w:lsdException w:qFormat="1" w:uiPriority="9" w:semiHidden="0" w:name="heading 3"/>
    <w:lsdException w:qFormat="1" w:uiPriority="9" w:semiHidden="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qFormat="1"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tabs>
        <w:tab w:val="left" w:pos="420"/>
      </w:tabs>
      <w:spacing w:line="384" w:lineRule="exact"/>
      <w:ind w:firstLine="721" w:firstLineChars="200"/>
      <w:jc w:val="both"/>
    </w:pPr>
    <w:rPr>
      <w:rFonts w:ascii="宋体" w:hAnsi="宋体" w:eastAsia="汉仪书宋二简" w:cs="宋体"/>
      <w:color w:val="000000" w:themeColor="text1"/>
      <w:kern w:val="2"/>
      <w:sz w:val="21"/>
      <w:szCs w:val="21"/>
      <w:lang w:val="en-US" w:eastAsia="zh-CN" w:bidi="ar-SA"/>
      <w14:textFill>
        <w14:solidFill>
          <w14:schemeClr w14:val="tx1"/>
        </w14:solidFill>
      </w14:textFill>
    </w:rPr>
  </w:style>
  <w:style w:type="paragraph" w:styleId="2">
    <w:name w:val="heading 1"/>
    <w:basedOn w:val="1"/>
    <w:next w:val="1"/>
    <w:qFormat/>
    <w:uiPriority w:val="9"/>
    <w:pPr>
      <w:keepNext/>
      <w:keepLines/>
      <w:spacing w:before="10"/>
      <w:ind w:firstLine="0" w:firstLineChars="0"/>
      <w:jc w:val="center"/>
      <w:outlineLvl w:val="0"/>
    </w:pPr>
    <w:rPr>
      <w:rFonts w:ascii="汉仪大宋简" w:hAnsi="汉仪大宋简" w:eastAsia="汉仪大宋简"/>
      <w:bCs/>
      <w:kern w:val="44"/>
      <w:sz w:val="44"/>
      <w:szCs w:val="44"/>
    </w:rPr>
  </w:style>
  <w:style w:type="paragraph" w:styleId="3">
    <w:name w:val="heading 3"/>
    <w:basedOn w:val="1"/>
    <w:next w:val="1"/>
    <w:unhideWhenUsed/>
    <w:qFormat/>
    <w:uiPriority w:val="9"/>
    <w:pPr>
      <w:keepNext/>
      <w:keepLines/>
      <w:ind w:firstLine="0" w:firstLineChars="0"/>
      <w:jc w:val="left"/>
      <w:outlineLvl w:val="2"/>
    </w:pPr>
    <w:rPr>
      <w:rFonts w:eastAsia="汉仪大宋简"/>
      <w:sz w:val="26"/>
    </w:rPr>
  </w:style>
  <w:style w:type="paragraph" w:styleId="4">
    <w:name w:val="heading 4"/>
    <w:basedOn w:val="1"/>
    <w:next w:val="1"/>
    <w:unhideWhenUsed/>
    <w:qFormat/>
    <w:uiPriority w:val="9"/>
    <w:pPr>
      <w:keepNext/>
      <w:keepLines/>
      <w:ind w:firstLine="0" w:firstLineChars="0"/>
      <w:jc w:val="left"/>
      <w:outlineLvl w:val="3"/>
    </w:pPr>
    <w:rPr>
      <w:rFonts w:eastAsia="汉仪大宋简" w:asciiTheme="majorHAnsi" w:hAnsiTheme="majorHAnsi" w:cstheme="majorBidi"/>
      <w:bCs/>
      <w:sz w:val="24"/>
      <w:szCs w:val="28"/>
    </w:rPr>
  </w:style>
  <w:style w:type="character" w:default="1" w:styleId="8">
    <w:name w:val="Default Paragraph Font"/>
    <w:semiHidden/>
    <w:uiPriority w:val="0"/>
  </w:style>
  <w:style w:type="table" w:default="1" w:styleId="6">
    <w:name w:val="Normal Table"/>
    <w:semiHidden/>
    <w:uiPriority w:val="0"/>
    <w:tblPr>
      <w:tblCellMar>
        <w:top w:w="0" w:type="dxa"/>
        <w:left w:w="108" w:type="dxa"/>
        <w:bottom w:w="0" w:type="dxa"/>
        <w:right w:w="108" w:type="dxa"/>
      </w:tblCellMar>
    </w:tblPr>
  </w:style>
  <w:style w:type="paragraph" w:styleId="5">
    <w:name w:val="footnote text"/>
    <w:basedOn w:val="1"/>
    <w:unhideWhenUsed/>
    <w:qFormat/>
    <w:uiPriority w:val="0"/>
    <w:pPr>
      <w:snapToGrid w:val="0"/>
      <w:jc w:val="left"/>
    </w:pPr>
    <w:rPr>
      <w:sz w:val="18"/>
      <w:szCs w:val="18"/>
    </w:rPr>
  </w:style>
  <w:style w:type="table" w:styleId="7">
    <w:name w:val="Table Grid"/>
    <w:basedOn w:val="6"/>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9</Pages>
  <Words>0</Words>
  <Characters>0</Characters>
  <Lines>0</Lines>
  <Paragraphs>0</Paragraphs>
  <TotalTime>10</TotalTime>
  <ScaleCrop>false</ScaleCrop>
  <LinksUpToDate>false</LinksUpToDate>
  <CharactersWithSpaces>0</CharactersWithSpaces>
  <Application>WPS Office_12.1.0.20784_F1E327BC-269C-435d-A152-05C5408002CA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2025-05-29T14:20:25Z</dcterms:created>
  <dc:creator>cuplh</dc:creator>
  <cp:lastModifiedBy>韩富鹏</cp:lastModifiedBy>
  <dcterms:modified xsi:type="dcterms:W3CDTF">2025-05-29T14:32:48Z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2052-12.1.0.20784</vt:lpwstr>
  </property>
  <property fmtid="{D5CDD505-2E9C-101B-9397-08002B2CF9AE}" pid="3" name="KSOTemplateDocerSaveRecord">
    <vt:lpwstr>eyJoZGlkIjoiMWFjYzQzMDc3NjcyYmQ4ODllY2M1ZTlhMDk0YzI1ZDQiLCJ1c2VySWQiOiI2MjgyMjQxMTMifQ==</vt:lpwstr>
  </property>
  <property fmtid="{D5CDD505-2E9C-101B-9397-08002B2CF9AE}" pid="4" name="ICV">
    <vt:lpwstr>07AE3AA44D5B4FCDAFEB0C08608F7388_12</vt:lpwstr>
  </property>
</Properties>
</file>