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51F68">
      <w:pPr>
        <w:pStyle w:val="2"/>
        <w:spacing w:before="0" w:line="480" w:lineRule="exact"/>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pPr>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考点</w:t>
      </w:r>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3</w:t>
      </w:r>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 xml:space="preserve">  </w:t>
      </w:r>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商业银行</w:t>
      </w:r>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法</w:t>
      </w:r>
    </w:p>
    <w:p w14:paraId="5D94E516">
      <w:pPr>
        <w:pStyle w:val="3"/>
        <w:rPr>
          <w:rFonts w:hint="eastAsia"/>
        </w:rPr>
      </w:pPr>
      <w:r>
        <w:rPr>
          <w:rFonts w:hint="eastAsia"/>
        </w:rPr>
        <w:t>二、商业银行的组织和管理机制</w:t>
      </w:r>
    </w:p>
    <w:p w14:paraId="4DE7E577">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699"/>
        <w:gridCol w:w="5367"/>
        <w:gridCol w:w="2439"/>
      </w:tblGrid>
      <w:tr w14:paraId="0EED354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shd w:val="clear" w:color="auto" w:fill="auto"/>
            <w:vAlign w:val="center"/>
          </w:tcPr>
          <w:p w14:paraId="34255D93">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组织形式</w:t>
            </w:r>
          </w:p>
        </w:tc>
        <w:tc>
          <w:tcPr>
            <w:tcW w:w="4589" w:type="pct"/>
            <w:gridSpan w:val="2"/>
            <w:shd w:val="clear" w:color="auto" w:fill="auto"/>
            <w:vAlign w:val="center"/>
          </w:tcPr>
          <w:p w14:paraId="1883AF6A">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有限公司或股份公司。商业银行法没有规定的，适用公司法</w:t>
            </w:r>
          </w:p>
        </w:tc>
      </w:tr>
      <w:tr w14:paraId="11CED2F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3D218803">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设立</w:t>
            </w:r>
          </w:p>
        </w:tc>
        <w:tc>
          <w:tcPr>
            <w:tcW w:w="3155" w:type="pct"/>
            <w:shd w:val="clear" w:color="auto" w:fill="auto"/>
            <w:vAlign w:val="center"/>
          </w:tcPr>
          <w:p w14:paraId="4A6B9CCD">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color w:val="0000FF"/>
                <w:kern w:val="0"/>
                <w:sz w:val="20"/>
              </w:rPr>
              <w:t>须经国务院银行业监督管理机构批准</w:t>
            </w:r>
            <w:r>
              <w:rPr>
                <w:rFonts w:hint="eastAsia" w:ascii="汉仪书宋一简" w:eastAsia="汉仪书宋一简"/>
                <w:kern w:val="0"/>
                <w:sz w:val="20"/>
              </w:rPr>
              <w:t>。经批准设立的商业银行，由国务院银行业监督管理机构颁发经营许可证，并凭该许可证办理登记，领取营业执照</w:t>
            </w:r>
          </w:p>
        </w:tc>
        <w:tc>
          <w:tcPr>
            <w:tcW w:w="1434" w:type="pct"/>
            <w:vMerge w:val="restart"/>
            <w:shd w:val="clear" w:color="auto" w:fill="auto"/>
            <w:vAlign w:val="center"/>
          </w:tcPr>
          <w:p w14:paraId="1D6B49C7">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经批准设立的商业银行及其分支机构，由国务院银行业监督管理机构予以公告。</w:t>
            </w:r>
          </w:p>
          <w:p w14:paraId="37FA20F3">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商业银行及其分支机构自取得营业执照之日起无正当理由超过6个月未开业的，或者开业后自行停业连续6个月以上的，由国务院银行业监督管理机构吊销其经营许可证，并予以公告</w:t>
            </w:r>
          </w:p>
        </w:tc>
      </w:tr>
      <w:tr w14:paraId="5CE3F5B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467FE230">
            <w:pPr>
              <w:spacing w:before="31" w:beforeLines="10" w:after="31" w:afterLines="10" w:line="280" w:lineRule="exact"/>
              <w:ind w:firstLine="0" w:firstLineChars="0"/>
              <w:jc w:val="center"/>
              <w:rPr>
                <w:rFonts w:hint="eastAsia" w:ascii="汉仪中黑简" w:eastAsia="汉仪中黑简"/>
                <w:bCs/>
                <w:kern w:val="0"/>
                <w:sz w:val="20"/>
              </w:rPr>
            </w:pPr>
          </w:p>
        </w:tc>
        <w:tc>
          <w:tcPr>
            <w:tcW w:w="3155" w:type="pct"/>
            <w:shd w:val="clear" w:color="auto" w:fill="auto"/>
            <w:vAlign w:val="center"/>
          </w:tcPr>
          <w:p w14:paraId="33151578">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法律规定了最低注册资本限额，并允许国务院银行业监督管理机构调高该限额。注册资本为实缴资本</w:t>
            </w:r>
          </w:p>
        </w:tc>
        <w:tc>
          <w:tcPr>
            <w:tcW w:w="1434" w:type="pct"/>
            <w:vMerge w:val="continue"/>
            <w:shd w:val="clear" w:color="auto" w:fill="auto"/>
            <w:vAlign w:val="center"/>
          </w:tcPr>
          <w:p w14:paraId="4AE561C1">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p>
        </w:tc>
      </w:tr>
      <w:tr w14:paraId="56F5FB9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30555334">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分支机构</w:t>
            </w:r>
          </w:p>
        </w:tc>
        <w:tc>
          <w:tcPr>
            <w:tcW w:w="3155" w:type="pct"/>
            <w:shd w:val="clear" w:color="auto" w:fill="auto"/>
            <w:vAlign w:val="center"/>
          </w:tcPr>
          <w:p w14:paraId="5465CBCE">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color w:val="0000FF"/>
                <w:kern w:val="0"/>
                <w:sz w:val="20"/>
              </w:rPr>
              <w:t>不具有法人资格</w:t>
            </w:r>
            <w:r>
              <w:rPr>
                <w:rFonts w:hint="eastAsia" w:ascii="汉仪书宋一简" w:eastAsia="汉仪书宋一简"/>
                <w:kern w:val="0"/>
                <w:sz w:val="20"/>
              </w:rPr>
              <w:t>，在总行授权范围内依法开展业务，其民事责任由总行承担</w:t>
            </w:r>
          </w:p>
        </w:tc>
        <w:tc>
          <w:tcPr>
            <w:tcW w:w="1434" w:type="pct"/>
            <w:vMerge w:val="continue"/>
            <w:shd w:val="clear" w:color="auto" w:fill="auto"/>
            <w:vAlign w:val="center"/>
          </w:tcPr>
          <w:p w14:paraId="60487679">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p>
        </w:tc>
      </w:tr>
      <w:tr w14:paraId="76879DA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35C19E75">
            <w:pPr>
              <w:spacing w:before="31" w:beforeLines="10" w:after="31" w:afterLines="10" w:line="280" w:lineRule="exact"/>
              <w:ind w:firstLine="0" w:firstLineChars="0"/>
              <w:jc w:val="center"/>
              <w:rPr>
                <w:rFonts w:hint="eastAsia" w:ascii="汉仪中黑简" w:eastAsia="汉仪中黑简"/>
                <w:bCs/>
                <w:kern w:val="0"/>
                <w:sz w:val="20"/>
              </w:rPr>
            </w:pPr>
          </w:p>
        </w:tc>
        <w:tc>
          <w:tcPr>
            <w:tcW w:w="3155" w:type="pct"/>
            <w:shd w:val="clear" w:color="auto" w:fill="auto"/>
            <w:vAlign w:val="center"/>
          </w:tcPr>
          <w:p w14:paraId="5FE8B6BC">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设立分支机构必须经国务院银行业监督管理机构审查批准。在境内的分支机构，不按行政区划设立。经批准设立的商业银行分支机构，由国务院银行业监督管理机构颁发经营许可证，并凭该许可证向工商部门办理登记，领取营业执照。拨付分支机构的资金不得超过总行资本金的60%</w:t>
            </w:r>
          </w:p>
        </w:tc>
        <w:tc>
          <w:tcPr>
            <w:tcW w:w="1434" w:type="pct"/>
            <w:vMerge w:val="continue"/>
            <w:shd w:val="clear" w:color="auto" w:fill="auto"/>
            <w:vAlign w:val="center"/>
          </w:tcPr>
          <w:p w14:paraId="7DB72807">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p>
        </w:tc>
      </w:tr>
      <w:tr w14:paraId="057E571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4BB845D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接管</w:t>
            </w:r>
          </w:p>
        </w:tc>
        <w:tc>
          <w:tcPr>
            <w:tcW w:w="4589" w:type="pct"/>
            <w:gridSpan w:val="2"/>
            <w:shd w:val="clear" w:color="auto" w:fill="auto"/>
            <w:vAlign w:val="center"/>
          </w:tcPr>
          <w:p w14:paraId="775B52A4">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条件：商业银行已经或者</w:t>
            </w:r>
            <w:r>
              <w:rPr>
                <w:rFonts w:hint="eastAsia" w:ascii="汉仪书宋一简" w:eastAsia="汉仪书宋一简"/>
                <w:color w:val="0000FF"/>
                <w:kern w:val="0"/>
                <w:sz w:val="20"/>
              </w:rPr>
              <w:t>可能发生信用危机</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可能存在信用危机就可以</w:t>
            </w:r>
            <w:r>
              <w:rPr>
                <w:rFonts w:hint="eastAsia" w:ascii="汉仪书宋一简" w:eastAsia="汉仪书宋一简"/>
                <w:color w:val="0000FF"/>
                <w:kern w:val="0"/>
                <w:sz w:val="20"/>
                <w:lang w:eastAsia="zh-CN"/>
              </w:rPr>
              <w:t>）</w:t>
            </w:r>
            <w:r>
              <w:rPr>
                <w:rFonts w:hint="eastAsia" w:ascii="汉仪书宋一简" w:eastAsia="汉仪书宋一简"/>
                <w:kern w:val="0"/>
                <w:sz w:val="20"/>
              </w:rPr>
              <w:t>，严重影响存款人的利益</w:t>
            </w:r>
          </w:p>
        </w:tc>
      </w:tr>
      <w:tr w14:paraId="0DC6423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5AE0BEFD">
            <w:pPr>
              <w:spacing w:before="31" w:beforeLines="10" w:after="31" w:afterLines="10" w:line="280" w:lineRule="exact"/>
              <w:ind w:firstLine="0" w:firstLineChars="0"/>
              <w:jc w:val="center"/>
              <w:rPr>
                <w:rFonts w:hint="eastAsia" w:ascii="汉仪中黑简" w:eastAsia="汉仪中黑简"/>
                <w:bCs/>
                <w:kern w:val="0"/>
                <w:sz w:val="20"/>
              </w:rPr>
            </w:pPr>
          </w:p>
        </w:tc>
        <w:tc>
          <w:tcPr>
            <w:tcW w:w="4589" w:type="pct"/>
            <w:gridSpan w:val="2"/>
            <w:shd w:val="clear" w:color="auto" w:fill="auto"/>
            <w:vAlign w:val="center"/>
          </w:tcPr>
          <w:p w14:paraId="7B0BC660">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实施：接管由国务院银行业监督管理机构决定，并组织实施</w:t>
            </w:r>
          </w:p>
        </w:tc>
      </w:tr>
      <w:tr w14:paraId="2F20D2B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09E8179F">
            <w:pPr>
              <w:spacing w:before="31" w:beforeLines="10" w:after="31" w:afterLines="10" w:line="280" w:lineRule="exact"/>
              <w:ind w:firstLine="0" w:firstLineChars="0"/>
              <w:jc w:val="center"/>
              <w:rPr>
                <w:rFonts w:hint="eastAsia" w:ascii="汉仪中黑简" w:eastAsia="汉仪中黑简"/>
                <w:bCs/>
                <w:kern w:val="0"/>
                <w:sz w:val="20"/>
              </w:rPr>
            </w:pPr>
          </w:p>
        </w:tc>
        <w:tc>
          <w:tcPr>
            <w:tcW w:w="4589" w:type="pct"/>
            <w:gridSpan w:val="2"/>
            <w:shd w:val="clear" w:color="auto" w:fill="auto"/>
            <w:vAlign w:val="center"/>
          </w:tcPr>
          <w:p w14:paraId="27DEF319">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后果：被接管的商业银行，正常营业，债权债务关系不变。但是，自接管开始之日起，由接管组织行使商业银行的经营管理权力</w:t>
            </w:r>
          </w:p>
        </w:tc>
      </w:tr>
      <w:tr w14:paraId="4BCED78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1941492C">
            <w:pPr>
              <w:spacing w:before="31" w:beforeLines="10" w:after="31" w:afterLines="10" w:line="280" w:lineRule="exact"/>
              <w:ind w:firstLine="0" w:firstLineChars="0"/>
              <w:jc w:val="center"/>
              <w:rPr>
                <w:rFonts w:hint="eastAsia" w:ascii="汉仪中黑简" w:eastAsia="汉仪中黑简"/>
                <w:bCs/>
                <w:kern w:val="0"/>
                <w:sz w:val="20"/>
              </w:rPr>
            </w:pPr>
          </w:p>
        </w:tc>
        <w:tc>
          <w:tcPr>
            <w:tcW w:w="4589" w:type="pct"/>
            <w:gridSpan w:val="2"/>
            <w:shd w:val="clear" w:color="auto" w:fill="auto"/>
            <w:vAlign w:val="center"/>
          </w:tcPr>
          <w:p w14:paraId="78A0CC69">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期限：接管期限由国务院银行业监督管理机构可以决定，可</w:t>
            </w:r>
            <w:r>
              <w:rPr>
                <w:rFonts w:hint="eastAsia" w:ascii="汉仪书宋一简" w:eastAsia="汉仪书宋一简"/>
                <w:color w:val="0000FF"/>
                <w:kern w:val="0"/>
                <w:sz w:val="20"/>
              </w:rPr>
              <w:t>延期，但最长不得超过2</w:t>
            </w:r>
            <w:r>
              <w:rPr>
                <w:rFonts w:hint="eastAsia" w:ascii="汉仪书宋一简" w:eastAsia="汉仪书宋一简"/>
                <w:kern w:val="0"/>
                <w:sz w:val="20"/>
              </w:rPr>
              <w:t>年</w:t>
            </w:r>
          </w:p>
        </w:tc>
      </w:tr>
      <w:tr w14:paraId="196DA12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592F016D">
            <w:pPr>
              <w:spacing w:before="31" w:beforeLines="10" w:after="31" w:afterLines="10" w:line="280" w:lineRule="exact"/>
              <w:ind w:firstLine="0" w:firstLineChars="0"/>
              <w:jc w:val="center"/>
              <w:rPr>
                <w:rFonts w:hint="eastAsia" w:ascii="汉仪中黑简" w:eastAsia="汉仪中黑简"/>
                <w:bCs/>
                <w:kern w:val="0"/>
                <w:sz w:val="20"/>
              </w:rPr>
            </w:pPr>
          </w:p>
        </w:tc>
        <w:tc>
          <w:tcPr>
            <w:tcW w:w="4589" w:type="pct"/>
            <w:gridSpan w:val="2"/>
            <w:shd w:val="clear" w:color="auto" w:fill="auto"/>
            <w:vAlign w:val="center"/>
          </w:tcPr>
          <w:p w14:paraId="7B5692F4">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有下列情形之一的，接管终止：</w:t>
            </w:r>
          </w:p>
          <w:p w14:paraId="43508B1C">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（1）接管决定规定的期限届满或者国务院银行业监督管理机构决定的接管延期届满</w:t>
            </w:r>
          </w:p>
          <w:p w14:paraId="03F57D61">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（2）接管期限届满前，该商业银行已恢复正常经营能力</w:t>
            </w:r>
          </w:p>
          <w:p w14:paraId="7BD79B4C">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（3）接管期限届满前，该商业银行被合并或者被依法宣告破产</w:t>
            </w:r>
          </w:p>
        </w:tc>
      </w:tr>
      <w:tr w14:paraId="0E60B3B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1DCB45D5">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终止</w:t>
            </w:r>
          </w:p>
        </w:tc>
        <w:tc>
          <w:tcPr>
            <w:tcW w:w="4589" w:type="pct"/>
            <w:gridSpan w:val="2"/>
            <w:shd w:val="clear" w:color="auto" w:fill="auto"/>
            <w:vAlign w:val="center"/>
          </w:tcPr>
          <w:p w14:paraId="1A42C3DD">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解散：商业银行因分立、合并或者出现公司章程规定的解散事由需要解散的，</w:t>
            </w:r>
            <w:r>
              <w:rPr>
                <w:rFonts w:hint="eastAsia" w:ascii="汉仪书宋一简" w:eastAsia="汉仪书宋一简"/>
                <w:color w:val="0000FF"/>
                <w:kern w:val="0"/>
                <w:sz w:val="20"/>
              </w:rPr>
              <w:t>应当向国务院银行业监督管理机构提出申请</w:t>
            </w:r>
            <w:r>
              <w:rPr>
                <w:rFonts w:hint="eastAsia" w:ascii="汉仪书宋一简" w:eastAsia="汉仪书宋一简"/>
                <w:kern w:val="0"/>
                <w:sz w:val="20"/>
              </w:rPr>
              <w:t>，并附解散的理由和支付存款的本金和利息等债务清偿计划，经批准后解散。国务院银行业监督管理机构监督清算过程</w:t>
            </w:r>
          </w:p>
        </w:tc>
      </w:tr>
      <w:tr w14:paraId="40279D0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2EDABFA2">
            <w:pPr>
              <w:spacing w:before="31" w:beforeLines="10" w:after="31" w:afterLines="10" w:line="280" w:lineRule="exact"/>
              <w:ind w:firstLine="0" w:firstLineChars="0"/>
              <w:rPr>
                <w:rFonts w:hint="eastAsia" w:ascii="汉仪书宋一简" w:eastAsia="汉仪书宋一简"/>
                <w:b/>
                <w:kern w:val="0"/>
                <w:sz w:val="20"/>
              </w:rPr>
            </w:pPr>
          </w:p>
        </w:tc>
        <w:tc>
          <w:tcPr>
            <w:tcW w:w="4589" w:type="pct"/>
            <w:gridSpan w:val="2"/>
            <w:shd w:val="clear" w:color="auto" w:fill="auto"/>
            <w:vAlign w:val="center"/>
          </w:tcPr>
          <w:p w14:paraId="18F66905">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撤销：商业银行因吊销经营许可证被撤销的，国务院银行业监督管理机构应当依法及时组织成立清算组，进行清算，按照清偿计划及时偿还存款本金和利息等债务</w:t>
            </w:r>
          </w:p>
        </w:tc>
      </w:tr>
      <w:tr w14:paraId="5F8689D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4ABF5EC5">
            <w:pPr>
              <w:spacing w:before="31" w:beforeLines="10" w:after="31" w:afterLines="10" w:line="280" w:lineRule="exact"/>
              <w:ind w:firstLine="0" w:firstLineChars="0"/>
              <w:rPr>
                <w:rFonts w:hint="eastAsia" w:ascii="汉仪书宋一简" w:eastAsia="汉仪书宋一简"/>
                <w:b/>
                <w:kern w:val="0"/>
                <w:sz w:val="20"/>
              </w:rPr>
            </w:pPr>
          </w:p>
        </w:tc>
        <w:tc>
          <w:tcPr>
            <w:tcW w:w="4589" w:type="pct"/>
            <w:gridSpan w:val="2"/>
            <w:shd w:val="clear" w:color="auto" w:fill="auto"/>
            <w:vAlign w:val="center"/>
          </w:tcPr>
          <w:p w14:paraId="2AA38DE0">
            <w:pPr>
              <w:widowControl/>
              <w:shd w:val="clear" w:color="auto" w:fill="FFFFFF"/>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破产：商业银行不能支付到期债务，</w:t>
            </w:r>
            <w:r>
              <w:rPr>
                <w:rFonts w:hint="eastAsia" w:ascii="汉仪书宋一简" w:eastAsia="汉仪书宋一简"/>
                <w:color w:val="0000FF"/>
                <w:kern w:val="0"/>
                <w:sz w:val="20"/>
              </w:rPr>
              <w:t>经国务院银行业监督管理机构同意</w:t>
            </w:r>
            <w:r>
              <w:rPr>
                <w:rFonts w:hint="eastAsia" w:ascii="汉仪书宋一简" w:eastAsia="汉仪书宋一简"/>
                <w:kern w:val="0"/>
                <w:sz w:val="20"/>
              </w:rPr>
              <w:t>，由法院依法宣告其破产。商业银行被宣告破产的，由法院组织国务院银行业监督管理机构等有关部门和有关人员成立清算组，进行清算。商业银行破产清算时，在支付清算费用、所欠职工工资和劳动保险费用后，应当优先支付个人储蓄存款的本金和利息</w:t>
            </w:r>
          </w:p>
        </w:tc>
      </w:tr>
    </w:tbl>
    <w:p w14:paraId="7359A4AA">
      <w:pPr>
        <w:ind w:firstLine="420"/>
        <w:rPr>
          <w:rFonts w:hint="eastAsia" w:ascii="汉仪书宋二简"/>
        </w:rPr>
      </w:pPr>
    </w:p>
    <w:p w14:paraId="510F06D7">
      <w:pPr>
        <w:pStyle w:val="3"/>
        <w:rPr>
          <w:rFonts w:hint="eastAsia"/>
        </w:rPr>
      </w:pPr>
      <w:r>
        <w:rPr>
          <w:rFonts w:hint="eastAsia"/>
        </w:rPr>
        <w:t>三、银行业监督管理</w:t>
      </w:r>
    </w:p>
    <w:p w14:paraId="75EE28D7">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97"/>
        <w:gridCol w:w="2923"/>
        <w:gridCol w:w="4385"/>
      </w:tblGrid>
      <w:tr w14:paraId="7ED0EE2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vMerge w:val="restart"/>
            <w:shd w:val="clear" w:color="auto" w:fill="auto"/>
            <w:vAlign w:val="center"/>
          </w:tcPr>
          <w:p w14:paraId="48865453">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主体</w:t>
            </w:r>
          </w:p>
        </w:tc>
        <w:tc>
          <w:tcPr>
            <w:tcW w:w="4295" w:type="pct"/>
            <w:gridSpan w:val="2"/>
            <w:shd w:val="clear" w:color="auto" w:fill="auto"/>
            <w:vAlign w:val="center"/>
          </w:tcPr>
          <w:p w14:paraId="645DD568">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监管者：国务院银行业监督管理机构及其派出机构。国务院银行业监督管理机构应当和中国人民银行、国务院其他金融监督管理机构建立监督管理信息共享机制</w:t>
            </w:r>
          </w:p>
        </w:tc>
      </w:tr>
      <w:tr w14:paraId="6DBDF69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vMerge w:val="continue"/>
            <w:shd w:val="clear" w:color="auto" w:fill="auto"/>
            <w:vAlign w:val="center"/>
          </w:tcPr>
          <w:p w14:paraId="304CC27B">
            <w:pPr>
              <w:spacing w:after="31" w:afterLines="10" w:line="280" w:lineRule="exact"/>
              <w:ind w:firstLine="0" w:firstLineChars="0"/>
              <w:jc w:val="center"/>
              <w:rPr>
                <w:rFonts w:hint="eastAsia" w:ascii="汉仪中黑简" w:eastAsia="汉仪中黑简"/>
                <w:bCs/>
                <w:kern w:val="0"/>
                <w:sz w:val="20"/>
              </w:rPr>
            </w:pPr>
          </w:p>
        </w:tc>
        <w:tc>
          <w:tcPr>
            <w:tcW w:w="4295" w:type="pct"/>
            <w:gridSpan w:val="2"/>
            <w:shd w:val="clear" w:color="auto" w:fill="auto"/>
            <w:vAlign w:val="center"/>
          </w:tcPr>
          <w:p w14:paraId="0BCDB5A3">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监管对象：（1）银行业金融机构：境内设立的商业银行、城市信用合作社、农村信用合作社等吸收公众存款的金融机构以及政策性银行。</w:t>
            </w:r>
            <w:r>
              <w:rPr>
                <w:rFonts w:hint="eastAsia" w:ascii="汉仪书宋一简" w:eastAsia="汉仪书宋一简"/>
                <w:color w:val="0000FF"/>
                <w:kern w:val="0"/>
                <w:sz w:val="20"/>
              </w:rPr>
              <w:t>（2）其他金融机构：境内设立的金融资产管理公司、信托投资公司、财务公司、金融租赁公司以及经国务院银行业监督管理机构批准设立的其他金融机构</w:t>
            </w:r>
          </w:p>
        </w:tc>
      </w:tr>
      <w:tr w14:paraId="3C46348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shd w:val="clear" w:color="auto" w:fill="auto"/>
            <w:vAlign w:val="center"/>
          </w:tcPr>
          <w:p w14:paraId="2BAA10E4">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现场检查</w:t>
            </w:r>
          </w:p>
        </w:tc>
        <w:tc>
          <w:tcPr>
            <w:tcW w:w="4295" w:type="pct"/>
            <w:gridSpan w:val="2"/>
            <w:shd w:val="clear" w:color="auto" w:fill="auto"/>
            <w:vAlign w:val="center"/>
          </w:tcPr>
          <w:p w14:paraId="3656D56B">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检查措施：（1）进入银行业金融机构进行检查；（2）询问银行业金融机构的工作人员，要求其对有关检查事项作出说明；（3）查阅、复制银行业金融机构与检查事项有关的文件、资料，对可能被转移、隐匿或者毁损的文件、资料予以封存；（4）检查银行业金融机构运用电子计算机管理业务数据的系统</w:t>
            </w:r>
          </w:p>
        </w:tc>
      </w:tr>
      <w:tr w14:paraId="21F1252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1671" w:hRule="atLeast"/>
          <w:jc w:val="center"/>
        </w:trPr>
        <w:tc>
          <w:tcPr>
            <w:tcW w:w="704" w:type="pct"/>
            <w:shd w:val="clear" w:color="auto" w:fill="auto"/>
            <w:vAlign w:val="center"/>
          </w:tcPr>
          <w:p w14:paraId="6C58E90A">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强制整改</w:t>
            </w:r>
          </w:p>
        </w:tc>
        <w:tc>
          <w:tcPr>
            <w:tcW w:w="4295" w:type="pct"/>
            <w:gridSpan w:val="2"/>
            <w:shd w:val="clear" w:color="auto" w:fill="auto"/>
            <w:vAlign w:val="center"/>
          </w:tcPr>
          <w:p w14:paraId="29F11CF8">
            <w:pPr>
              <w:spacing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银行业金融机构违反</w:t>
            </w:r>
            <w:r>
              <w:rPr>
                <w:rFonts w:hint="eastAsia" w:ascii="汉仪书宋一简" w:eastAsia="汉仪书宋一简"/>
                <w:color w:val="0000FF"/>
                <w:kern w:val="0"/>
                <w:sz w:val="20"/>
              </w:rPr>
              <w:t>审慎经营规则的</w:t>
            </w:r>
            <w:r>
              <w:rPr>
                <w:rFonts w:hint="eastAsia" w:ascii="汉仪书宋一简" w:eastAsia="汉仪书宋一简"/>
                <w:kern w:val="0"/>
                <w:sz w:val="20"/>
              </w:rPr>
              <w:t>，情节严重或者拒不改正的，经国务院银行业监督管理机构或者其省一级派出机构负责人批准，可以区别情形，采取下列措施：（1）责令暂停部分业务、停止批准开办新业务；（2）限制分配红利和其他收入；（3）限制资产转让；（4）责令控股股东转让股权或者限制有关股东的权利；（5）责令调整董事、高级管理人员或者限制其权利；（6）停止批准增设分支机构</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只有这六项，需要记忆</w:t>
            </w:r>
            <w:r>
              <w:rPr>
                <w:rFonts w:hint="eastAsia" w:ascii="汉仪书宋一简" w:eastAsia="汉仪书宋一简"/>
                <w:kern w:val="0"/>
                <w:sz w:val="20"/>
                <w:lang w:eastAsia="zh-CN"/>
              </w:rPr>
              <w:t>）</w:t>
            </w:r>
          </w:p>
        </w:tc>
      </w:tr>
      <w:tr w14:paraId="036C74B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shd w:val="clear" w:color="auto" w:fill="auto"/>
            <w:vAlign w:val="center"/>
          </w:tcPr>
          <w:p w14:paraId="3B2AC81F">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接管重组</w:t>
            </w:r>
          </w:p>
        </w:tc>
        <w:tc>
          <w:tcPr>
            <w:tcW w:w="1718" w:type="pct"/>
            <w:shd w:val="clear" w:color="auto" w:fill="auto"/>
            <w:vAlign w:val="center"/>
          </w:tcPr>
          <w:p w14:paraId="734C1245">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银行业金融机构已经或者可能发生信用危机，</w:t>
            </w:r>
            <w:r>
              <w:rPr>
                <w:rFonts w:hint="eastAsia" w:ascii="汉仪书宋一简" w:eastAsia="汉仪书宋一简"/>
                <w:color w:val="0000FF"/>
                <w:kern w:val="0"/>
                <w:sz w:val="20"/>
              </w:rPr>
              <w:t>严重影响存款人和其他客户合法权益的</w:t>
            </w:r>
            <w:r>
              <w:rPr>
                <w:rFonts w:hint="eastAsia" w:ascii="汉仪书宋一简" w:eastAsia="汉仪书宋一简"/>
                <w:kern w:val="0"/>
                <w:sz w:val="20"/>
              </w:rPr>
              <w:t>，国务院银行业监督管理机构可以依法对该银行业金融机构实行接管或者促成机构重组</w:t>
            </w:r>
          </w:p>
        </w:tc>
        <w:tc>
          <w:tcPr>
            <w:tcW w:w="2577" w:type="pct"/>
            <w:vMerge w:val="restart"/>
            <w:shd w:val="clear" w:color="auto" w:fill="auto"/>
            <w:vAlign w:val="center"/>
          </w:tcPr>
          <w:p w14:paraId="4865C612">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银行业金融机构被接管、重组或者被撤销的，国务院银行业监督管理机构有权要求该银行业金融机构的董事、高级管理人员和其他工作人员，按照国务院银行业监督管理机构的要求履行职责。对直接负责的董事、高级管理人员和其他直接责任人员，可以采取下列措施：（1）直接负责的董事、高级管理人员和其他直接责任人员出境将对国家利益造成重大损失的，通知出境管理机关依法阻止其出境；（2）申请司法机关禁止其转移、转让财产或者对其财产设定其他权利</w:t>
            </w:r>
          </w:p>
        </w:tc>
      </w:tr>
      <w:tr w14:paraId="2E042EB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shd w:val="clear" w:color="auto" w:fill="auto"/>
            <w:vAlign w:val="center"/>
          </w:tcPr>
          <w:p w14:paraId="72C536BC">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撤销</w:t>
            </w:r>
          </w:p>
        </w:tc>
        <w:tc>
          <w:tcPr>
            <w:tcW w:w="1718" w:type="pct"/>
            <w:shd w:val="clear" w:color="auto" w:fill="auto"/>
            <w:vAlign w:val="center"/>
          </w:tcPr>
          <w:p w14:paraId="12D1D059">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银行业金融机构有违法经营、经营管理不善等情形，不予撤销将严重危害金融秩序、损害公众利益的，国务院银行业监督管理机构有权予以撤销</w:t>
            </w:r>
          </w:p>
        </w:tc>
        <w:tc>
          <w:tcPr>
            <w:tcW w:w="2577" w:type="pct"/>
            <w:vMerge w:val="continue"/>
            <w:shd w:val="clear" w:color="auto" w:fill="auto"/>
            <w:vAlign w:val="center"/>
          </w:tcPr>
          <w:p w14:paraId="1632982A">
            <w:pPr>
              <w:spacing w:after="31" w:afterLines="10" w:line="280" w:lineRule="exact"/>
              <w:ind w:firstLine="0" w:firstLineChars="0"/>
              <w:rPr>
                <w:rFonts w:hint="eastAsia" w:ascii="汉仪书宋一简" w:eastAsia="汉仪书宋一简"/>
                <w:kern w:val="0"/>
                <w:sz w:val="20"/>
              </w:rPr>
            </w:pPr>
          </w:p>
        </w:tc>
      </w:tr>
      <w:tr w14:paraId="1313A7B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shd w:val="clear" w:color="auto" w:fill="auto"/>
            <w:vAlign w:val="center"/>
          </w:tcPr>
          <w:p w14:paraId="718109CE">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银行账户</w:t>
            </w:r>
          </w:p>
        </w:tc>
        <w:tc>
          <w:tcPr>
            <w:tcW w:w="4295" w:type="pct"/>
            <w:gridSpan w:val="2"/>
            <w:shd w:val="clear" w:color="auto" w:fill="auto"/>
            <w:vAlign w:val="center"/>
          </w:tcPr>
          <w:p w14:paraId="7E62102E">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经国务院银行业监督管理机构</w:t>
            </w:r>
            <w:r>
              <w:rPr>
                <w:rFonts w:hint="eastAsia" w:ascii="汉仪书宋一简" w:eastAsia="汉仪书宋一简"/>
                <w:color w:val="0000FF"/>
                <w:kern w:val="0"/>
                <w:sz w:val="20"/>
              </w:rPr>
              <w:t>或者其省一级派出机构负责人批准，</w:t>
            </w:r>
            <w:r>
              <w:rPr>
                <w:rFonts w:hint="eastAsia" w:ascii="汉仪书宋一简" w:eastAsia="汉仪书宋一简"/>
                <w:kern w:val="0"/>
                <w:sz w:val="20"/>
              </w:rPr>
              <w:t>银行业监督管理机构有权查询涉嫌金融违法的银行业金融机构及其工作人员以及关联行为人的账户；对涉嫌转移或者隐匿违法资金的，经银行业监督管理机构负责人批准，可以申请司法机关予以冻结</w:t>
            </w:r>
          </w:p>
        </w:tc>
      </w:tr>
      <w:tr w14:paraId="5993DA8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vMerge w:val="restart"/>
            <w:shd w:val="clear" w:color="auto" w:fill="auto"/>
            <w:vAlign w:val="center"/>
          </w:tcPr>
          <w:p w14:paraId="74165D83">
            <w:pPr>
              <w:spacing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行政处罚</w:t>
            </w:r>
          </w:p>
        </w:tc>
        <w:tc>
          <w:tcPr>
            <w:tcW w:w="4295" w:type="pct"/>
            <w:gridSpan w:val="2"/>
            <w:shd w:val="clear" w:color="auto" w:fill="auto"/>
            <w:vAlign w:val="center"/>
          </w:tcPr>
          <w:p w14:paraId="190E6DB8">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对机构：视情节由国务院银行业监督管理机构责令改正，并处罚款，责令停业整顿或者吊销其经营许可证，依法追究刑事责任</w:t>
            </w:r>
          </w:p>
        </w:tc>
      </w:tr>
      <w:tr w14:paraId="320A9B3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04" w:type="pct"/>
            <w:vMerge w:val="continue"/>
            <w:shd w:val="clear" w:color="auto" w:fill="auto"/>
            <w:vAlign w:val="center"/>
          </w:tcPr>
          <w:p w14:paraId="183326BE">
            <w:pPr>
              <w:spacing w:after="31" w:afterLines="10" w:line="280" w:lineRule="exact"/>
              <w:ind w:firstLine="0" w:firstLineChars="0"/>
              <w:rPr>
                <w:rFonts w:hint="eastAsia" w:ascii="汉仪书宋一简" w:eastAsia="汉仪书宋一简"/>
                <w:b/>
                <w:kern w:val="0"/>
                <w:sz w:val="20"/>
              </w:rPr>
            </w:pPr>
          </w:p>
        </w:tc>
        <w:tc>
          <w:tcPr>
            <w:tcW w:w="4295" w:type="pct"/>
            <w:gridSpan w:val="2"/>
            <w:shd w:val="clear" w:color="auto" w:fill="auto"/>
            <w:vAlign w:val="center"/>
          </w:tcPr>
          <w:p w14:paraId="7D61F540">
            <w:pPr>
              <w:spacing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对直接负责的董事、高级管理人员和其他直接责任人员：（1）责令银行业金融机构对其给予纪律处分；（2）警告，罚款；（3）取消一定期限直至终身的任职资格，禁止一定期限直至终身从事银行业工作</w:t>
            </w:r>
          </w:p>
        </w:tc>
      </w:tr>
    </w:tbl>
    <w:p w14:paraId="7DCE49B7">
      <w:pPr>
        <w:ind w:left="0" w:leftChars="0" w:firstLine="0" w:firstLineChars="0"/>
        <w:rPr>
          <w:rFonts w:hint="eastAsia" w:ascii="汉仪书宋二简"/>
        </w:rPr>
      </w:pPr>
    </w:p>
    <w:p w14:paraId="6DEEF773">
      <w:pPr>
        <w:pStyle w:val="2"/>
        <w:spacing w:before="0" w:line="480" w:lineRule="exact"/>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pPr>
      <w:bookmarkStart w:id="0" w:name="_Toc826845824"/>
      <w:bookmarkStart w:id="1" w:name="_Toc193726288"/>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考点4  财税法</w:t>
      </w:r>
      <w:bookmarkEnd w:id="0"/>
      <w:bookmarkEnd w:id="1"/>
    </w:p>
    <w:p w14:paraId="544DD87B">
      <w:pPr>
        <w:tabs>
          <w:tab w:val="clear" w:pos="420"/>
        </w:tabs>
        <w:autoSpaceDE w:val="0"/>
        <w:autoSpaceDN w:val="0"/>
        <w:adjustRightInd w:val="0"/>
        <w:ind w:firstLine="425" w:firstLineChars="0"/>
        <w:textAlignment w:val="center"/>
        <w:rPr>
          <w:rFonts w:hint="eastAsia" w:ascii="汉仪书宋二简"/>
        </w:rPr>
      </w:pPr>
    </w:p>
    <w:p w14:paraId="77649FEE">
      <w:pPr>
        <w:tabs>
          <w:tab w:val="clear" w:pos="420"/>
        </w:tabs>
        <w:autoSpaceDE w:val="0"/>
        <w:autoSpaceDN w:val="0"/>
        <w:adjustRightInd w:val="0"/>
        <w:ind w:firstLine="0" w:firstLineChars="0"/>
        <w:jc w:val="left"/>
        <w:textAlignment w:val="center"/>
        <w:rPr>
          <w:rFonts w:hint="eastAsia" w:ascii="汉仪书宋二简"/>
          <w:b/>
          <w:sz w:val="24"/>
          <w:szCs w:val="24"/>
        </w:rPr>
      </w:pPr>
      <w:r>
        <w:rPr>
          <w:rFonts w:hint="eastAsia" w:ascii="汉仪粗宋简" w:hAnsi="Times New Roman" w:eastAsia="汉仪大宋简" w:cs="汉仪粗宋简"/>
          <w:color w:val="000000"/>
          <w:kern w:val="0"/>
          <w:position w:val="4"/>
          <w:sz w:val="26"/>
          <w:szCs w:val="26"/>
          <w:lang w:val="zh-CN"/>
        </w:rPr>
        <w:t>一、个人所得税</w:t>
      </w:r>
    </w:p>
    <w:p w14:paraId="6D8AD1EA">
      <w:pPr>
        <w:pStyle w:val="4"/>
        <w:ind w:firstLine="288" w:firstLineChars="120"/>
        <w:jc w:val="both"/>
        <w:rPr>
          <w:rFonts w:hint="eastAsia"/>
        </w:rPr>
      </w:pPr>
      <w:r>
        <w:rPr>
          <w:rFonts w:hint="eastAsia"/>
        </w:rPr>
        <w:t>（一）纳税人</w:t>
      </w:r>
    </w:p>
    <w:p w14:paraId="7E55E5FF">
      <w:pPr>
        <w:tabs>
          <w:tab w:val="clear" w:pos="420"/>
        </w:tabs>
        <w:autoSpaceDE w:val="0"/>
        <w:autoSpaceDN w:val="0"/>
        <w:adjustRightInd w:val="0"/>
        <w:ind w:firstLine="425" w:firstLineChars="0"/>
        <w:textAlignment w:val="center"/>
        <w:rPr>
          <w:rFonts w:hint="eastAsia" w:ascii="汉仪书宋二简" w:hAnsiTheme="minorEastAsia"/>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379"/>
        <w:gridCol w:w="5093"/>
        <w:gridCol w:w="2033"/>
      </w:tblGrid>
      <w:tr w14:paraId="142659A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351" w:type="dxa"/>
            <w:shd w:val="clear" w:color="auto" w:fill="auto"/>
            <w:vAlign w:val="center"/>
          </w:tcPr>
          <w:p w14:paraId="01A3FED0">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纳税人</w:t>
            </w:r>
          </w:p>
        </w:tc>
        <w:tc>
          <w:tcPr>
            <w:tcW w:w="4990" w:type="dxa"/>
            <w:shd w:val="clear" w:color="auto" w:fill="auto"/>
            <w:vAlign w:val="center"/>
          </w:tcPr>
          <w:p w14:paraId="0B732E55">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区分标准</w:t>
            </w:r>
          </w:p>
        </w:tc>
        <w:tc>
          <w:tcPr>
            <w:tcW w:w="1992" w:type="dxa"/>
            <w:shd w:val="clear" w:color="auto" w:fill="auto"/>
            <w:vAlign w:val="center"/>
          </w:tcPr>
          <w:p w14:paraId="5CC53245">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税收负担</w:t>
            </w:r>
          </w:p>
        </w:tc>
      </w:tr>
      <w:tr w14:paraId="6780249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351" w:type="dxa"/>
            <w:shd w:val="clear" w:color="auto" w:fill="auto"/>
            <w:vAlign w:val="center"/>
          </w:tcPr>
          <w:p w14:paraId="1E4ADA20">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居民个人</w:t>
            </w:r>
          </w:p>
        </w:tc>
        <w:tc>
          <w:tcPr>
            <w:tcW w:w="4990" w:type="dxa"/>
            <w:shd w:val="clear" w:color="auto" w:fill="auto"/>
            <w:vAlign w:val="center"/>
          </w:tcPr>
          <w:p w14:paraId="389ED1C5">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在中国境内有住所，或者无住所而一个纳税年度内在中国境内居住累计满</w:t>
            </w:r>
            <w:r>
              <w:rPr>
                <w:rFonts w:hint="eastAsia" w:ascii="汉仪书宋一简" w:eastAsia="汉仪书宋一简"/>
                <w:kern w:val="0"/>
                <w:sz w:val="20"/>
              </w:rPr>
              <w:t>183</w:t>
            </w:r>
            <w:r>
              <w:rPr>
                <w:rFonts w:hint="eastAsia" w:ascii="汉仪书宋一简" w:eastAsia="汉仪书宋一简" w:hAnsiTheme="minorEastAsia"/>
                <w:kern w:val="0"/>
                <w:sz w:val="20"/>
              </w:rPr>
              <w:t>天</w:t>
            </w:r>
          </w:p>
        </w:tc>
        <w:tc>
          <w:tcPr>
            <w:tcW w:w="1992" w:type="dxa"/>
            <w:shd w:val="clear" w:color="auto" w:fill="auto"/>
            <w:vAlign w:val="center"/>
          </w:tcPr>
          <w:p w14:paraId="3FE24BBB">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color w:val="0000FF"/>
                <w:kern w:val="0"/>
                <w:sz w:val="20"/>
              </w:rPr>
              <w:t>就境内外所得缴税</w:t>
            </w:r>
          </w:p>
        </w:tc>
      </w:tr>
      <w:tr w14:paraId="7D10B72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1351" w:type="dxa"/>
            <w:shd w:val="clear" w:color="auto" w:fill="auto"/>
            <w:vAlign w:val="center"/>
          </w:tcPr>
          <w:p w14:paraId="3A099984">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非居民个人</w:t>
            </w:r>
          </w:p>
        </w:tc>
        <w:tc>
          <w:tcPr>
            <w:tcW w:w="4990" w:type="dxa"/>
            <w:shd w:val="clear" w:color="auto" w:fill="auto"/>
            <w:vAlign w:val="center"/>
          </w:tcPr>
          <w:p w14:paraId="1D5327CF">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在中国境内无住所又不居住，或者无住所而一个纳税年度内在中国境内居住累计不满</w:t>
            </w:r>
            <w:r>
              <w:rPr>
                <w:rFonts w:hint="eastAsia" w:ascii="汉仪书宋一简" w:eastAsia="汉仪书宋一简"/>
                <w:kern w:val="0"/>
                <w:sz w:val="20"/>
              </w:rPr>
              <w:t>183</w:t>
            </w:r>
            <w:r>
              <w:rPr>
                <w:rFonts w:hint="eastAsia" w:ascii="汉仪书宋一简" w:eastAsia="汉仪书宋一简" w:hAnsiTheme="minorEastAsia"/>
                <w:kern w:val="0"/>
                <w:sz w:val="20"/>
              </w:rPr>
              <w:t>天</w:t>
            </w:r>
          </w:p>
        </w:tc>
        <w:tc>
          <w:tcPr>
            <w:tcW w:w="1992" w:type="dxa"/>
            <w:shd w:val="clear" w:color="auto" w:fill="auto"/>
            <w:vAlign w:val="center"/>
          </w:tcPr>
          <w:p w14:paraId="1A2AF549">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就境内所得缴税</w:t>
            </w:r>
          </w:p>
        </w:tc>
      </w:tr>
    </w:tbl>
    <w:p w14:paraId="68BD7B60">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036E3689">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64F3F85E">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054E3D04">
      <w:pPr>
        <w:pStyle w:val="4"/>
        <w:ind w:firstLine="288" w:firstLineChars="120"/>
        <w:jc w:val="both"/>
        <w:rPr>
          <w:rFonts w:hint="eastAsia"/>
        </w:rPr>
      </w:pPr>
      <w:r>
        <w:rPr>
          <w:rFonts w:hint="eastAsia"/>
        </w:rPr>
        <w:t>（二）税款计算</w:t>
      </w:r>
    </w:p>
    <w:p w14:paraId="5D2F65AD">
      <w:pPr>
        <w:ind w:firstLine="420"/>
        <w:rPr>
          <w:rFonts w:hint="eastAsia" w:ascii="汉仪书宋二简" w:hAnsiTheme="minorEastAsia"/>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419"/>
        <w:gridCol w:w="1292"/>
        <w:gridCol w:w="1528"/>
        <w:gridCol w:w="3985"/>
        <w:gridCol w:w="1281"/>
      </w:tblGrid>
      <w:tr w14:paraId="2E9AFA8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PrEx>
        <w:trPr>
          <w:jc w:val="center"/>
        </w:trPr>
        <w:tc>
          <w:tcPr>
            <w:tcW w:w="1005" w:type="pct"/>
            <w:gridSpan w:val="2"/>
            <w:shd w:val="clear" w:color="auto" w:fill="auto"/>
            <w:vAlign w:val="center"/>
          </w:tcPr>
          <w:p w14:paraId="258775A2">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个人所得</w:t>
            </w:r>
          </w:p>
        </w:tc>
        <w:tc>
          <w:tcPr>
            <w:tcW w:w="898" w:type="pct"/>
            <w:shd w:val="clear" w:color="auto" w:fill="auto"/>
            <w:vAlign w:val="center"/>
          </w:tcPr>
          <w:p w14:paraId="58B87DA6">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收入额</w:t>
            </w:r>
          </w:p>
        </w:tc>
        <w:tc>
          <w:tcPr>
            <w:tcW w:w="2342" w:type="pct"/>
            <w:shd w:val="clear" w:color="auto" w:fill="auto"/>
            <w:vAlign w:val="center"/>
          </w:tcPr>
          <w:p w14:paraId="38B9332E">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应纳税所得额</w:t>
            </w:r>
          </w:p>
        </w:tc>
        <w:tc>
          <w:tcPr>
            <w:tcW w:w="753" w:type="pct"/>
            <w:shd w:val="clear" w:color="auto" w:fill="auto"/>
            <w:vAlign w:val="center"/>
          </w:tcPr>
          <w:p w14:paraId="33ED3870">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税率</w:t>
            </w:r>
          </w:p>
        </w:tc>
      </w:tr>
      <w:tr w14:paraId="572A315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246" w:type="pct"/>
            <w:vMerge w:val="restart"/>
            <w:shd w:val="clear" w:color="auto" w:fill="auto"/>
            <w:vAlign w:val="center"/>
          </w:tcPr>
          <w:p w14:paraId="0A89DEB8">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综</w:t>
            </w:r>
          </w:p>
          <w:p w14:paraId="6631EBDE">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合</w:t>
            </w:r>
          </w:p>
          <w:p w14:paraId="2432983D">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所</w:t>
            </w:r>
          </w:p>
          <w:p w14:paraId="440727EA">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得</w:t>
            </w:r>
          </w:p>
        </w:tc>
        <w:tc>
          <w:tcPr>
            <w:tcW w:w="759" w:type="pct"/>
            <w:shd w:val="clear" w:color="auto" w:fill="auto"/>
            <w:vAlign w:val="center"/>
          </w:tcPr>
          <w:p w14:paraId="619307FC">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工资薪金</w:t>
            </w:r>
          </w:p>
        </w:tc>
        <w:tc>
          <w:tcPr>
            <w:tcW w:w="898" w:type="pct"/>
            <w:shd w:val="clear" w:color="auto" w:fill="auto"/>
            <w:vAlign w:val="center"/>
          </w:tcPr>
          <w:p w14:paraId="60A62F6D">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全额</w:t>
            </w:r>
          </w:p>
        </w:tc>
        <w:tc>
          <w:tcPr>
            <w:tcW w:w="2342" w:type="pct"/>
            <w:vMerge w:val="restart"/>
            <w:shd w:val="clear" w:color="auto" w:fill="auto"/>
            <w:vAlign w:val="center"/>
          </w:tcPr>
          <w:p w14:paraId="6276637A">
            <w:pPr>
              <w:spacing w:before="31" w:beforeLines="10" w:after="62" w:afterLines="20" w:line="280" w:lineRule="exact"/>
              <w:ind w:firstLine="0" w:firstLineChars="0"/>
              <w:rPr>
                <w:rFonts w:hint="eastAsia" w:ascii="汉仪书宋一简" w:eastAsia="汉仪书宋一简" w:hAnsiTheme="minorEastAsia"/>
                <w:b/>
                <w:kern w:val="0"/>
                <w:sz w:val="20"/>
              </w:rPr>
            </w:pPr>
            <w:r>
              <w:rPr>
                <w:rFonts w:hint="eastAsia" w:ascii="汉仪书宋一简" w:eastAsia="汉仪书宋一简" w:hAnsiTheme="minorEastAsia"/>
                <w:kern w:val="0"/>
                <w:sz w:val="20"/>
              </w:rPr>
              <w:t>居民个人按年合并计征，每年收入额减除</w:t>
            </w:r>
            <w:r>
              <w:rPr>
                <w:rFonts w:hint="eastAsia" w:ascii="汉仪书宋一简" w:eastAsia="汉仪书宋一简"/>
                <w:kern w:val="0"/>
                <w:sz w:val="20"/>
              </w:rPr>
              <w:t>6</w:t>
            </w:r>
            <w:r>
              <w:rPr>
                <w:rFonts w:hint="eastAsia" w:ascii="汉仪书宋一简" w:eastAsia="汉仪书宋一简" w:hAnsiTheme="minorEastAsia"/>
                <w:kern w:val="0"/>
                <w:sz w:val="20"/>
              </w:rPr>
              <w:t>万元以及专项扣除、专项附加扣除和其他扣除。个人公益性捐赠，捐赠额未超过纳税人申报的应纳税所得额</w:t>
            </w:r>
            <w:r>
              <w:rPr>
                <w:rFonts w:hint="eastAsia" w:ascii="汉仪书宋一简" w:eastAsia="汉仪书宋一简"/>
                <w:kern w:val="0"/>
                <w:sz w:val="20"/>
              </w:rPr>
              <w:t>30</w:t>
            </w:r>
            <w:r>
              <w:rPr>
                <w:rFonts w:hint="eastAsia" w:ascii="汉仪书宋一简" w:eastAsia="汉仪书宋一简" w:hAnsiTheme="minorEastAsia"/>
                <w:kern w:val="0"/>
                <w:sz w:val="20"/>
              </w:rPr>
              <w:t>%的部分，可以从其应纳税所得额中扣除</w:t>
            </w:r>
          </w:p>
        </w:tc>
        <w:tc>
          <w:tcPr>
            <w:tcW w:w="753" w:type="pct"/>
            <w:vMerge w:val="restart"/>
            <w:shd w:val="clear" w:color="auto" w:fill="auto"/>
            <w:vAlign w:val="center"/>
          </w:tcPr>
          <w:p w14:paraId="72D33B53">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3%-45%的</w:t>
            </w:r>
          </w:p>
          <w:p w14:paraId="2C97D098">
            <w:pPr>
              <w:spacing w:before="31" w:beforeLines="10" w:after="62" w:afterLines="20" w:line="280" w:lineRule="exact"/>
              <w:ind w:firstLine="0" w:firstLineChars="0"/>
              <w:jc w:val="center"/>
              <w:rPr>
                <w:rFonts w:hint="eastAsia" w:ascii="汉仪书宋一简" w:eastAsia="汉仪书宋一简"/>
                <w:b/>
                <w:kern w:val="0"/>
                <w:sz w:val="20"/>
              </w:rPr>
            </w:pPr>
            <w:r>
              <w:rPr>
                <w:rFonts w:hint="eastAsia" w:ascii="汉仪书宋一简" w:eastAsia="汉仪书宋一简"/>
                <w:kern w:val="0"/>
                <w:sz w:val="20"/>
              </w:rPr>
              <w:t>7级</w:t>
            </w:r>
            <w:r>
              <w:rPr>
                <w:rFonts w:hint="eastAsia" w:ascii="汉仪书宋一简" w:eastAsia="汉仪书宋一简"/>
                <w:color w:val="0000FF"/>
                <w:kern w:val="0"/>
                <w:sz w:val="20"/>
              </w:rPr>
              <w:t>超额累进税率</w:t>
            </w:r>
          </w:p>
        </w:tc>
      </w:tr>
      <w:tr w14:paraId="53EC037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246" w:type="pct"/>
            <w:vMerge w:val="continue"/>
            <w:shd w:val="clear" w:color="auto" w:fill="auto"/>
            <w:vAlign w:val="center"/>
          </w:tcPr>
          <w:p w14:paraId="08B45D9C">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759" w:type="pct"/>
            <w:shd w:val="clear" w:color="auto" w:fill="auto"/>
            <w:vAlign w:val="center"/>
          </w:tcPr>
          <w:p w14:paraId="0A77CC38">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劳务报酬</w:t>
            </w:r>
          </w:p>
        </w:tc>
        <w:tc>
          <w:tcPr>
            <w:tcW w:w="898" w:type="pct"/>
            <w:shd w:val="clear" w:color="auto" w:fill="auto"/>
            <w:vAlign w:val="center"/>
          </w:tcPr>
          <w:p w14:paraId="30E229B5">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减</w:t>
            </w:r>
            <w:r>
              <w:rPr>
                <w:rFonts w:hint="eastAsia" w:ascii="汉仪书宋一简" w:eastAsia="汉仪书宋一简"/>
                <w:kern w:val="0"/>
                <w:sz w:val="20"/>
              </w:rPr>
              <w:t>20</w:t>
            </w:r>
            <w:r>
              <w:rPr>
                <w:rFonts w:hint="eastAsia" w:ascii="汉仪书宋一简" w:eastAsia="汉仪书宋一简" w:hAnsiTheme="minorEastAsia"/>
                <w:kern w:val="0"/>
                <w:sz w:val="20"/>
              </w:rPr>
              <w:t>%</w:t>
            </w:r>
          </w:p>
        </w:tc>
        <w:tc>
          <w:tcPr>
            <w:tcW w:w="2342" w:type="pct"/>
            <w:vMerge w:val="continue"/>
            <w:shd w:val="clear" w:color="auto" w:fill="auto"/>
            <w:vAlign w:val="center"/>
          </w:tcPr>
          <w:p w14:paraId="6F66C26B">
            <w:pPr>
              <w:spacing w:before="31" w:beforeLines="10" w:after="62" w:afterLines="20" w:line="280" w:lineRule="exact"/>
              <w:ind w:firstLine="0" w:firstLineChars="0"/>
              <w:rPr>
                <w:rFonts w:hint="eastAsia" w:ascii="汉仪书宋一简" w:eastAsia="汉仪书宋一简"/>
                <w:b/>
                <w:kern w:val="0"/>
                <w:sz w:val="20"/>
              </w:rPr>
            </w:pPr>
          </w:p>
        </w:tc>
        <w:tc>
          <w:tcPr>
            <w:tcW w:w="753" w:type="pct"/>
            <w:vMerge w:val="continue"/>
            <w:shd w:val="clear" w:color="auto" w:fill="auto"/>
            <w:vAlign w:val="center"/>
          </w:tcPr>
          <w:p w14:paraId="543D6F84">
            <w:pPr>
              <w:spacing w:before="31" w:beforeLines="10" w:after="62" w:afterLines="20" w:line="280" w:lineRule="exact"/>
              <w:ind w:firstLine="0" w:firstLineChars="0"/>
              <w:jc w:val="center"/>
              <w:rPr>
                <w:rFonts w:hint="eastAsia" w:ascii="汉仪书宋一简" w:eastAsia="汉仪书宋一简"/>
                <w:b/>
                <w:kern w:val="0"/>
                <w:sz w:val="20"/>
              </w:rPr>
            </w:pPr>
          </w:p>
        </w:tc>
      </w:tr>
      <w:tr w14:paraId="421CFE5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246" w:type="pct"/>
            <w:vMerge w:val="continue"/>
            <w:shd w:val="clear" w:color="auto" w:fill="auto"/>
            <w:vAlign w:val="center"/>
          </w:tcPr>
          <w:p w14:paraId="204E4813">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759" w:type="pct"/>
            <w:shd w:val="clear" w:color="auto" w:fill="auto"/>
            <w:vAlign w:val="center"/>
          </w:tcPr>
          <w:p w14:paraId="762FB1D4">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稿酬</w:t>
            </w:r>
          </w:p>
        </w:tc>
        <w:tc>
          <w:tcPr>
            <w:tcW w:w="898" w:type="pct"/>
            <w:shd w:val="clear" w:color="auto" w:fill="auto"/>
            <w:vAlign w:val="center"/>
          </w:tcPr>
          <w:p w14:paraId="1EC6034F">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减</w:t>
            </w:r>
            <w:r>
              <w:rPr>
                <w:rFonts w:hint="eastAsia" w:ascii="汉仪书宋一简" w:eastAsia="汉仪书宋一简"/>
                <w:kern w:val="0"/>
                <w:sz w:val="20"/>
              </w:rPr>
              <w:t>20</w:t>
            </w:r>
            <w:r>
              <w:rPr>
                <w:rFonts w:hint="eastAsia" w:ascii="汉仪书宋一简" w:eastAsia="汉仪书宋一简" w:hAnsiTheme="minorEastAsia"/>
                <w:kern w:val="0"/>
                <w:sz w:val="20"/>
              </w:rPr>
              <w:t>%再乘</w:t>
            </w:r>
            <w:r>
              <w:rPr>
                <w:rFonts w:hint="eastAsia" w:ascii="汉仪书宋一简" w:eastAsia="汉仪书宋一简"/>
                <w:kern w:val="0"/>
                <w:sz w:val="20"/>
              </w:rPr>
              <w:t>70</w:t>
            </w:r>
            <w:r>
              <w:rPr>
                <w:rFonts w:hint="eastAsia" w:ascii="汉仪书宋一简" w:eastAsia="汉仪书宋一简" w:hAnsiTheme="minorEastAsia"/>
                <w:kern w:val="0"/>
                <w:sz w:val="20"/>
              </w:rPr>
              <w:t>%</w:t>
            </w:r>
          </w:p>
        </w:tc>
        <w:tc>
          <w:tcPr>
            <w:tcW w:w="2342" w:type="pct"/>
            <w:vMerge w:val="continue"/>
            <w:shd w:val="clear" w:color="auto" w:fill="auto"/>
            <w:vAlign w:val="center"/>
          </w:tcPr>
          <w:p w14:paraId="2D79B9C1">
            <w:pPr>
              <w:spacing w:before="31" w:beforeLines="10" w:after="62" w:afterLines="20" w:line="280" w:lineRule="exact"/>
              <w:ind w:firstLine="0" w:firstLineChars="0"/>
              <w:rPr>
                <w:rFonts w:hint="eastAsia" w:ascii="汉仪书宋一简" w:eastAsia="汉仪书宋一简"/>
                <w:b/>
                <w:kern w:val="0"/>
                <w:sz w:val="20"/>
              </w:rPr>
            </w:pPr>
          </w:p>
        </w:tc>
        <w:tc>
          <w:tcPr>
            <w:tcW w:w="753" w:type="pct"/>
            <w:vMerge w:val="continue"/>
            <w:shd w:val="clear" w:color="auto" w:fill="auto"/>
            <w:vAlign w:val="center"/>
          </w:tcPr>
          <w:p w14:paraId="31D7E29A">
            <w:pPr>
              <w:spacing w:before="31" w:beforeLines="10" w:after="62" w:afterLines="20" w:line="280" w:lineRule="exact"/>
              <w:ind w:firstLine="0" w:firstLineChars="0"/>
              <w:jc w:val="center"/>
              <w:rPr>
                <w:rFonts w:hint="eastAsia" w:ascii="汉仪书宋一简" w:eastAsia="汉仪书宋一简"/>
                <w:b/>
                <w:kern w:val="0"/>
                <w:sz w:val="20"/>
              </w:rPr>
            </w:pPr>
          </w:p>
        </w:tc>
      </w:tr>
      <w:tr w14:paraId="5D7ED79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246" w:type="pct"/>
            <w:vMerge w:val="continue"/>
            <w:shd w:val="clear" w:color="auto" w:fill="auto"/>
            <w:vAlign w:val="center"/>
          </w:tcPr>
          <w:p w14:paraId="6D564BFC">
            <w:pPr>
              <w:spacing w:before="31" w:beforeLines="10" w:after="62" w:afterLines="20" w:line="280" w:lineRule="exact"/>
              <w:ind w:firstLine="0" w:firstLineChars="0"/>
              <w:rPr>
                <w:rFonts w:hint="eastAsia" w:ascii="汉仪书宋一简" w:eastAsia="汉仪书宋一简" w:hAnsiTheme="minorEastAsia"/>
                <w:kern w:val="0"/>
                <w:sz w:val="20"/>
              </w:rPr>
            </w:pPr>
          </w:p>
        </w:tc>
        <w:tc>
          <w:tcPr>
            <w:tcW w:w="759" w:type="pct"/>
            <w:shd w:val="clear" w:color="auto" w:fill="auto"/>
            <w:vAlign w:val="center"/>
          </w:tcPr>
          <w:p w14:paraId="22ADF078">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特许权使用费</w:t>
            </w:r>
          </w:p>
        </w:tc>
        <w:tc>
          <w:tcPr>
            <w:tcW w:w="898" w:type="pct"/>
            <w:shd w:val="clear" w:color="auto" w:fill="auto"/>
            <w:vAlign w:val="center"/>
          </w:tcPr>
          <w:p w14:paraId="05EEF10E">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减</w:t>
            </w:r>
            <w:r>
              <w:rPr>
                <w:rFonts w:hint="eastAsia" w:ascii="汉仪书宋一简" w:eastAsia="汉仪书宋一简"/>
                <w:kern w:val="0"/>
                <w:sz w:val="20"/>
              </w:rPr>
              <w:t>20</w:t>
            </w:r>
            <w:r>
              <w:rPr>
                <w:rFonts w:hint="eastAsia" w:ascii="汉仪书宋一简" w:eastAsia="汉仪书宋一简" w:hAnsiTheme="minorEastAsia"/>
                <w:kern w:val="0"/>
                <w:sz w:val="20"/>
              </w:rPr>
              <w:t>%</w:t>
            </w:r>
          </w:p>
        </w:tc>
        <w:tc>
          <w:tcPr>
            <w:tcW w:w="2342" w:type="pct"/>
            <w:vMerge w:val="continue"/>
            <w:shd w:val="clear" w:color="auto" w:fill="auto"/>
            <w:vAlign w:val="center"/>
          </w:tcPr>
          <w:p w14:paraId="3AA2682C">
            <w:pPr>
              <w:spacing w:before="31" w:beforeLines="10" w:after="62" w:afterLines="20" w:line="280" w:lineRule="exact"/>
              <w:ind w:firstLine="0" w:firstLineChars="0"/>
              <w:rPr>
                <w:rFonts w:hint="eastAsia" w:ascii="汉仪书宋一简" w:eastAsia="汉仪书宋一简"/>
                <w:b/>
                <w:kern w:val="0"/>
                <w:sz w:val="20"/>
              </w:rPr>
            </w:pPr>
          </w:p>
        </w:tc>
        <w:tc>
          <w:tcPr>
            <w:tcW w:w="753" w:type="pct"/>
            <w:vMerge w:val="continue"/>
            <w:shd w:val="clear" w:color="auto" w:fill="auto"/>
            <w:vAlign w:val="center"/>
          </w:tcPr>
          <w:p w14:paraId="038341C5">
            <w:pPr>
              <w:spacing w:before="31" w:beforeLines="10" w:after="62" w:afterLines="20" w:line="280" w:lineRule="exact"/>
              <w:ind w:firstLine="0" w:firstLineChars="0"/>
              <w:jc w:val="center"/>
              <w:rPr>
                <w:rFonts w:hint="eastAsia" w:ascii="汉仪书宋一简" w:eastAsia="汉仪书宋一简"/>
                <w:b/>
                <w:kern w:val="0"/>
                <w:sz w:val="20"/>
              </w:rPr>
            </w:pPr>
          </w:p>
        </w:tc>
      </w:tr>
      <w:tr w14:paraId="6B89A29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1005" w:type="pct"/>
            <w:gridSpan w:val="2"/>
            <w:shd w:val="clear" w:color="auto" w:fill="auto"/>
            <w:vAlign w:val="center"/>
          </w:tcPr>
          <w:p w14:paraId="662292F3">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经营所得</w:t>
            </w:r>
          </w:p>
        </w:tc>
        <w:tc>
          <w:tcPr>
            <w:tcW w:w="898" w:type="pct"/>
            <w:shd w:val="clear" w:color="auto" w:fill="auto"/>
            <w:vAlign w:val="center"/>
          </w:tcPr>
          <w:p w14:paraId="576C6A37">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2342" w:type="pct"/>
            <w:shd w:val="clear" w:color="auto" w:fill="auto"/>
            <w:vAlign w:val="center"/>
          </w:tcPr>
          <w:p w14:paraId="75339612">
            <w:pPr>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年收入总额减除成本、费用以及损失后</w:t>
            </w:r>
          </w:p>
        </w:tc>
        <w:tc>
          <w:tcPr>
            <w:tcW w:w="753" w:type="pct"/>
            <w:shd w:val="clear" w:color="auto" w:fill="auto"/>
            <w:vAlign w:val="center"/>
          </w:tcPr>
          <w:p w14:paraId="5711256D">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5%-35%，</w:t>
            </w:r>
          </w:p>
          <w:p w14:paraId="47D5AE39">
            <w:pPr>
              <w:spacing w:before="31" w:beforeLines="10" w:after="62" w:afterLines="20" w:line="280" w:lineRule="exact"/>
              <w:ind w:firstLine="0" w:firstLineChars="0"/>
              <w:jc w:val="center"/>
              <w:rPr>
                <w:rFonts w:hint="eastAsia" w:ascii="汉仪书宋一简" w:eastAsia="汉仪书宋一简"/>
                <w:b/>
                <w:kern w:val="0"/>
                <w:sz w:val="20"/>
              </w:rPr>
            </w:pPr>
            <w:r>
              <w:rPr>
                <w:rFonts w:hint="eastAsia" w:ascii="汉仪书宋一简" w:eastAsia="汉仪书宋一简"/>
                <w:kern w:val="0"/>
                <w:sz w:val="20"/>
              </w:rPr>
              <w:t>5级</w:t>
            </w:r>
          </w:p>
        </w:tc>
      </w:tr>
      <w:tr w14:paraId="4CDE07D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1005" w:type="pct"/>
            <w:gridSpan w:val="2"/>
            <w:shd w:val="clear" w:color="auto" w:fill="auto"/>
            <w:vAlign w:val="center"/>
          </w:tcPr>
          <w:p w14:paraId="1A2E50B2">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利息股息红利</w:t>
            </w:r>
          </w:p>
        </w:tc>
        <w:tc>
          <w:tcPr>
            <w:tcW w:w="898" w:type="pct"/>
            <w:shd w:val="clear" w:color="auto" w:fill="auto"/>
            <w:vAlign w:val="center"/>
          </w:tcPr>
          <w:p w14:paraId="7DDA832B">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2342" w:type="pct"/>
            <w:shd w:val="clear" w:color="auto" w:fill="auto"/>
            <w:vAlign w:val="center"/>
          </w:tcPr>
          <w:p w14:paraId="42E705E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全额</w:t>
            </w:r>
          </w:p>
        </w:tc>
        <w:tc>
          <w:tcPr>
            <w:tcW w:w="753" w:type="pct"/>
            <w:vMerge w:val="restart"/>
            <w:shd w:val="clear" w:color="auto" w:fill="auto"/>
            <w:vAlign w:val="center"/>
          </w:tcPr>
          <w:p w14:paraId="33DA3D5E">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20%</w:t>
            </w:r>
          </w:p>
          <w:p w14:paraId="56711FCE">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比例税率</w:t>
            </w:r>
          </w:p>
        </w:tc>
      </w:tr>
      <w:tr w14:paraId="4743D7E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1005" w:type="pct"/>
            <w:gridSpan w:val="2"/>
            <w:shd w:val="clear" w:color="auto" w:fill="auto"/>
            <w:vAlign w:val="center"/>
          </w:tcPr>
          <w:p w14:paraId="7CDE9891">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财产租赁所得</w:t>
            </w:r>
          </w:p>
        </w:tc>
        <w:tc>
          <w:tcPr>
            <w:tcW w:w="898" w:type="pct"/>
            <w:shd w:val="clear" w:color="auto" w:fill="auto"/>
            <w:vAlign w:val="center"/>
          </w:tcPr>
          <w:p w14:paraId="028FE2FF">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2342" w:type="pct"/>
            <w:shd w:val="clear" w:color="auto" w:fill="auto"/>
            <w:vAlign w:val="center"/>
          </w:tcPr>
          <w:p w14:paraId="65040EE6">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每次收入不超过4000元的，减除费用800元；4000元以上的，减除20%的费用</w:t>
            </w:r>
          </w:p>
        </w:tc>
        <w:tc>
          <w:tcPr>
            <w:tcW w:w="753" w:type="pct"/>
            <w:vMerge w:val="continue"/>
            <w:shd w:val="clear" w:color="auto" w:fill="auto"/>
            <w:vAlign w:val="center"/>
          </w:tcPr>
          <w:p w14:paraId="67BC8B96">
            <w:pPr>
              <w:spacing w:before="31" w:beforeLines="10" w:after="62" w:afterLines="20" w:line="280" w:lineRule="exact"/>
              <w:ind w:firstLine="0" w:firstLineChars="0"/>
              <w:rPr>
                <w:rFonts w:hint="eastAsia" w:ascii="汉仪书宋一简" w:eastAsia="汉仪书宋一简"/>
                <w:kern w:val="0"/>
                <w:sz w:val="20"/>
              </w:rPr>
            </w:pPr>
          </w:p>
        </w:tc>
      </w:tr>
      <w:tr w14:paraId="1F7FD7D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1005" w:type="pct"/>
            <w:gridSpan w:val="2"/>
            <w:shd w:val="clear" w:color="auto" w:fill="auto"/>
            <w:vAlign w:val="center"/>
          </w:tcPr>
          <w:p w14:paraId="10BE8DAA">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财产转让所得</w:t>
            </w:r>
          </w:p>
        </w:tc>
        <w:tc>
          <w:tcPr>
            <w:tcW w:w="898" w:type="pct"/>
            <w:shd w:val="clear" w:color="auto" w:fill="auto"/>
            <w:vAlign w:val="center"/>
          </w:tcPr>
          <w:p w14:paraId="794D76F0">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2342" w:type="pct"/>
            <w:shd w:val="clear" w:color="auto" w:fill="auto"/>
            <w:vAlign w:val="center"/>
          </w:tcPr>
          <w:p w14:paraId="2BD8E0A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收入额减除财产原值和合理费用</w:t>
            </w:r>
          </w:p>
        </w:tc>
        <w:tc>
          <w:tcPr>
            <w:tcW w:w="753" w:type="pct"/>
            <w:vMerge w:val="continue"/>
            <w:shd w:val="clear" w:color="auto" w:fill="auto"/>
            <w:vAlign w:val="center"/>
          </w:tcPr>
          <w:p w14:paraId="3A2E5BAD">
            <w:pPr>
              <w:spacing w:before="31" w:beforeLines="10" w:after="62" w:afterLines="20" w:line="280" w:lineRule="exact"/>
              <w:ind w:firstLine="0" w:firstLineChars="0"/>
              <w:rPr>
                <w:rFonts w:hint="eastAsia" w:ascii="汉仪书宋一简" w:eastAsia="汉仪书宋一简"/>
                <w:kern w:val="0"/>
                <w:sz w:val="20"/>
              </w:rPr>
            </w:pPr>
          </w:p>
        </w:tc>
      </w:tr>
      <w:tr w14:paraId="08D79D3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1005" w:type="pct"/>
            <w:gridSpan w:val="2"/>
            <w:shd w:val="clear" w:color="auto" w:fill="auto"/>
            <w:vAlign w:val="center"/>
          </w:tcPr>
          <w:p w14:paraId="0688EEDD">
            <w:pPr>
              <w:spacing w:before="31" w:beforeLines="10" w:after="62" w:afterLines="20" w:line="280" w:lineRule="exact"/>
              <w:ind w:firstLine="0" w:firstLineChars="0"/>
              <w:jc w:val="center"/>
              <w:rPr>
                <w:rFonts w:hint="eastAsia" w:ascii="汉仪书宋一简" w:eastAsia="汉仪书宋一简" w:hAnsiTheme="minorEastAsia"/>
                <w:kern w:val="0"/>
                <w:sz w:val="20"/>
              </w:rPr>
            </w:pPr>
            <w:r>
              <w:rPr>
                <w:rFonts w:hint="eastAsia" w:ascii="汉仪书宋一简" w:eastAsia="汉仪书宋一简" w:hAnsiTheme="minorEastAsia"/>
                <w:kern w:val="0"/>
                <w:sz w:val="20"/>
              </w:rPr>
              <w:t>偶然所得</w:t>
            </w:r>
          </w:p>
        </w:tc>
        <w:tc>
          <w:tcPr>
            <w:tcW w:w="898" w:type="pct"/>
            <w:shd w:val="clear" w:color="auto" w:fill="auto"/>
            <w:vAlign w:val="center"/>
          </w:tcPr>
          <w:p w14:paraId="4E4042E4">
            <w:pPr>
              <w:spacing w:before="31" w:beforeLines="10" w:after="62" w:afterLines="20" w:line="280" w:lineRule="exact"/>
              <w:ind w:firstLine="0" w:firstLineChars="0"/>
              <w:jc w:val="center"/>
              <w:rPr>
                <w:rFonts w:hint="eastAsia" w:ascii="汉仪书宋一简" w:eastAsia="汉仪书宋一简" w:hAnsiTheme="minorEastAsia"/>
                <w:kern w:val="0"/>
                <w:sz w:val="20"/>
              </w:rPr>
            </w:pPr>
          </w:p>
        </w:tc>
        <w:tc>
          <w:tcPr>
            <w:tcW w:w="2342" w:type="pct"/>
            <w:shd w:val="clear" w:color="auto" w:fill="auto"/>
            <w:vAlign w:val="center"/>
          </w:tcPr>
          <w:p w14:paraId="1252FDE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全额</w:t>
            </w:r>
          </w:p>
        </w:tc>
        <w:tc>
          <w:tcPr>
            <w:tcW w:w="753" w:type="pct"/>
            <w:vMerge w:val="continue"/>
            <w:shd w:val="clear" w:color="auto" w:fill="auto"/>
            <w:vAlign w:val="center"/>
          </w:tcPr>
          <w:p w14:paraId="14E3F917">
            <w:pPr>
              <w:spacing w:before="31" w:beforeLines="10" w:after="62" w:afterLines="20" w:line="280" w:lineRule="exact"/>
              <w:ind w:firstLine="0" w:firstLineChars="0"/>
              <w:rPr>
                <w:rFonts w:hint="eastAsia" w:ascii="汉仪书宋一简" w:eastAsia="汉仪书宋一简"/>
                <w:kern w:val="0"/>
                <w:sz w:val="20"/>
              </w:rPr>
            </w:pPr>
          </w:p>
        </w:tc>
      </w:tr>
    </w:tbl>
    <w:p w14:paraId="22784A41">
      <w:pPr>
        <w:tabs>
          <w:tab w:val="clear" w:pos="420"/>
        </w:tabs>
        <w:autoSpaceDE w:val="0"/>
        <w:autoSpaceDN w:val="0"/>
        <w:adjustRightInd w:val="0"/>
        <w:ind w:firstLine="425" w:firstLineChars="0"/>
        <w:textAlignment w:val="center"/>
        <w:rPr>
          <w:rFonts w:hint="eastAsia"/>
        </w:rPr>
      </w:pPr>
    </w:p>
    <w:p w14:paraId="52B7AAE9">
      <w:pPr>
        <w:pStyle w:val="4"/>
        <w:ind w:firstLine="288" w:firstLineChars="120"/>
        <w:jc w:val="both"/>
        <w:rPr>
          <w:rFonts w:hint="eastAsia"/>
        </w:rPr>
      </w:pPr>
      <w:r>
        <w:rPr>
          <w:rFonts w:hint="eastAsia"/>
        </w:rPr>
        <w:t>（三）税收减免</w:t>
      </w:r>
    </w:p>
    <w:p w14:paraId="60BA555B">
      <w:pPr>
        <w:tabs>
          <w:tab w:val="clear" w:pos="420"/>
        </w:tabs>
        <w:autoSpaceDE w:val="0"/>
        <w:autoSpaceDN w:val="0"/>
        <w:adjustRightInd w:val="0"/>
        <w:ind w:firstLine="425" w:firstLineChars="0"/>
        <w:textAlignment w:val="center"/>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841"/>
        <w:gridCol w:w="7664"/>
      </w:tblGrid>
      <w:tr w14:paraId="28E0556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841" w:type="dxa"/>
            <w:shd w:val="clear" w:color="auto" w:fill="auto"/>
            <w:vAlign w:val="center"/>
          </w:tcPr>
          <w:p w14:paraId="6B249B9C">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免征</w:t>
            </w:r>
          </w:p>
        </w:tc>
        <w:tc>
          <w:tcPr>
            <w:tcW w:w="7664" w:type="dxa"/>
            <w:shd w:val="clear" w:color="auto" w:fill="auto"/>
            <w:vAlign w:val="center"/>
          </w:tcPr>
          <w:p w14:paraId="27BF4D44">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1</w:t>
            </w:r>
            <w:r>
              <w:rPr>
                <w:rFonts w:hint="eastAsia" w:ascii="汉仪书宋一简" w:eastAsia="汉仪书宋一简" w:hAnsiTheme="minorEastAsia"/>
                <w:kern w:val="0"/>
                <w:sz w:val="20"/>
              </w:rPr>
              <w:t>）省级人民政府、国务院部委和中国人民解放军军以上单位，以及外国组织、国际组织颁发的科学、教育、技术、文化、卫生、体育、环境保护等方面的奖金</w:t>
            </w:r>
          </w:p>
          <w:p w14:paraId="554E6931">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2</w:t>
            </w:r>
            <w:r>
              <w:rPr>
                <w:rFonts w:hint="eastAsia" w:ascii="汉仪书宋一简" w:eastAsia="汉仪书宋一简" w:hAnsiTheme="minorEastAsia"/>
                <w:kern w:val="0"/>
                <w:sz w:val="20"/>
              </w:rPr>
              <w:t>）国债和国家发行的金融债券利息</w:t>
            </w:r>
          </w:p>
          <w:p w14:paraId="4FE0C8AB">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3</w:t>
            </w:r>
            <w:r>
              <w:rPr>
                <w:rFonts w:hint="eastAsia" w:ascii="汉仪书宋一简" w:eastAsia="汉仪书宋一简" w:hAnsiTheme="minorEastAsia"/>
                <w:kern w:val="0"/>
                <w:sz w:val="20"/>
              </w:rPr>
              <w:t>）按照国家统一规定发给的补贴、津贴</w:t>
            </w:r>
          </w:p>
          <w:p w14:paraId="40764F46">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4</w:t>
            </w:r>
            <w:r>
              <w:rPr>
                <w:rFonts w:hint="eastAsia" w:ascii="汉仪书宋一简" w:eastAsia="汉仪书宋一简" w:hAnsiTheme="minorEastAsia"/>
                <w:kern w:val="0"/>
                <w:sz w:val="20"/>
              </w:rPr>
              <w:t>）福利费、抚恤金、救济金</w:t>
            </w:r>
          </w:p>
          <w:p w14:paraId="6916516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5</w:t>
            </w:r>
            <w:r>
              <w:rPr>
                <w:rFonts w:hint="eastAsia" w:ascii="汉仪书宋一简" w:eastAsia="汉仪书宋一简" w:hAnsiTheme="minorEastAsia"/>
                <w:kern w:val="0"/>
                <w:sz w:val="20"/>
              </w:rPr>
              <w:t>）保险赔款</w:t>
            </w:r>
          </w:p>
          <w:p w14:paraId="12D35A32">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6</w:t>
            </w:r>
            <w:r>
              <w:rPr>
                <w:rFonts w:hint="eastAsia" w:ascii="汉仪书宋一简" w:eastAsia="汉仪书宋一简" w:hAnsiTheme="minorEastAsia"/>
                <w:kern w:val="0"/>
                <w:sz w:val="20"/>
              </w:rPr>
              <w:t>）军人的转业费、复员费、退役金</w:t>
            </w:r>
          </w:p>
          <w:p w14:paraId="7B531ED5">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7</w:t>
            </w:r>
            <w:r>
              <w:rPr>
                <w:rFonts w:hint="eastAsia" w:ascii="汉仪书宋一简" w:eastAsia="汉仪书宋一简" w:hAnsiTheme="minorEastAsia"/>
                <w:kern w:val="0"/>
                <w:sz w:val="20"/>
              </w:rPr>
              <w:t>）按照国家统一规定发给干部、职工的安家费、退职费、基本养老金或者退休费、离休费、离休生活补助费</w:t>
            </w:r>
          </w:p>
          <w:p w14:paraId="384C180D">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8</w:t>
            </w:r>
            <w:r>
              <w:rPr>
                <w:rFonts w:hint="eastAsia" w:ascii="汉仪书宋一简" w:eastAsia="汉仪书宋一简" w:hAnsiTheme="minorEastAsia"/>
                <w:kern w:val="0"/>
                <w:sz w:val="20"/>
              </w:rPr>
              <w:t>）依照有关法律规定应予免税的各国驻华使馆、领事馆的外交代表、领事官员和其他人员的所得</w:t>
            </w:r>
          </w:p>
          <w:p w14:paraId="68309D4A">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9</w:t>
            </w:r>
            <w:r>
              <w:rPr>
                <w:rFonts w:hint="eastAsia" w:ascii="汉仪书宋一简" w:eastAsia="汉仪书宋一简" w:hAnsiTheme="minorEastAsia"/>
                <w:kern w:val="0"/>
                <w:sz w:val="20"/>
              </w:rPr>
              <w:t>）中国政府参加的国际公约、签订的协议中规定免税的所得</w:t>
            </w:r>
          </w:p>
          <w:p w14:paraId="7672B03F">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10</w:t>
            </w:r>
            <w:r>
              <w:rPr>
                <w:rFonts w:hint="eastAsia" w:ascii="汉仪书宋一简" w:eastAsia="汉仪书宋一简" w:hAnsiTheme="minorEastAsia"/>
                <w:kern w:val="0"/>
                <w:sz w:val="20"/>
              </w:rPr>
              <w:t>）国务院规定的其他免税所得（国务院报全国人民代表大会常务委员会备案）</w:t>
            </w:r>
          </w:p>
        </w:tc>
      </w:tr>
      <w:tr w14:paraId="7423A34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jc w:val="center"/>
        </w:trPr>
        <w:tc>
          <w:tcPr>
            <w:tcW w:w="841" w:type="dxa"/>
            <w:shd w:val="clear" w:color="auto" w:fill="auto"/>
            <w:vAlign w:val="center"/>
          </w:tcPr>
          <w:p w14:paraId="41391547">
            <w:pPr>
              <w:spacing w:before="31" w:beforeLines="10" w:after="62" w:afterLines="20" w:line="280" w:lineRule="exact"/>
              <w:ind w:firstLine="0" w:firstLineChars="0"/>
              <w:jc w:val="center"/>
              <w:rPr>
                <w:rFonts w:hint="eastAsia" w:ascii="汉仪中黑简" w:eastAsia="汉仪中黑简" w:hAnsiTheme="minorEastAsia"/>
                <w:kern w:val="0"/>
                <w:sz w:val="20"/>
              </w:rPr>
            </w:pPr>
            <w:r>
              <w:rPr>
                <w:rFonts w:hint="eastAsia" w:ascii="汉仪中黑简" w:eastAsia="汉仪中黑简" w:hAnsiTheme="minorEastAsia"/>
                <w:kern w:val="0"/>
                <w:sz w:val="20"/>
              </w:rPr>
              <w:t>减征</w:t>
            </w:r>
          </w:p>
        </w:tc>
        <w:tc>
          <w:tcPr>
            <w:tcW w:w="7664" w:type="dxa"/>
            <w:shd w:val="clear" w:color="auto" w:fill="auto"/>
            <w:vAlign w:val="center"/>
          </w:tcPr>
          <w:p w14:paraId="575DCB0E">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有下列情形之一的，</w:t>
            </w:r>
            <w:r>
              <w:rPr>
                <w:rFonts w:hint="eastAsia" w:ascii="汉仪书宋一简" w:eastAsia="汉仪书宋一简" w:hAnsiTheme="minorEastAsia"/>
                <w:color w:val="0000FF"/>
                <w:kern w:val="0"/>
                <w:sz w:val="20"/>
              </w:rPr>
              <w:t>可以减征个人所得税，具体幅度和期限，由省级政府规定，并报同级人大常委会备案</w:t>
            </w:r>
            <w:r>
              <w:rPr>
                <w:rFonts w:hint="eastAsia" w:ascii="汉仪书宋一简" w:eastAsia="汉仪书宋一简" w:hAnsiTheme="minorEastAsia"/>
                <w:kern w:val="0"/>
                <w:sz w:val="20"/>
              </w:rPr>
              <w:t>：</w:t>
            </w:r>
          </w:p>
          <w:p w14:paraId="780A14DB">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1</w:t>
            </w:r>
            <w:r>
              <w:rPr>
                <w:rFonts w:hint="eastAsia" w:ascii="汉仪书宋一简" w:eastAsia="汉仪书宋一简" w:hAnsiTheme="minorEastAsia"/>
                <w:kern w:val="0"/>
                <w:sz w:val="20"/>
              </w:rPr>
              <w:t>）残疾、孤老人员和烈属的所得</w:t>
            </w:r>
          </w:p>
          <w:p w14:paraId="45F21BDC">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hAnsiTheme="minorEastAsia"/>
                <w:kern w:val="0"/>
                <w:sz w:val="20"/>
              </w:rPr>
              <w:t>（</w:t>
            </w:r>
            <w:r>
              <w:rPr>
                <w:rFonts w:hint="eastAsia" w:ascii="汉仪书宋一简" w:eastAsia="汉仪书宋一简"/>
                <w:kern w:val="0"/>
                <w:sz w:val="20"/>
              </w:rPr>
              <w:t>2</w:t>
            </w:r>
            <w:r>
              <w:rPr>
                <w:rFonts w:hint="eastAsia" w:ascii="汉仪书宋一简" w:eastAsia="汉仪书宋一简" w:hAnsiTheme="minorEastAsia"/>
                <w:kern w:val="0"/>
                <w:sz w:val="20"/>
              </w:rPr>
              <w:t>）因自然灾害遭受重大损失的。国务院可以规定其他减税情形，报全国人大常委会备案</w:t>
            </w:r>
          </w:p>
        </w:tc>
      </w:tr>
    </w:tbl>
    <w:p w14:paraId="781A28C2">
      <w:pPr>
        <w:tabs>
          <w:tab w:val="clear" w:pos="420"/>
        </w:tabs>
        <w:autoSpaceDE w:val="0"/>
        <w:autoSpaceDN w:val="0"/>
        <w:adjustRightInd w:val="0"/>
        <w:ind w:firstLine="425" w:firstLineChars="0"/>
        <w:textAlignment w:val="center"/>
        <w:rPr>
          <w:rFonts w:hint="eastAsia"/>
        </w:rPr>
      </w:pPr>
    </w:p>
    <w:p w14:paraId="163CE61E">
      <w:pPr>
        <w:pStyle w:val="4"/>
        <w:ind w:firstLine="288" w:firstLineChars="120"/>
        <w:jc w:val="both"/>
        <w:rPr>
          <w:rFonts w:hint="eastAsia"/>
        </w:rPr>
      </w:pPr>
      <w:r>
        <w:rPr>
          <w:rFonts w:hint="eastAsia"/>
        </w:rPr>
        <w:t>（四）征收管理</w:t>
      </w:r>
    </w:p>
    <w:p w14:paraId="3954CD43">
      <w:pPr>
        <w:ind w:firstLine="440"/>
        <w:rPr>
          <w:rFonts w:hint="eastAsia" w:ascii="汉仪中黑简" w:eastAsia="汉仪中黑简" w:hAnsiTheme="minorEastAsia"/>
          <w:sz w:val="22"/>
          <w:szCs w:val="22"/>
        </w:rPr>
      </w:pPr>
      <w:r>
        <w:rPr>
          <w:rFonts w:hint="eastAsia" w:ascii="汉仪中黑简" w:eastAsia="汉仪中黑简"/>
          <w:sz w:val="22"/>
          <w:szCs w:val="22"/>
        </w:rPr>
        <w:t>1</w:t>
      </w:r>
      <w:r>
        <w:rPr>
          <w:rFonts w:hint="eastAsia" w:ascii="汉仪中黑简" w:eastAsia="汉仪中黑简" w:hAnsiTheme="minorEastAsia"/>
          <w:sz w:val="22"/>
          <w:szCs w:val="22"/>
        </w:rPr>
        <w:t>．源泉扣缴</w:t>
      </w:r>
    </w:p>
    <w:p w14:paraId="05535E4F">
      <w:pPr>
        <w:ind w:firstLine="420"/>
        <w:rPr>
          <w:rFonts w:hint="eastAsia" w:ascii="汉仪书宋二简" w:hAnsiTheme="minorEastAsia"/>
        </w:rPr>
      </w:pPr>
      <w:r>
        <w:rPr>
          <w:rFonts w:hint="eastAsia" w:ascii="汉仪书宋二简" w:hAnsiTheme="minorEastAsia"/>
        </w:rPr>
        <w:t>个人所得税以所得人为纳税人</w:t>
      </w:r>
      <w:r>
        <w:rPr>
          <w:rFonts w:hint="eastAsia" w:ascii="汉仪书宋二简" w:hAnsiTheme="minorEastAsia"/>
          <w:color w:val="0000FF"/>
        </w:rPr>
        <w:t>，以支付所得的单位或者个人为扣缴义务人</w:t>
      </w:r>
      <w:r>
        <w:rPr>
          <w:rFonts w:hint="eastAsia" w:ascii="汉仪书宋二简" w:hAnsiTheme="minorEastAsia"/>
        </w:rPr>
        <w:t>。</w:t>
      </w:r>
      <w:r>
        <w:rPr>
          <w:rFonts w:hint="eastAsia" w:ascii="汉仪书宋二简"/>
        </w:rPr>
        <w:t>对扣缴义务人按照所扣缴的税款，付给百分之二的手续费。</w:t>
      </w:r>
    </w:p>
    <w:p w14:paraId="6A559D71">
      <w:pPr>
        <w:ind w:firstLine="440"/>
        <w:rPr>
          <w:rFonts w:hint="eastAsia" w:ascii="汉仪中黑简" w:eastAsia="汉仪中黑简"/>
          <w:sz w:val="22"/>
          <w:szCs w:val="22"/>
        </w:rPr>
      </w:pPr>
      <w:r>
        <w:rPr>
          <w:rFonts w:hint="eastAsia" w:ascii="汉仪中黑简" w:eastAsia="汉仪中黑简"/>
          <w:sz w:val="22"/>
          <w:szCs w:val="22"/>
        </w:rPr>
        <w:t>2．汇算清缴</w:t>
      </w:r>
    </w:p>
    <w:p w14:paraId="7185E059">
      <w:pPr>
        <w:ind w:firstLine="420"/>
        <w:rPr>
          <w:rFonts w:hint="eastAsia" w:ascii="汉仪书宋二简"/>
        </w:rPr>
      </w:pPr>
      <w:r>
        <w:rPr>
          <w:rFonts w:hint="eastAsia" w:ascii="汉仪书宋二简"/>
        </w:rPr>
        <w:t>取得综合所得需要办理汇算清缴的情形包括：</w:t>
      </w:r>
      <w:r>
        <w:rPr>
          <w:rFonts w:hint="eastAsia" w:ascii="汉仪书宋二简" w:hAnsiTheme="minorEastAsia"/>
        </w:rPr>
        <w:t>①</w:t>
      </w:r>
      <w:r>
        <w:rPr>
          <w:rFonts w:hint="eastAsia" w:ascii="汉仪书宋二简"/>
        </w:rPr>
        <w:t>从两处以上取得综合所得，且综合所得年收入额减除专项扣除的余额超过6万元；</w:t>
      </w:r>
      <w:r>
        <w:rPr>
          <w:rFonts w:hint="eastAsia" w:ascii="汉仪书宋二简"/>
          <w:kern w:val="0"/>
        </w:rPr>
        <w:t>②</w:t>
      </w:r>
      <w:r>
        <w:rPr>
          <w:rFonts w:hint="eastAsia" w:ascii="汉仪书宋二简"/>
        </w:rPr>
        <w:t>取得劳务报酬所得、稿酬所得、特许权使用费所得中一项或者多项所得，且综合所得年收入额减除专项扣除的余额超过6万元；</w:t>
      </w:r>
      <w:r>
        <w:rPr>
          <w:rFonts w:hint="eastAsia" w:ascii="汉仪书宋二简"/>
          <w:kern w:val="0"/>
        </w:rPr>
        <w:t>③</w:t>
      </w:r>
      <w:r>
        <w:rPr>
          <w:rFonts w:hint="eastAsia" w:ascii="汉仪书宋二简"/>
        </w:rPr>
        <w:t>纳税年度内预缴税额低于应纳税额；</w:t>
      </w:r>
      <w:r>
        <w:rPr>
          <w:rFonts w:hint="eastAsia" w:ascii="汉仪书宋二简" w:hAnsiTheme="minorEastAsia"/>
        </w:rPr>
        <w:t>④</w:t>
      </w:r>
      <w:r>
        <w:rPr>
          <w:rFonts w:hint="eastAsia" w:ascii="汉仪书宋二简"/>
        </w:rPr>
        <w:t>纳税人申请退税。</w:t>
      </w:r>
    </w:p>
    <w:p w14:paraId="37FCB08A">
      <w:pPr>
        <w:ind w:firstLine="440"/>
        <w:rPr>
          <w:rFonts w:hint="eastAsia" w:ascii="汉仪中黑简" w:eastAsia="汉仪中黑简"/>
          <w:sz w:val="22"/>
          <w:szCs w:val="22"/>
        </w:rPr>
      </w:pPr>
      <w:r>
        <w:rPr>
          <w:rFonts w:hint="eastAsia" w:ascii="汉仪中黑简" w:eastAsia="汉仪中黑简"/>
          <w:sz w:val="22"/>
          <w:szCs w:val="22"/>
        </w:rPr>
        <w:t>3．反避税</w:t>
      </w:r>
    </w:p>
    <w:p w14:paraId="0D6D1CED">
      <w:pPr>
        <w:ind w:firstLine="420"/>
        <w:rPr>
          <w:rFonts w:hint="eastAsia" w:ascii="汉仪书宋二简"/>
          <w:kern w:val="0"/>
        </w:rPr>
      </w:pPr>
      <w:r>
        <w:rPr>
          <w:rFonts w:hint="eastAsia" w:ascii="汉仪书宋二简"/>
        </w:rPr>
        <w:t>有下列情形之一的，</w:t>
      </w:r>
      <w:r>
        <w:rPr>
          <w:rFonts w:hint="eastAsia" w:ascii="汉仪书宋二简"/>
          <w:color w:val="0000FF"/>
        </w:rPr>
        <w:t>税务机关有权按照合理方法进行纳税调整</w:t>
      </w:r>
      <w:r>
        <w:rPr>
          <w:rFonts w:hint="eastAsia" w:ascii="汉仪书宋二简"/>
        </w:rPr>
        <w:t>：（1）个人与其关联方之间的业务往来不符合独立交易原则而减少本人或者其关联方应纳税额，且无正当理由；（2）居民个人控制的，或者居民个人和居民企业共同控制的设立在实际税负明显偏低的国家（地区）的企业，无合理经营需要，对应当归属于居民个人的利润不作分配或者减少分配；（3）个人实施其他不具有合理商业目的的安排而获取不当税收利益。税务机关依照前款规定作出纳税调整，需要补征税款的，应当补征税款，并依法加收利息。</w:t>
      </w:r>
    </w:p>
    <w:p w14:paraId="7ED589DB">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二、企业所得税</w:t>
      </w:r>
    </w:p>
    <w:p w14:paraId="012DF871">
      <w:pPr>
        <w:tabs>
          <w:tab w:val="clear" w:pos="420"/>
        </w:tabs>
        <w:autoSpaceDE w:val="0"/>
        <w:autoSpaceDN w:val="0"/>
        <w:adjustRightInd w:val="0"/>
        <w:ind w:firstLine="425" w:firstLineChars="0"/>
        <w:textAlignment w:val="center"/>
        <w:rPr>
          <w:rFonts w:ascii="汉仪粗宋简" w:hAnsi="Times New Roman" w:eastAsia="汉仪大宋简" w:cs="汉仪粗宋简"/>
          <w:color w:val="000000"/>
          <w:kern w:val="0"/>
          <w:position w:val="4"/>
          <w:sz w:val="26"/>
          <w:szCs w:val="26"/>
          <w:lang w:val="zh-CN"/>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840"/>
        <w:gridCol w:w="7665"/>
      </w:tblGrid>
      <w:tr w14:paraId="0E8FE37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61168B5F">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纳税人</w:t>
            </w:r>
          </w:p>
        </w:tc>
        <w:tc>
          <w:tcPr>
            <w:tcW w:w="4506" w:type="pct"/>
            <w:shd w:val="clear" w:color="auto" w:fill="auto"/>
            <w:vAlign w:val="center"/>
          </w:tcPr>
          <w:p w14:paraId="38ED9C3F">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境内的企业和其他取得收入的组织，</w:t>
            </w:r>
            <w:r>
              <w:rPr>
                <w:rFonts w:hint="eastAsia" w:ascii="汉仪书宋一简" w:eastAsia="汉仪书宋一简"/>
                <w:color w:val="0000FF"/>
                <w:kern w:val="0"/>
                <w:sz w:val="20"/>
              </w:rPr>
              <w:t>但不包括个人独资企业和合伙企业</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无限责任不收企业所得税</w:t>
            </w:r>
            <w:r>
              <w:rPr>
                <w:rFonts w:hint="eastAsia" w:ascii="汉仪书宋一简" w:eastAsia="汉仪书宋一简"/>
                <w:color w:val="0000FF"/>
                <w:kern w:val="0"/>
                <w:sz w:val="20"/>
                <w:lang w:eastAsia="zh-CN"/>
              </w:rPr>
              <w:t>）</w:t>
            </w:r>
          </w:p>
        </w:tc>
      </w:tr>
      <w:tr w14:paraId="5B6FD91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4116507B">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101A4904">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居民企业和非居民企业的区分，以实际管理机构为标准</w:t>
            </w:r>
          </w:p>
        </w:tc>
      </w:tr>
      <w:tr w14:paraId="672658C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6CE95CB7">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税率</w:t>
            </w:r>
          </w:p>
        </w:tc>
        <w:tc>
          <w:tcPr>
            <w:tcW w:w="4506" w:type="pct"/>
            <w:shd w:val="clear" w:color="auto" w:fill="auto"/>
            <w:vAlign w:val="center"/>
          </w:tcPr>
          <w:p w14:paraId="4F96CC3E">
            <w:pPr>
              <w:spacing w:before="31" w:beforeLines="10" w:after="31" w:afterLines="1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（1）企业所得税的税率</w:t>
            </w:r>
            <w:r>
              <w:rPr>
                <w:rFonts w:hint="eastAsia" w:ascii="汉仪书宋一简" w:eastAsia="汉仪书宋一简"/>
                <w:color w:val="0000FF"/>
                <w:kern w:val="0"/>
                <w:sz w:val="20"/>
              </w:rPr>
              <w:t>为25%</w:t>
            </w:r>
          </w:p>
        </w:tc>
      </w:tr>
      <w:tr w14:paraId="580A478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4529174C">
            <w:pPr>
              <w:spacing w:before="31" w:beforeLines="10" w:after="31" w:afterLines="10" w:line="280" w:lineRule="exact"/>
              <w:ind w:firstLine="0" w:firstLineChars="0"/>
              <w:jc w:val="center"/>
              <w:rPr>
                <w:rFonts w:hint="eastAsia" w:ascii="汉仪中黑简" w:eastAsia="汉仪中黑简"/>
                <w:bCs/>
                <w:sz w:val="20"/>
              </w:rPr>
            </w:pPr>
          </w:p>
        </w:tc>
        <w:tc>
          <w:tcPr>
            <w:tcW w:w="4506" w:type="pct"/>
            <w:shd w:val="clear" w:color="auto" w:fill="auto"/>
            <w:vAlign w:val="center"/>
          </w:tcPr>
          <w:p w14:paraId="546F9740">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（2）非居民企业在中国境内未设立机构、场所的，或者虽设立机构、场所但取得的所得与其所设机构、场所没有实际联系的，</w:t>
            </w:r>
            <w:r>
              <w:rPr>
                <w:rFonts w:hint="eastAsia" w:ascii="汉仪书宋一简" w:eastAsia="汉仪书宋一简"/>
                <w:color w:val="0000FF"/>
                <w:kern w:val="0"/>
                <w:sz w:val="20"/>
              </w:rPr>
              <w:t>应当就其来源于中国境内的所得缴纳企业所得税，税率为20%</w:t>
            </w:r>
            <w:r>
              <w:rPr>
                <w:rFonts w:hint="eastAsia" w:ascii="汉仪书宋一简" w:eastAsia="汉仪书宋一简"/>
                <w:kern w:val="0"/>
                <w:sz w:val="20"/>
              </w:rPr>
              <w:t>。符合条件的小型微利企业，减按20%的税率征收企业所得税</w:t>
            </w:r>
          </w:p>
        </w:tc>
      </w:tr>
      <w:tr w14:paraId="1B9893A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1D6687EB">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01790A9B">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（3）国家需要重点扶持的高新技术企业，减按15％的税率征收企业所得税</w:t>
            </w:r>
          </w:p>
        </w:tc>
      </w:tr>
      <w:tr w14:paraId="2C61994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47665CF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计税依据（应纳税所得额）</w:t>
            </w:r>
          </w:p>
        </w:tc>
        <w:tc>
          <w:tcPr>
            <w:tcW w:w="4506" w:type="pct"/>
            <w:shd w:val="clear" w:color="auto" w:fill="auto"/>
            <w:vAlign w:val="center"/>
          </w:tcPr>
          <w:p w14:paraId="3D096482">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 xml:space="preserve">应纳税所得额=收入总额 - 不征税收入 - 免税收入 - 各项扣除 </w:t>
            </w:r>
            <w:r>
              <w:rPr>
                <w:rFonts w:ascii="Courier New" w:hAnsi="Courier New" w:eastAsia="汉仪书宋一简" w:cs="Courier New"/>
                <w:kern w:val="0"/>
                <w:sz w:val="20"/>
              </w:rPr>
              <w:t>–</w:t>
            </w:r>
            <w:r>
              <w:rPr>
                <w:rFonts w:hint="eastAsia" w:ascii="汉仪书宋一简" w:eastAsia="汉仪书宋一简"/>
                <w:kern w:val="0"/>
                <w:sz w:val="20"/>
              </w:rPr>
              <w:t xml:space="preserve"> 补亏</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是利润征税</w:t>
            </w:r>
            <w:r>
              <w:rPr>
                <w:rFonts w:hint="eastAsia" w:ascii="汉仪书宋一简" w:eastAsia="汉仪书宋一简"/>
                <w:color w:val="0000FF"/>
                <w:kern w:val="0"/>
                <w:sz w:val="20"/>
                <w:lang w:eastAsia="zh-CN"/>
              </w:rPr>
              <w:t>）</w:t>
            </w:r>
          </w:p>
        </w:tc>
      </w:tr>
      <w:tr w14:paraId="6D47B62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37413E23">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5CF9914A">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收入总额：（1）销售货物收入；（2）提供劳务收入；（3）转让财产收入；（4）股息、红利等权益性投资收益；（5）利息收入；（6）租金收入；（7）特许权使用费收入；（8）接受捐赠收入；（9）其他收入</w:t>
            </w:r>
          </w:p>
        </w:tc>
      </w:tr>
      <w:tr w14:paraId="4A74FA6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7323A9B7">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3A32D07C">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不征税收入：（1）财政拨款；（2）依法收取并纳入财政管理的行政事业性收费、政府性基金；（3）国务院规定的其他不征税收入</w:t>
            </w:r>
          </w:p>
        </w:tc>
      </w:tr>
      <w:tr w14:paraId="24CDC1D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04B6A3E6">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6DBA72A9">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免税收入：（1）国债利息收入；（2）符合条件的居民企业之间的股息、红利等权益性投资收益；（3）在中国境内设立机构、场所的非居民企业从居民企业取得与该机构、场所有实际联系的股息、红利等权益性投资收益；（4）符合条件的非营利组织的收入</w:t>
            </w:r>
          </w:p>
        </w:tc>
      </w:tr>
      <w:tr w14:paraId="776A532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049340E3">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202CF2C6">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各项扣除：企业实际发生的与取得收入有关的、合理的支出，包括成本、费用、税金、损失和其他支出。企业发生的公益性捐赠支出，在年度利润总额12%以内的部分，准予在计算应纳税所得额时扣除；超过年度利润总额12%的部分，准予结转以后三年内在计算应纳税所得额时扣除。但是下列支出</w:t>
            </w:r>
            <w:r>
              <w:rPr>
                <w:rFonts w:hint="eastAsia" w:ascii="汉仪书宋一简" w:hAnsi="楷体" w:eastAsia="汉仪中黑简" w:cs="楷体"/>
                <w:color w:val="FF0000"/>
                <w:kern w:val="0"/>
                <w:sz w:val="20"/>
              </w:rPr>
              <w:t>不得扣除</w:t>
            </w:r>
            <w:r>
              <w:rPr>
                <w:rFonts w:hint="eastAsia" w:ascii="汉仪书宋一简" w:eastAsia="汉仪书宋一简"/>
                <w:kern w:val="0"/>
                <w:sz w:val="20"/>
              </w:rPr>
              <w:t>：（1）向投资者支付的股息、红利等权益性投资收益款项；（2）企业所得税税款；（3）税收滞纳金；（4）罚金、罚款和被没收财物的损失；（5）超标捐赠支出；（6）赞助支出；（7）未经核定的准备金支出；（8）与取得收入无关的其他支出。下列支出可以</w:t>
            </w:r>
            <w:r>
              <w:rPr>
                <w:rFonts w:hint="eastAsia" w:ascii="汉仪书宋一简" w:hAnsi="楷体" w:eastAsia="汉仪中黑简" w:cs="楷体"/>
                <w:color w:val="FF0000"/>
                <w:kern w:val="0"/>
                <w:sz w:val="20"/>
              </w:rPr>
              <w:t>加计扣除</w:t>
            </w:r>
            <w:r>
              <w:rPr>
                <w:rFonts w:hint="eastAsia" w:ascii="汉仪书宋一简" w:eastAsia="汉仪书宋一简"/>
                <w:kern w:val="0"/>
                <w:sz w:val="20"/>
              </w:rPr>
              <w:t>：（1）开发新技术、新产品、新工艺发生的研究开发费用；（2）安置残疾人员及国家鼓励安置的其他就业人员所支付的工资</w:t>
            </w:r>
          </w:p>
        </w:tc>
      </w:tr>
      <w:tr w14:paraId="4212A4F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45049BA4">
            <w:pPr>
              <w:spacing w:before="31" w:beforeLines="10" w:after="31" w:afterLines="10" w:line="280" w:lineRule="exact"/>
              <w:ind w:firstLine="0" w:firstLineChars="0"/>
              <w:jc w:val="center"/>
              <w:rPr>
                <w:rFonts w:hint="eastAsia" w:ascii="汉仪中黑简" w:eastAsia="汉仪中黑简"/>
                <w:bCs/>
                <w:kern w:val="0"/>
                <w:sz w:val="20"/>
              </w:rPr>
            </w:pPr>
          </w:p>
        </w:tc>
        <w:tc>
          <w:tcPr>
            <w:tcW w:w="4506" w:type="pct"/>
            <w:shd w:val="clear" w:color="auto" w:fill="auto"/>
            <w:vAlign w:val="center"/>
          </w:tcPr>
          <w:p w14:paraId="5CD3BD51">
            <w:pPr>
              <w:spacing w:before="31" w:beforeLines="10" w:after="31" w:afterLines="10" w:line="280" w:lineRule="exact"/>
              <w:ind w:firstLine="0" w:firstLineChars="0"/>
              <w:rPr>
                <w:rFonts w:hint="eastAsia" w:ascii="汉仪书宋一简" w:eastAsia="汉仪书宋一简"/>
                <w:spacing w:val="-3"/>
                <w:kern w:val="0"/>
                <w:sz w:val="20"/>
              </w:rPr>
            </w:pPr>
            <w:r>
              <w:rPr>
                <w:rFonts w:hint="eastAsia" w:ascii="汉仪书宋一简" w:eastAsia="汉仪书宋一简"/>
                <w:spacing w:val="-3"/>
                <w:kern w:val="0"/>
                <w:sz w:val="20"/>
              </w:rPr>
              <w:t>补亏：企业纳税年度发生的亏损，可用以后年度的所得弥补，但结转年限最长5年。企业在汇总计算缴纳企业所得税时，其境外营业机构的亏损不得抵减境内营业机构的盈利</w:t>
            </w:r>
          </w:p>
        </w:tc>
      </w:tr>
      <w:tr w14:paraId="6C451AF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shd w:val="clear" w:color="auto" w:fill="auto"/>
            <w:vAlign w:val="center"/>
          </w:tcPr>
          <w:p w14:paraId="60507292">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w:t>
            </w:r>
          </w:p>
          <w:p w14:paraId="09484420">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优惠</w:t>
            </w:r>
          </w:p>
        </w:tc>
        <w:tc>
          <w:tcPr>
            <w:tcW w:w="4506" w:type="pct"/>
            <w:shd w:val="clear" w:color="auto" w:fill="auto"/>
            <w:vAlign w:val="center"/>
          </w:tcPr>
          <w:p w14:paraId="346A477B">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国家对重点扶持和鼓励发展的产业和项目，给予企业所得税优惠。</w:t>
            </w:r>
            <w:r>
              <w:rPr>
                <w:rFonts w:hint="eastAsia" w:ascii="汉仪书宋一简" w:eastAsia="汉仪书宋一简"/>
                <w:color w:val="0000FF"/>
                <w:kern w:val="0"/>
                <w:sz w:val="20"/>
              </w:rPr>
              <w:t>下列所得，可以免征、减征企业所得税：</w:t>
            </w:r>
            <w:r>
              <w:rPr>
                <w:rFonts w:hint="eastAsia" w:ascii="汉仪书宋一简" w:eastAsia="汉仪书宋一简"/>
                <w:kern w:val="0"/>
                <w:sz w:val="20"/>
              </w:rPr>
              <w:t>（1）从事农、林、牧、渔业项目的所得；（2）从事国家重点扶持的公共基础设施项目投资经营的所得；（3）从事符合条件的环境保护、节能节水项目的所得；（4）符合条件的技术转让所得；（5）非居民企业在中国境内未设立机构、场所的，或者虽设立机构、场所但取得的所得与其所设机构、场所没有实际联系的，其来源于中国境内的所得</w:t>
            </w:r>
          </w:p>
        </w:tc>
      </w:tr>
      <w:tr w14:paraId="10BF312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restart"/>
            <w:shd w:val="clear" w:color="auto" w:fill="auto"/>
            <w:vAlign w:val="center"/>
          </w:tcPr>
          <w:p w14:paraId="45D71ED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w:t>
            </w:r>
          </w:p>
          <w:p w14:paraId="3227608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征管</w:t>
            </w:r>
          </w:p>
        </w:tc>
        <w:tc>
          <w:tcPr>
            <w:tcW w:w="4506" w:type="pct"/>
            <w:shd w:val="clear" w:color="auto" w:fill="auto"/>
            <w:vAlign w:val="center"/>
          </w:tcPr>
          <w:p w14:paraId="2BAFC256">
            <w:pPr>
              <w:spacing w:before="31" w:beforeLines="10" w:after="31" w:afterLines="10" w:line="280" w:lineRule="exact"/>
              <w:ind w:firstLine="0" w:firstLineChars="0"/>
              <w:rPr>
                <w:rFonts w:hint="eastAsia" w:ascii="汉仪书宋一简" w:eastAsia="汉仪书宋一简"/>
                <w:b/>
                <w:kern w:val="0"/>
                <w:sz w:val="20"/>
              </w:rPr>
            </w:pPr>
            <w:r>
              <w:rPr>
                <w:rFonts w:hint="eastAsia" w:ascii="汉仪书宋一简" w:eastAsia="汉仪书宋一简"/>
                <w:kern w:val="0"/>
                <w:sz w:val="20"/>
              </w:rPr>
              <w:t>居民企业以企业登记注册地为纳税地点；但登记注册地在境外的，以实际管理机构所在地为纳税地点。居民企业在中国境内设立不具有法人资格的营业机构的，应当汇总计算并缴纳企业所得税</w:t>
            </w:r>
          </w:p>
        </w:tc>
      </w:tr>
      <w:tr w14:paraId="6AB3F6F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11CDDC85">
            <w:pPr>
              <w:spacing w:before="31" w:beforeLines="10" w:after="31" w:afterLines="10" w:line="280" w:lineRule="exact"/>
              <w:ind w:firstLine="0" w:firstLineChars="0"/>
              <w:rPr>
                <w:rFonts w:hint="eastAsia" w:ascii="汉仪书宋一简" w:eastAsia="汉仪书宋一简"/>
                <w:sz w:val="20"/>
              </w:rPr>
            </w:pPr>
          </w:p>
        </w:tc>
        <w:tc>
          <w:tcPr>
            <w:tcW w:w="4506" w:type="pct"/>
            <w:shd w:val="clear" w:color="auto" w:fill="auto"/>
            <w:vAlign w:val="center"/>
          </w:tcPr>
          <w:p w14:paraId="2191A000">
            <w:pPr>
              <w:widowControl/>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业所得税按纳税年度计算。纳税年度自公历1月1日起至12月31日止。企业在一个纳税年度中间开业，或者终止经营活动，使该纳税年度的实际经营期不足12个月的，应当以其实际经营期为一个纳税年度。企业依法清算时，应当以清算期间作为一个纳税年度</w:t>
            </w:r>
          </w:p>
        </w:tc>
      </w:tr>
      <w:tr w14:paraId="09C22D1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94" w:type="pct"/>
            <w:vMerge w:val="continue"/>
            <w:shd w:val="clear" w:color="auto" w:fill="auto"/>
            <w:vAlign w:val="center"/>
          </w:tcPr>
          <w:p w14:paraId="151743B2">
            <w:pPr>
              <w:spacing w:before="31" w:beforeLines="10" w:after="31" w:afterLines="10" w:line="280" w:lineRule="exact"/>
              <w:ind w:firstLine="0" w:firstLineChars="0"/>
              <w:rPr>
                <w:rFonts w:hint="eastAsia" w:ascii="汉仪书宋一简" w:eastAsia="汉仪书宋一简"/>
                <w:kern w:val="0"/>
                <w:sz w:val="20"/>
              </w:rPr>
            </w:pPr>
          </w:p>
        </w:tc>
        <w:tc>
          <w:tcPr>
            <w:tcW w:w="4506" w:type="pct"/>
            <w:shd w:val="clear" w:color="auto" w:fill="auto"/>
            <w:vAlign w:val="center"/>
          </w:tcPr>
          <w:p w14:paraId="388CB9D7">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企业所得税分月或者分季预缴</w:t>
            </w:r>
          </w:p>
        </w:tc>
      </w:tr>
    </w:tbl>
    <w:p w14:paraId="7948D033">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三、增值税（</w:t>
      </w:r>
      <w:r>
        <w:rPr>
          <w:rFonts w:hint="eastAsia" w:ascii="汉仪粗宋简" w:hAnsi="Times New Roman" w:eastAsia="汉仪大宋简" w:cs="汉仪粗宋简"/>
          <w:color w:val="000000"/>
          <w:kern w:val="0"/>
          <w:position w:val="4"/>
          <w:sz w:val="26"/>
          <w:szCs w:val="26"/>
          <w:lang w:val="en-US" w:eastAsia="zh-CN"/>
        </w:rPr>
        <w:t>重要</w:t>
      </w:r>
      <w:r>
        <w:rPr>
          <w:rFonts w:hint="eastAsia" w:ascii="汉仪粗宋简" w:hAnsi="Times New Roman" w:eastAsia="汉仪大宋简" w:cs="汉仪粗宋简"/>
          <w:color w:val="000000"/>
          <w:kern w:val="0"/>
          <w:position w:val="4"/>
          <w:sz w:val="26"/>
          <w:szCs w:val="26"/>
          <w:lang w:val="zh-CN"/>
        </w:rPr>
        <w:t>）</w:t>
      </w:r>
    </w:p>
    <w:p w14:paraId="0EE41D90">
      <w:pPr>
        <w:tabs>
          <w:tab w:val="clear" w:pos="420"/>
        </w:tabs>
        <w:autoSpaceDE w:val="0"/>
        <w:autoSpaceDN w:val="0"/>
        <w:adjustRightInd w:val="0"/>
        <w:ind w:firstLine="425" w:firstLineChars="0"/>
        <w:textAlignment w:val="center"/>
        <w:rPr>
          <w:rFonts w:ascii="汉仪粗宋简" w:hAnsi="Times New Roman" w:eastAsia="汉仪大宋简" w:cs="汉仪粗宋简"/>
          <w:color w:val="000000"/>
          <w:kern w:val="0"/>
          <w:position w:val="4"/>
          <w:sz w:val="26"/>
          <w:szCs w:val="26"/>
          <w:lang w:val="zh-CN"/>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13"/>
        <w:gridCol w:w="3695"/>
        <w:gridCol w:w="3697"/>
      </w:tblGrid>
      <w:tr w14:paraId="5AF95A0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shd w:val="clear" w:color="auto" w:fill="auto"/>
            <w:vAlign w:val="center"/>
          </w:tcPr>
          <w:p w14:paraId="7968369A">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纳税人</w:t>
            </w:r>
          </w:p>
        </w:tc>
        <w:tc>
          <w:tcPr>
            <w:tcW w:w="4345" w:type="pct"/>
            <w:gridSpan w:val="2"/>
            <w:shd w:val="clear" w:color="auto" w:fill="auto"/>
            <w:vAlign w:val="center"/>
          </w:tcPr>
          <w:p w14:paraId="2E03986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境内发生应税交易（销售货物、服务、无形资产、不动产）以及进口货物的单位和个人（包括个体工商户）。分为一般纳税人和小规模纳税人（</w:t>
            </w:r>
            <w:r>
              <w:rPr>
                <w:rFonts w:hint="eastAsia" w:ascii="汉仪书宋一简" w:eastAsia="汉仪书宋一简"/>
                <w:sz w:val="20"/>
                <w:shd w:val="clear" w:color="auto" w:fill="FFFFFF"/>
              </w:rPr>
              <w:t>年应征增值税销售额未超过500万元</w:t>
            </w:r>
            <w:r>
              <w:rPr>
                <w:rFonts w:hint="eastAsia" w:ascii="汉仪书宋一简" w:eastAsia="汉仪书宋一简"/>
                <w:kern w:val="0"/>
                <w:sz w:val="20"/>
              </w:rPr>
              <w:t>）</w:t>
            </w:r>
          </w:p>
        </w:tc>
      </w:tr>
      <w:tr w14:paraId="30F0F2F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restart"/>
            <w:shd w:val="clear" w:color="auto" w:fill="auto"/>
            <w:vAlign w:val="center"/>
          </w:tcPr>
          <w:p w14:paraId="2B001032">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税率</w:t>
            </w:r>
          </w:p>
        </w:tc>
        <w:tc>
          <w:tcPr>
            <w:tcW w:w="4345" w:type="pct"/>
            <w:gridSpan w:val="2"/>
            <w:shd w:val="clear" w:color="auto" w:fill="auto"/>
            <w:vAlign w:val="center"/>
          </w:tcPr>
          <w:p w14:paraId="3C7A0A7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一般计税方</w:t>
            </w:r>
            <w:r>
              <w:rPr>
                <w:rFonts w:hint="eastAsia" w:ascii="汉仪书宋一简" w:eastAsia="汉仪书宋一简"/>
                <w:color w:val="0000FF"/>
                <w:kern w:val="0"/>
                <w:sz w:val="20"/>
              </w:rPr>
              <w:t>法分为13%、9%和6%三档</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不同商品服务有差异</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rPr>
              <w:t>，</w:t>
            </w:r>
            <w:r>
              <w:rPr>
                <w:rFonts w:hint="eastAsia" w:ascii="汉仪书宋一简" w:eastAsia="汉仪书宋一简"/>
                <w:sz w:val="20"/>
                <w:shd w:val="clear" w:color="auto" w:fill="FFFFFF"/>
              </w:rPr>
              <w:t>应纳税额为</w:t>
            </w:r>
            <w:r>
              <w:rPr>
                <w:rFonts w:hint="eastAsia" w:ascii="汉仪书宋一简" w:eastAsia="汉仪书宋一简"/>
                <w:color w:val="0000FF"/>
                <w:sz w:val="20"/>
                <w:shd w:val="clear" w:color="auto" w:fill="FFFFFF"/>
              </w:rPr>
              <w:t>当期销项税额抵扣当期进项税额后的余额</w:t>
            </w:r>
            <w:r>
              <w:rPr>
                <w:rFonts w:hint="eastAsia" w:ascii="汉仪书宋一简" w:eastAsia="汉仪书宋一简"/>
                <w:kern w:val="0"/>
                <w:sz w:val="20"/>
              </w:rPr>
              <w:t>。出口货物、服务、无形资产，税率为0</w:t>
            </w:r>
          </w:p>
        </w:tc>
      </w:tr>
      <w:tr w14:paraId="0B3BE72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continue"/>
            <w:shd w:val="clear" w:color="auto" w:fill="auto"/>
            <w:vAlign w:val="center"/>
          </w:tcPr>
          <w:p w14:paraId="26A6B9BD">
            <w:pPr>
              <w:spacing w:before="31" w:beforeLines="10" w:after="31" w:afterLines="10" w:line="280" w:lineRule="exact"/>
              <w:ind w:firstLine="0" w:firstLineChars="0"/>
              <w:jc w:val="center"/>
              <w:rPr>
                <w:rFonts w:hint="eastAsia" w:ascii="汉仪中黑简" w:eastAsia="汉仪中黑简"/>
                <w:bCs/>
                <w:kern w:val="0"/>
                <w:sz w:val="20"/>
              </w:rPr>
            </w:pPr>
          </w:p>
        </w:tc>
        <w:tc>
          <w:tcPr>
            <w:tcW w:w="4345" w:type="pct"/>
            <w:gridSpan w:val="2"/>
            <w:shd w:val="clear" w:color="auto" w:fill="auto"/>
            <w:vAlign w:val="center"/>
          </w:tcPr>
          <w:p w14:paraId="65305BB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sz w:val="20"/>
                <w:shd w:val="clear" w:color="auto" w:fill="FFFFFF"/>
              </w:rPr>
              <w:t>适用简易计税方法计算缴纳增值税的征收率为3%，应纳税额为当期销售额乘以征收率。小规模纳税人可以采用简易计税方法，小规模纳税人会计核算健全，能够提供准确税务资料的，可以向主管税务机关办理登记，采用一般计税方法</w:t>
            </w:r>
          </w:p>
        </w:tc>
      </w:tr>
      <w:tr w14:paraId="7F0C819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shd w:val="clear" w:color="auto" w:fill="auto"/>
            <w:vAlign w:val="center"/>
          </w:tcPr>
          <w:p w14:paraId="141EC0C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应税交易</w:t>
            </w:r>
          </w:p>
        </w:tc>
        <w:tc>
          <w:tcPr>
            <w:tcW w:w="2172" w:type="pct"/>
            <w:shd w:val="clear" w:color="auto" w:fill="auto"/>
            <w:vAlign w:val="center"/>
          </w:tcPr>
          <w:p w14:paraId="7AD7037C">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视同应税交易：（1）单位和个体工商户将自产或者委托加工的货物用于集体福利或者个人消费；（2）单位和个体工商户无偿转让货物；（3）单位和个人无偿转让无形资产、不动产或者金融商品</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应当交税</w:t>
            </w:r>
            <w:r>
              <w:rPr>
                <w:rFonts w:hint="eastAsia" w:ascii="汉仪书宋一简" w:eastAsia="汉仪书宋一简"/>
                <w:color w:val="0000FF"/>
                <w:kern w:val="0"/>
                <w:sz w:val="20"/>
                <w:lang w:eastAsia="zh-CN"/>
              </w:rPr>
              <w:t>）</w:t>
            </w:r>
          </w:p>
        </w:tc>
        <w:tc>
          <w:tcPr>
            <w:tcW w:w="2173" w:type="pct"/>
            <w:shd w:val="clear" w:color="auto" w:fill="auto"/>
            <w:vAlign w:val="center"/>
          </w:tcPr>
          <w:p w14:paraId="10FE18D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不属于应税交易：（1）员工为受雇单位或者雇主提供取得工资、薪金的服务；（2）收取行政事业性收费、政府性基金；（3）依照法律规定被征收、征用而取得补偿；（4）取得存款利息收入</w:t>
            </w:r>
          </w:p>
        </w:tc>
      </w:tr>
      <w:tr w14:paraId="6549FE2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restart"/>
            <w:shd w:val="clear" w:color="auto" w:fill="auto"/>
            <w:vAlign w:val="center"/>
          </w:tcPr>
          <w:p w14:paraId="1DD47D9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税收优惠</w:t>
            </w:r>
          </w:p>
        </w:tc>
        <w:tc>
          <w:tcPr>
            <w:tcW w:w="4345" w:type="pct"/>
            <w:gridSpan w:val="2"/>
            <w:shd w:val="clear" w:color="auto" w:fill="auto"/>
            <w:vAlign w:val="center"/>
          </w:tcPr>
          <w:p w14:paraId="7BE397F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小规模纳税人发生应税交易，销售额未达到起征点的，免征增值税</w:t>
            </w:r>
          </w:p>
        </w:tc>
      </w:tr>
      <w:tr w14:paraId="5914F2D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continue"/>
            <w:shd w:val="clear" w:color="auto" w:fill="auto"/>
            <w:vAlign w:val="center"/>
          </w:tcPr>
          <w:p w14:paraId="62A8F291">
            <w:pPr>
              <w:spacing w:before="31" w:beforeLines="10" w:after="31" w:afterLines="10" w:line="280" w:lineRule="exact"/>
              <w:ind w:firstLine="0" w:firstLineChars="0"/>
              <w:jc w:val="center"/>
              <w:rPr>
                <w:rFonts w:hint="eastAsia" w:ascii="汉仪中黑简" w:eastAsia="汉仪中黑简"/>
                <w:bCs/>
                <w:kern w:val="0"/>
                <w:sz w:val="20"/>
              </w:rPr>
            </w:pPr>
          </w:p>
        </w:tc>
        <w:tc>
          <w:tcPr>
            <w:tcW w:w="4345" w:type="pct"/>
            <w:gridSpan w:val="2"/>
            <w:shd w:val="clear" w:color="auto" w:fill="auto"/>
            <w:vAlign w:val="center"/>
          </w:tcPr>
          <w:p w14:paraId="066E85F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下列项目免征增值税：（1）农业生产者销售的自产农产品，农业机耕、排灌、病虫害防治、植物保护、农牧保险以及相关技术培训业务，家禽、牲畜、水生动物的配种和疾病防治；（2）医疗机构提供的医疗服务；（3）古旧图书，自然人销售的自己使用过的物品；（4）直接用于科学研究、科学试验和教学的进口仪器、设备；（5）外国政府、国际组织无偿援助的进口物资和设备；（6）由残疾人的组织直接进口供残疾人专用的物品，残疾人个人提供的服务；（7）托儿所、幼儿园、养老机构、残疾人服务机构提供的育养服务，婚姻介绍服务，殡葬服务；（8）学校提供的学历教育服务，学生勤工俭学提供的服务；（9）纪念馆、博物馆、文化馆、文物保护单位管理机构、美术馆、展览馆、书画院、图书馆举办文化活动的门票收入，宗教场所举办文化、宗教活动的门票收入</w:t>
            </w:r>
          </w:p>
        </w:tc>
      </w:tr>
      <w:tr w14:paraId="5823FDF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restart"/>
            <w:shd w:val="clear" w:color="auto" w:fill="auto"/>
            <w:vAlign w:val="center"/>
          </w:tcPr>
          <w:p w14:paraId="13B449B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征收管理</w:t>
            </w:r>
          </w:p>
        </w:tc>
        <w:tc>
          <w:tcPr>
            <w:tcW w:w="4345" w:type="pct"/>
            <w:gridSpan w:val="2"/>
            <w:shd w:val="clear" w:color="auto" w:fill="auto"/>
            <w:vAlign w:val="center"/>
          </w:tcPr>
          <w:p w14:paraId="067BD84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增值税纳税义务发生时间，按照下列规定确定：（1）发生应税交易，纳税义务发生时间为收讫销售款项或者取得销售款项索取凭据的当日；先开具发票的，为开具发票的当日。（2）发生视同应税交易，纳税义务发生时间为完成视同应税交易的当日。（3）进口货物，纳税义务发生时间为货物报关进口的当日</w:t>
            </w:r>
          </w:p>
        </w:tc>
      </w:tr>
      <w:tr w14:paraId="671B299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54" w:type="pct"/>
            <w:vMerge w:val="continue"/>
            <w:shd w:val="clear" w:color="auto" w:fill="auto"/>
            <w:vAlign w:val="center"/>
          </w:tcPr>
          <w:p w14:paraId="77D3E4F1">
            <w:pPr>
              <w:spacing w:before="31" w:beforeLines="10" w:after="62" w:afterLines="20" w:line="280" w:lineRule="exact"/>
              <w:ind w:firstLine="0" w:firstLineChars="0"/>
              <w:rPr>
                <w:rFonts w:hint="eastAsia" w:ascii="汉仪书宋一简" w:eastAsia="汉仪书宋一简"/>
                <w:sz w:val="20"/>
              </w:rPr>
            </w:pPr>
          </w:p>
        </w:tc>
        <w:tc>
          <w:tcPr>
            <w:tcW w:w="4345" w:type="pct"/>
            <w:gridSpan w:val="2"/>
            <w:shd w:val="clear" w:color="auto" w:fill="auto"/>
            <w:vAlign w:val="center"/>
          </w:tcPr>
          <w:p w14:paraId="1702F26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增值税纳税地点，按照下列规定确定：（1）有固定生产经营场所的纳税人，应当向其机构所在地或者居住地主管税务机关申报纳税。总机构和分支机构不在同一县（市）的，应当分别向各自所在地的主管税务机关申报纳税；经省级以上财政、税务主管部门批准，可以由总机构汇总向总机构所在地的主管税务机关申报纳税。（2）无固定生产经营场所的纳税人，应当向其应税交易发生地主管税务机关申报纳税；未申报纳税的，由其机构所在地或者居住地主管税务机关补征税款。（3）自然人销售或者租赁不动产，转让自然资源使用权，提供建筑服务，应当向不动产所在地、自然资源所在地、建筑服务发生地主管税务机关申报纳税。（4）进口货物的纳税人，应当按照海关规定的地点申报纳税。（5）扣缴义务人，应当向其机构所在地或者居住地主管税务机关申报缴纳扣缴的税款；机构所在地或者居住地在境外的，应当向应税交易发生地主管税务机关申报缴纳扣缴的税款</w:t>
            </w:r>
          </w:p>
        </w:tc>
      </w:tr>
    </w:tbl>
    <w:p w14:paraId="1818936D">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7787D7C9">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01DC8E33">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四、其他税种</w:t>
      </w:r>
    </w:p>
    <w:p w14:paraId="695295C4">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0547E697">
      <w:pPr>
        <w:pStyle w:val="4"/>
        <w:ind w:firstLine="288" w:firstLineChars="120"/>
        <w:jc w:val="both"/>
        <w:rPr>
          <w:rFonts w:hint="eastAsia"/>
        </w:rPr>
      </w:pPr>
      <w:r>
        <w:rPr>
          <w:rFonts w:hint="eastAsia"/>
        </w:rPr>
        <w:t>（一）车船税</w:t>
      </w:r>
    </w:p>
    <w:p w14:paraId="177312F7">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266"/>
        <w:gridCol w:w="7239"/>
      </w:tblGrid>
      <w:tr w14:paraId="1647C1D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3265DAD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纳税人</w:t>
            </w:r>
          </w:p>
        </w:tc>
        <w:tc>
          <w:tcPr>
            <w:tcW w:w="4256" w:type="pct"/>
            <w:shd w:val="clear" w:color="auto" w:fill="auto"/>
            <w:vAlign w:val="center"/>
          </w:tcPr>
          <w:p w14:paraId="08894C7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中国境内车船的所有人或者管理人</w:t>
            </w:r>
          </w:p>
        </w:tc>
      </w:tr>
      <w:tr w14:paraId="5D307C7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59E5462A">
            <w:pPr>
              <w:spacing w:before="31" w:beforeLines="10" w:after="31" w:afterLines="10" w:line="280" w:lineRule="exact"/>
              <w:ind w:firstLine="0" w:firstLineChars="0"/>
              <w:jc w:val="center"/>
              <w:rPr>
                <w:rFonts w:hint="eastAsia" w:ascii="汉仪中黑简" w:eastAsia="汉仪中黑简"/>
                <w:bCs/>
                <w:kern w:val="0"/>
                <w:sz w:val="20"/>
                <w:lang w:eastAsia="zh-CN"/>
              </w:rPr>
            </w:pPr>
            <w:r>
              <w:rPr>
                <w:rFonts w:hint="eastAsia" w:ascii="汉仪中黑简" w:eastAsia="汉仪中黑简"/>
                <w:bCs/>
                <w:color w:val="0000FF"/>
                <w:kern w:val="0"/>
                <w:sz w:val="20"/>
              </w:rPr>
              <w:t>当然免税</w:t>
            </w:r>
            <w:r>
              <w:rPr>
                <w:rFonts w:hint="eastAsia" w:ascii="汉仪中黑简" w:eastAsia="汉仪中黑简"/>
                <w:bCs/>
                <w:color w:val="0000FF"/>
                <w:kern w:val="0"/>
                <w:sz w:val="20"/>
                <w:lang w:eastAsia="zh-CN"/>
              </w:rPr>
              <w:t>（</w:t>
            </w:r>
            <w:r>
              <w:rPr>
                <w:rFonts w:hint="eastAsia" w:ascii="汉仪中黑简" w:eastAsia="汉仪中黑简"/>
                <w:bCs/>
                <w:color w:val="0000FF"/>
                <w:kern w:val="0"/>
                <w:sz w:val="20"/>
                <w:lang w:val="en-US" w:eastAsia="zh-CN"/>
              </w:rPr>
              <w:t>应当</w:t>
            </w:r>
            <w:r>
              <w:rPr>
                <w:rFonts w:hint="eastAsia" w:ascii="汉仪中黑简" w:eastAsia="汉仪中黑简"/>
                <w:bCs/>
                <w:color w:val="0000FF"/>
                <w:kern w:val="0"/>
                <w:sz w:val="20"/>
                <w:lang w:eastAsia="zh-CN"/>
              </w:rPr>
              <w:t>）</w:t>
            </w:r>
          </w:p>
        </w:tc>
        <w:tc>
          <w:tcPr>
            <w:tcW w:w="4256" w:type="pct"/>
            <w:shd w:val="clear" w:color="auto" w:fill="auto"/>
            <w:vAlign w:val="center"/>
          </w:tcPr>
          <w:p w14:paraId="4BC199A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（1）捕捞、养殖渔船；（2）军队、</w:t>
            </w:r>
            <w:r>
              <w:fldChar w:fldCharType="begin"/>
            </w:r>
            <w:r>
              <w:instrText xml:space="preserve"> HYPERLINK "http://baike.baidu.com/view/115143.htm" \t "_blank" </w:instrText>
            </w:r>
            <w:r>
              <w:fldChar w:fldCharType="separate"/>
            </w:r>
            <w:r>
              <w:rPr>
                <w:rFonts w:hint="eastAsia" w:ascii="汉仪书宋一简" w:eastAsia="汉仪书宋一简"/>
                <w:kern w:val="0"/>
                <w:sz w:val="20"/>
              </w:rPr>
              <w:t>武装警察部队</w:t>
            </w:r>
            <w:r>
              <w:rPr>
                <w:rFonts w:hint="eastAsia" w:ascii="汉仪书宋一简" w:eastAsia="汉仪书宋一简"/>
                <w:kern w:val="0"/>
                <w:sz w:val="20"/>
              </w:rPr>
              <w:fldChar w:fldCharType="end"/>
            </w:r>
            <w:r>
              <w:rPr>
                <w:rFonts w:hint="eastAsia" w:ascii="汉仪书宋一简" w:eastAsia="汉仪书宋一简"/>
                <w:kern w:val="0"/>
                <w:sz w:val="20"/>
              </w:rPr>
              <w:t>专用的车船；（3）警用车船；（4）悬挂应急救援专用号牌的国家综合性消防救援车辆和国家综合性消防救援专用船舶；（5）依法应当予以免税的外国驻华使领馆、国际组织驻华代表机构及其有关人员的车船</w:t>
            </w:r>
          </w:p>
        </w:tc>
      </w:tr>
      <w:tr w14:paraId="28CC3A0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restart"/>
            <w:shd w:val="clear" w:color="auto" w:fill="auto"/>
            <w:vAlign w:val="center"/>
          </w:tcPr>
          <w:p w14:paraId="282421DF">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color w:val="0000FF"/>
                <w:kern w:val="0"/>
                <w:sz w:val="20"/>
              </w:rPr>
              <w:t>可以减免</w:t>
            </w:r>
          </w:p>
        </w:tc>
        <w:tc>
          <w:tcPr>
            <w:tcW w:w="4256" w:type="pct"/>
            <w:shd w:val="clear" w:color="auto" w:fill="auto"/>
            <w:vAlign w:val="center"/>
          </w:tcPr>
          <w:p w14:paraId="0D3441C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节约能源、使用新能源的车船；受严重自然灾害影响纳税困难以及有其他特殊原因确需减税、免税的。具体办法由国务院规定，并报全国人民代表大会常务委员会备案</w:t>
            </w:r>
          </w:p>
        </w:tc>
      </w:tr>
      <w:tr w14:paraId="001BF04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3DD9C926">
            <w:pPr>
              <w:spacing w:before="31" w:beforeLines="10" w:after="31" w:afterLines="1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670684A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省级政府根据当地实际情况，可以对公共交通车船，农村居民拥有并主要在农村地区使用的摩托车、三轮汽车和</w:t>
            </w:r>
            <w:r>
              <w:fldChar w:fldCharType="begin"/>
            </w:r>
            <w:r>
              <w:instrText xml:space="preserve"> HYPERLINK "http://baike.baidu.com/view/1455282.htm" \t "_blank" </w:instrText>
            </w:r>
            <w:r>
              <w:fldChar w:fldCharType="separate"/>
            </w:r>
            <w:r>
              <w:rPr>
                <w:rFonts w:hint="eastAsia" w:ascii="汉仪书宋一简" w:eastAsia="汉仪书宋一简"/>
                <w:kern w:val="0"/>
                <w:sz w:val="20"/>
              </w:rPr>
              <w:t>低速载货汽车</w:t>
            </w:r>
            <w:r>
              <w:rPr>
                <w:rFonts w:hint="eastAsia" w:ascii="汉仪书宋一简" w:eastAsia="汉仪书宋一简"/>
                <w:kern w:val="0"/>
                <w:sz w:val="20"/>
              </w:rPr>
              <w:fldChar w:fldCharType="end"/>
            </w:r>
            <w:r>
              <w:rPr>
                <w:rFonts w:hint="eastAsia" w:ascii="汉仪书宋一简" w:eastAsia="汉仪书宋一简"/>
                <w:kern w:val="0"/>
                <w:sz w:val="20"/>
              </w:rPr>
              <w:t>定期减征或者免征车船税</w:t>
            </w:r>
          </w:p>
        </w:tc>
      </w:tr>
      <w:tr w14:paraId="1B7C3BC1">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4ADEC0EB">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征收管理</w:t>
            </w:r>
          </w:p>
        </w:tc>
        <w:tc>
          <w:tcPr>
            <w:tcW w:w="4256" w:type="pct"/>
            <w:shd w:val="clear" w:color="auto" w:fill="auto"/>
            <w:vAlign w:val="center"/>
          </w:tcPr>
          <w:p w14:paraId="5E9BD66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车船税为定额税、财产税。车船税纳税义务发生时间为取得车船所有权或者管理权的当月，但是按年申报缴纳，由交强险公司代扣代缴</w:t>
            </w:r>
          </w:p>
        </w:tc>
      </w:tr>
    </w:tbl>
    <w:p w14:paraId="2B6B84E1">
      <w:pPr>
        <w:tabs>
          <w:tab w:val="clear" w:pos="420"/>
        </w:tabs>
        <w:autoSpaceDE w:val="0"/>
        <w:autoSpaceDN w:val="0"/>
        <w:adjustRightInd w:val="0"/>
        <w:ind w:firstLine="425" w:firstLineChars="0"/>
        <w:textAlignment w:val="center"/>
        <w:rPr>
          <w:rFonts w:hint="eastAsia"/>
        </w:rPr>
      </w:pPr>
    </w:p>
    <w:p w14:paraId="080D1FE7">
      <w:pPr>
        <w:pStyle w:val="4"/>
        <w:ind w:firstLine="288" w:firstLineChars="120"/>
        <w:jc w:val="both"/>
        <w:rPr>
          <w:rFonts w:hint="eastAsia"/>
        </w:rPr>
      </w:pPr>
      <w:r>
        <w:rPr>
          <w:rFonts w:hint="eastAsia"/>
        </w:rPr>
        <w:t>（二）消费税</w:t>
      </w:r>
    </w:p>
    <w:p w14:paraId="575B7CFB">
      <w:pPr>
        <w:tabs>
          <w:tab w:val="clear" w:pos="420"/>
        </w:tabs>
        <w:autoSpaceDE w:val="0"/>
        <w:autoSpaceDN w:val="0"/>
        <w:adjustRightInd w:val="0"/>
        <w:ind w:firstLine="425" w:firstLineChars="0"/>
        <w:textAlignment w:val="center"/>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84"/>
        <w:gridCol w:w="7321"/>
      </w:tblGrid>
      <w:tr w14:paraId="4625DB6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PrEx>
        <w:trPr>
          <w:trHeight w:val="20" w:hRule="atLeast"/>
          <w:jc w:val="center"/>
        </w:trPr>
        <w:tc>
          <w:tcPr>
            <w:tcW w:w="696" w:type="pct"/>
            <w:shd w:val="clear" w:color="auto" w:fill="auto"/>
            <w:vAlign w:val="center"/>
          </w:tcPr>
          <w:p w14:paraId="7A8D8AA6">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纳税人</w:t>
            </w:r>
          </w:p>
        </w:tc>
        <w:tc>
          <w:tcPr>
            <w:tcW w:w="4303" w:type="pct"/>
            <w:shd w:val="clear" w:color="auto" w:fill="auto"/>
            <w:vAlign w:val="center"/>
          </w:tcPr>
          <w:p w14:paraId="230D092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境内生产、委托加工和进口应税消费品的单位和个人，以及国务院确定的销售应税消费品的其他单位和个人</w:t>
            </w:r>
          </w:p>
        </w:tc>
      </w:tr>
      <w:tr w14:paraId="092088A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96" w:type="pct"/>
            <w:shd w:val="clear" w:color="auto" w:fill="auto"/>
            <w:vAlign w:val="center"/>
          </w:tcPr>
          <w:p w14:paraId="355E4F37">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征税对象</w:t>
            </w:r>
          </w:p>
        </w:tc>
        <w:tc>
          <w:tcPr>
            <w:tcW w:w="4303" w:type="pct"/>
            <w:shd w:val="clear" w:color="auto" w:fill="auto"/>
            <w:vAlign w:val="center"/>
          </w:tcPr>
          <w:p w14:paraId="7E11BA2F">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应税消费品，共分为14类，如烟、酒、化妆品、鞭炮焰火、金银首饰、高档手表、成品油、小汽车、游艇、实木地板、木制一次性筷子等。</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高档消费品</w:t>
            </w:r>
            <w:r>
              <w:rPr>
                <w:rFonts w:hint="eastAsia" w:ascii="汉仪书宋一简" w:eastAsia="汉仪书宋一简"/>
                <w:kern w:val="0"/>
                <w:sz w:val="20"/>
                <w:lang w:eastAsia="zh-CN"/>
              </w:rPr>
              <w:t>）</w:t>
            </w:r>
            <w:r>
              <w:rPr>
                <w:rFonts w:hint="eastAsia" w:ascii="汉仪书宋一简" w:eastAsia="汉仪书宋一简"/>
                <w:kern w:val="0"/>
                <w:sz w:val="20"/>
              </w:rPr>
              <w:t>以销售额为税基从价定率征收，或者以销售数量为依据从量定额征收。</w:t>
            </w:r>
          </w:p>
        </w:tc>
      </w:tr>
      <w:tr w14:paraId="693A9E3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96" w:type="pct"/>
            <w:shd w:val="clear" w:color="auto" w:fill="auto"/>
            <w:vAlign w:val="center"/>
          </w:tcPr>
          <w:p w14:paraId="4028020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减免</w:t>
            </w:r>
          </w:p>
        </w:tc>
        <w:tc>
          <w:tcPr>
            <w:tcW w:w="4303" w:type="pct"/>
            <w:shd w:val="clear" w:color="auto" w:fill="auto"/>
            <w:vAlign w:val="center"/>
          </w:tcPr>
          <w:p w14:paraId="59E2B4B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对纳税人出口应税消费品，免征消费税；国务院另有规定的除外。</w:t>
            </w:r>
          </w:p>
        </w:tc>
      </w:tr>
    </w:tbl>
    <w:p w14:paraId="23A5F81B">
      <w:pPr>
        <w:rPr>
          <w:rFonts w:hint="eastAsia" w:ascii="汉仪书宋二简" w:eastAsia="汉仪书宋二简"/>
          <w:kern w:val="0"/>
          <w:lang w:eastAsia="zh-CN"/>
        </w:rPr>
      </w:pPr>
    </w:p>
    <w:p w14:paraId="312BD783">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五、税收征收管理</w:t>
      </w:r>
    </w:p>
    <w:p w14:paraId="4C96C322">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79F77CCD">
      <w:pPr>
        <w:pStyle w:val="4"/>
        <w:ind w:firstLine="288" w:firstLineChars="120"/>
        <w:jc w:val="both"/>
        <w:rPr>
          <w:rFonts w:hint="eastAsia"/>
        </w:rPr>
      </w:pPr>
      <w:r>
        <w:rPr>
          <w:rFonts w:hint="eastAsia"/>
        </w:rPr>
        <w:t>（一）税款征收</w:t>
      </w:r>
    </w:p>
    <w:p w14:paraId="05E1453D">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53"/>
        <w:gridCol w:w="7352"/>
      </w:tblGrid>
      <w:tr w14:paraId="4ADCA87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shd w:val="clear" w:color="auto" w:fill="auto"/>
            <w:vAlign w:val="center"/>
          </w:tcPr>
          <w:p w14:paraId="267BB7D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扣缴</w:t>
            </w:r>
          </w:p>
          <w:p w14:paraId="734968A2">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义务人</w:t>
            </w:r>
          </w:p>
        </w:tc>
        <w:tc>
          <w:tcPr>
            <w:tcW w:w="4321" w:type="pct"/>
            <w:shd w:val="clear" w:color="auto" w:fill="auto"/>
            <w:vAlign w:val="center"/>
          </w:tcPr>
          <w:p w14:paraId="623FF66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扣缴义务人依照法律、行政法规的规定履行代扣、代收税款的义务。（2）对法律、行政法规没有规定负有代扣、代收税款义务的单位和个人，税务机关不得要求其履行代扣、代收税款义务。（3）扣缴义务人依法履行代扣、代收税款义务时，纳税人不得拒绝。纳税人拒绝的，扣缴义务人应当及时报告税务机关处理。（4）税务机关按照规定付给扣缴义务人代扣、代收手续费</w:t>
            </w:r>
          </w:p>
        </w:tc>
      </w:tr>
      <w:tr w14:paraId="5753132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restart"/>
            <w:shd w:val="clear" w:color="auto" w:fill="auto"/>
            <w:vAlign w:val="center"/>
          </w:tcPr>
          <w:p w14:paraId="0E375E95">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征纳期限</w:t>
            </w:r>
          </w:p>
        </w:tc>
        <w:tc>
          <w:tcPr>
            <w:tcW w:w="4321" w:type="pct"/>
            <w:shd w:val="clear" w:color="auto" w:fill="auto"/>
            <w:vAlign w:val="center"/>
          </w:tcPr>
          <w:p w14:paraId="7D3437F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少缴税款：（1）因税务机关的责任，致使纳税人、扣缴义务人未缴或者少缴税款的，税务机关在3年内可以要求纳税人、扣缴义务人补缴税款，但是不得加收滞纳金。（2）因纳税人、扣缴义务人计算错误等失误，未缴或者少缴税款的，税务机关在3年内可以追征税款、滞纳金；累计数额在10万元以上的，追征期可以延长到5年。（3）对偷税、抗税、骗税的，税务机关追征其未缴或者少缴的税款、滞纳金或者所骗取的税款，不受期限的限制</w:t>
            </w:r>
          </w:p>
        </w:tc>
      </w:tr>
      <w:tr w14:paraId="71DB0029">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continue"/>
            <w:shd w:val="clear" w:color="auto" w:fill="auto"/>
            <w:vAlign w:val="center"/>
          </w:tcPr>
          <w:p w14:paraId="2911DF7C">
            <w:pPr>
              <w:spacing w:before="31" w:beforeLines="10" w:after="31" w:afterLines="10" w:line="280" w:lineRule="exact"/>
              <w:ind w:firstLine="0" w:firstLineChars="0"/>
              <w:jc w:val="center"/>
              <w:rPr>
                <w:rFonts w:hint="eastAsia" w:ascii="汉仪中黑简" w:eastAsia="汉仪中黑简"/>
                <w:bCs/>
                <w:kern w:val="0"/>
                <w:sz w:val="20"/>
              </w:rPr>
            </w:pPr>
          </w:p>
        </w:tc>
        <w:tc>
          <w:tcPr>
            <w:tcW w:w="4321" w:type="pct"/>
            <w:shd w:val="clear" w:color="auto" w:fill="auto"/>
            <w:vAlign w:val="center"/>
          </w:tcPr>
          <w:p w14:paraId="2DB7739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多缴税款：税务机关发现后应当立即退还；纳税人自结算缴纳税款之日起3年内发现的，可以向税务机关要求退还多缴的税款并加算银行同期存款利息</w:t>
            </w:r>
          </w:p>
        </w:tc>
      </w:tr>
      <w:tr w14:paraId="744FFAD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PrEx>
        <w:trPr>
          <w:trHeight w:val="20" w:hRule="atLeast"/>
          <w:jc w:val="center"/>
        </w:trPr>
        <w:tc>
          <w:tcPr>
            <w:tcW w:w="678" w:type="pct"/>
            <w:vMerge w:val="restart"/>
            <w:shd w:val="clear" w:color="auto" w:fill="auto"/>
            <w:vAlign w:val="center"/>
          </w:tcPr>
          <w:p w14:paraId="79A21296">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核定</w:t>
            </w:r>
          </w:p>
          <w:p w14:paraId="59B001B2">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应纳税额</w:t>
            </w:r>
          </w:p>
        </w:tc>
        <w:tc>
          <w:tcPr>
            <w:tcW w:w="4321" w:type="pct"/>
            <w:shd w:val="clear" w:color="auto" w:fill="auto"/>
            <w:vAlign w:val="center"/>
          </w:tcPr>
          <w:p w14:paraId="503DF79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纳税人有下列情形之一的，税务机关有权</w:t>
            </w:r>
            <w:r>
              <w:rPr>
                <w:rFonts w:hint="eastAsia" w:ascii="汉仪书宋一简" w:eastAsia="汉仪书宋一简"/>
                <w:color w:val="0000FF"/>
                <w:kern w:val="0"/>
                <w:sz w:val="20"/>
              </w:rPr>
              <w:t>核定</w:t>
            </w:r>
            <w:r>
              <w:rPr>
                <w:rFonts w:hint="eastAsia" w:ascii="汉仪书宋一简" w:eastAsia="汉仪书宋一简"/>
                <w:kern w:val="0"/>
                <w:sz w:val="20"/>
              </w:rPr>
              <w:t>其应纳税额：（1）依照法律、行政法规的规定可以不设置账簿的；（2）依照法律、行政法规的规定应当设置账簿但未设置的；（3）擅自销毁账簿或者拒不提供纳税资料的；（4）虽设置账簿，但账目混乱或者成本资料、收入凭证、费用凭证残缺不全，难以查账的；（5）发生纳税义务，未按照规定的期限办理纳税申报，经税务机关责令限期申报，逾期仍不申报的；（6）纳税人申报的计税依据明显偏低，又无正当理由的</w:t>
            </w:r>
          </w:p>
        </w:tc>
      </w:tr>
      <w:tr w14:paraId="426848C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continue"/>
            <w:shd w:val="clear" w:color="auto" w:fill="auto"/>
            <w:vAlign w:val="center"/>
          </w:tcPr>
          <w:p w14:paraId="3B5844DB">
            <w:pPr>
              <w:spacing w:before="31" w:beforeLines="10" w:after="31" w:afterLines="10" w:line="280" w:lineRule="exact"/>
              <w:ind w:firstLine="0" w:firstLineChars="0"/>
              <w:jc w:val="center"/>
              <w:rPr>
                <w:rFonts w:hint="eastAsia" w:ascii="汉仪中黑简" w:eastAsia="汉仪中黑简"/>
                <w:bCs/>
                <w:kern w:val="0"/>
                <w:sz w:val="20"/>
              </w:rPr>
            </w:pPr>
          </w:p>
        </w:tc>
        <w:tc>
          <w:tcPr>
            <w:tcW w:w="4321" w:type="pct"/>
            <w:shd w:val="clear" w:color="auto" w:fill="auto"/>
            <w:vAlign w:val="center"/>
          </w:tcPr>
          <w:p w14:paraId="44566B89">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核定方法为下列任何一种方法或同时采用两种以上方法核定其应纳税额：（1）参照当地同类行业或者类似行业中经营规模和收入水平相近的纳税人的税负水平核定；（2）按照营业收入或者成本加合理的费用和利润的方法核定；（3）按照耗用的原材料、燃料、动力等推算或者测算核定；（4）按照其他合理方法核定。纳税人有异议的，应当提供相关证据，经税务机关认定后，调整应纳税额</w:t>
            </w:r>
          </w:p>
        </w:tc>
      </w:tr>
      <w:tr w14:paraId="1D6B854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restart"/>
            <w:shd w:val="clear" w:color="auto" w:fill="auto"/>
            <w:vAlign w:val="center"/>
          </w:tcPr>
          <w:p w14:paraId="35BCC440">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w:t>
            </w:r>
          </w:p>
          <w:p w14:paraId="25C18971">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优先权</w:t>
            </w:r>
          </w:p>
        </w:tc>
        <w:tc>
          <w:tcPr>
            <w:tcW w:w="4321" w:type="pct"/>
            <w:shd w:val="clear" w:color="auto" w:fill="auto"/>
            <w:vAlign w:val="center"/>
          </w:tcPr>
          <w:p w14:paraId="0CC284C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税收优先于</w:t>
            </w:r>
            <w:r>
              <w:rPr>
                <w:rFonts w:hint="eastAsia" w:ascii="汉仪书宋一简" w:eastAsia="汉仪书宋一简"/>
                <w:color w:val="0000FF"/>
                <w:kern w:val="0"/>
                <w:sz w:val="20"/>
              </w:rPr>
              <w:t>无担保债权，法</w:t>
            </w:r>
            <w:r>
              <w:rPr>
                <w:rFonts w:hint="eastAsia" w:ascii="汉仪书宋一简" w:eastAsia="汉仪书宋一简"/>
                <w:kern w:val="0"/>
                <w:sz w:val="20"/>
              </w:rPr>
              <w:t>律另有规定的除外</w:t>
            </w:r>
          </w:p>
        </w:tc>
      </w:tr>
      <w:tr w14:paraId="381A3ED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continue"/>
            <w:shd w:val="clear" w:color="auto" w:fill="auto"/>
            <w:vAlign w:val="center"/>
          </w:tcPr>
          <w:p w14:paraId="40E4D23B">
            <w:pPr>
              <w:spacing w:before="31" w:beforeLines="10" w:after="62" w:afterLines="20" w:line="280" w:lineRule="exact"/>
              <w:ind w:firstLine="0" w:firstLineChars="0"/>
              <w:rPr>
                <w:rFonts w:hint="eastAsia" w:ascii="汉仪书宋一简" w:eastAsia="汉仪书宋一简"/>
                <w:b/>
                <w:kern w:val="0"/>
                <w:sz w:val="20"/>
              </w:rPr>
            </w:pPr>
          </w:p>
        </w:tc>
        <w:tc>
          <w:tcPr>
            <w:tcW w:w="4321" w:type="pct"/>
            <w:shd w:val="clear" w:color="auto" w:fill="auto"/>
            <w:vAlign w:val="center"/>
          </w:tcPr>
          <w:p w14:paraId="2561E851">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纳税人欠缴的税款发生在纳税人以其财产设定抵押、质押或者纳税人的财产被留置之前的，税收应当先于抵押权、质权、留置权执行</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根据时间</w:t>
            </w:r>
            <w:r>
              <w:rPr>
                <w:rFonts w:hint="eastAsia" w:ascii="汉仪书宋一简" w:eastAsia="汉仪书宋一简"/>
                <w:color w:val="0000FF"/>
                <w:kern w:val="0"/>
                <w:sz w:val="20"/>
                <w:lang w:eastAsia="zh-CN"/>
              </w:rPr>
              <w:t>）</w:t>
            </w:r>
          </w:p>
        </w:tc>
      </w:tr>
      <w:tr w14:paraId="2036C47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vMerge w:val="continue"/>
            <w:shd w:val="clear" w:color="auto" w:fill="auto"/>
            <w:vAlign w:val="center"/>
          </w:tcPr>
          <w:p w14:paraId="61E8DE7F">
            <w:pPr>
              <w:spacing w:before="31" w:beforeLines="10" w:after="62" w:afterLines="20" w:line="280" w:lineRule="exact"/>
              <w:ind w:firstLine="0" w:firstLineChars="0"/>
              <w:rPr>
                <w:rFonts w:hint="eastAsia" w:ascii="汉仪书宋一简" w:eastAsia="汉仪书宋一简"/>
                <w:b/>
                <w:kern w:val="0"/>
                <w:sz w:val="20"/>
              </w:rPr>
            </w:pPr>
          </w:p>
        </w:tc>
        <w:tc>
          <w:tcPr>
            <w:tcW w:w="4321" w:type="pct"/>
            <w:shd w:val="clear" w:color="auto" w:fill="auto"/>
            <w:vAlign w:val="center"/>
          </w:tcPr>
          <w:p w14:paraId="3DAC90A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税收优先于罚款、没收违法所得</w:t>
            </w:r>
          </w:p>
        </w:tc>
      </w:tr>
      <w:tr w14:paraId="52067E9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shd w:val="clear" w:color="auto" w:fill="auto"/>
            <w:vAlign w:val="center"/>
          </w:tcPr>
          <w:p w14:paraId="701CDD7A">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税收代位权撤销权</w:t>
            </w:r>
          </w:p>
        </w:tc>
        <w:tc>
          <w:tcPr>
            <w:tcW w:w="4321" w:type="pct"/>
            <w:shd w:val="clear" w:color="auto" w:fill="auto"/>
            <w:vAlign w:val="center"/>
          </w:tcPr>
          <w:p w14:paraId="1E698B02">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欠缴税款的纳税人因怠于行使到期债权，或者放弃到期债权，或者无偿转让财产，或者以明显不合理的低价转让财产而受让人知道该情形，对国家税收造成损害的，税务机关可以依照民法的规定行使代位权、撤销权</w:t>
            </w:r>
            <w:r>
              <w:rPr>
                <w:rFonts w:hint="eastAsia" w:ascii="汉仪书宋一简" w:eastAsia="汉仪书宋一简"/>
                <w:kern w:val="0"/>
                <w:sz w:val="20"/>
                <w:lang w:eastAsia="zh-CN"/>
              </w:rPr>
              <w:t>（</w:t>
            </w:r>
            <w:r>
              <w:rPr>
                <w:rFonts w:hint="eastAsia" w:ascii="汉仪书宋一简" w:eastAsia="汉仪书宋一简"/>
                <w:color w:val="0000FF"/>
                <w:kern w:val="0"/>
                <w:sz w:val="20"/>
                <w:lang w:val="en-US" w:eastAsia="zh-CN"/>
              </w:rPr>
              <w:t>民事诉讼，并非行政诉讼</w:t>
            </w:r>
            <w:r>
              <w:rPr>
                <w:rFonts w:hint="eastAsia" w:ascii="汉仪书宋一简" w:eastAsia="汉仪书宋一简"/>
                <w:kern w:val="0"/>
                <w:sz w:val="20"/>
                <w:lang w:eastAsia="zh-CN"/>
              </w:rPr>
              <w:t>）</w:t>
            </w:r>
          </w:p>
        </w:tc>
      </w:tr>
      <w:tr w14:paraId="3127D5F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shd w:val="clear" w:color="auto" w:fill="auto"/>
            <w:vAlign w:val="center"/>
          </w:tcPr>
          <w:p w14:paraId="5E33C098">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税收担保</w:t>
            </w:r>
          </w:p>
        </w:tc>
        <w:tc>
          <w:tcPr>
            <w:tcW w:w="4321" w:type="pct"/>
            <w:shd w:val="clear" w:color="auto" w:fill="auto"/>
            <w:vAlign w:val="center"/>
          </w:tcPr>
          <w:p w14:paraId="0270819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税务机关有根据认为从事生产、经营的纳税人有逃避纳税义务行为的，可以在规定的纳税期之前，责令限期缴纳应纳税款；在限期内发现纳税人有明显的转移、隐匿其应纳税的商品、货物以及其他财产或者应纳税的收入的迹象的，可以责成纳税人提供纳税担保</w:t>
            </w:r>
          </w:p>
        </w:tc>
      </w:tr>
      <w:tr w14:paraId="26A02B6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78" w:type="pct"/>
            <w:shd w:val="clear" w:color="auto" w:fill="auto"/>
            <w:vAlign w:val="center"/>
          </w:tcPr>
          <w:p w14:paraId="60495933">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阻止出境</w:t>
            </w:r>
          </w:p>
        </w:tc>
        <w:tc>
          <w:tcPr>
            <w:tcW w:w="4321" w:type="pct"/>
            <w:shd w:val="clear" w:color="auto" w:fill="auto"/>
            <w:vAlign w:val="center"/>
          </w:tcPr>
          <w:p w14:paraId="78EFE7E5">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欠缴税款的纳税人或者他的法定代表人需要出境的，应当在出境前向税务机关结清应纳税款、滞纳金或者提供担保。未结清税款、滞纳金，又不提供担保的，税务机关可以通知出境管理机关阻止其出境</w:t>
            </w:r>
          </w:p>
        </w:tc>
      </w:tr>
    </w:tbl>
    <w:p w14:paraId="69AD3DB8">
      <w:pPr>
        <w:pStyle w:val="4"/>
        <w:ind w:firstLine="288" w:firstLineChars="120"/>
        <w:jc w:val="both"/>
        <w:rPr>
          <w:rFonts w:hint="eastAsia"/>
        </w:rPr>
      </w:pPr>
      <w:r>
        <w:rPr>
          <w:rFonts w:hint="eastAsia"/>
        </w:rPr>
        <w:t>（二）税收保全与强制执行</w:t>
      </w:r>
    </w:p>
    <w:p w14:paraId="6A403CAC">
      <w:pPr>
        <w:ind w:firstLine="420"/>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124"/>
        <w:gridCol w:w="3120"/>
        <w:gridCol w:w="4261"/>
      </w:tblGrid>
      <w:tr w14:paraId="4B06B6BF">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3625A3FF">
            <w:pPr>
              <w:spacing w:before="31" w:beforeLines="10" w:after="31" w:afterLines="10" w:line="280" w:lineRule="exact"/>
              <w:ind w:firstLine="0" w:firstLineChars="0"/>
              <w:jc w:val="center"/>
              <w:rPr>
                <w:rFonts w:hint="eastAsia" w:ascii="汉仪中黑简" w:eastAsia="汉仪中黑简"/>
                <w:bCs/>
                <w:kern w:val="0"/>
                <w:sz w:val="20"/>
              </w:rPr>
            </w:pPr>
          </w:p>
        </w:tc>
        <w:tc>
          <w:tcPr>
            <w:tcW w:w="1834" w:type="pct"/>
            <w:shd w:val="clear" w:color="auto" w:fill="auto"/>
            <w:vAlign w:val="center"/>
          </w:tcPr>
          <w:p w14:paraId="5D11338B">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税收保全</w:t>
            </w:r>
          </w:p>
        </w:tc>
        <w:tc>
          <w:tcPr>
            <w:tcW w:w="2505" w:type="pct"/>
            <w:shd w:val="clear" w:color="auto" w:fill="auto"/>
            <w:vAlign w:val="center"/>
          </w:tcPr>
          <w:p w14:paraId="77F34764">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强制执行</w:t>
            </w:r>
          </w:p>
        </w:tc>
      </w:tr>
      <w:tr w14:paraId="46B4CA4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5B9D9B1F">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适用对象</w:t>
            </w:r>
          </w:p>
        </w:tc>
        <w:tc>
          <w:tcPr>
            <w:tcW w:w="1834" w:type="pct"/>
            <w:shd w:val="clear" w:color="auto" w:fill="auto"/>
            <w:vAlign w:val="center"/>
          </w:tcPr>
          <w:p w14:paraId="4854D704">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从事生产、经营的纳税人</w:t>
            </w:r>
          </w:p>
        </w:tc>
        <w:tc>
          <w:tcPr>
            <w:tcW w:w="2505" w:type="pct"/>
            <w:shd w:val="clear" w:color="auto" w:fill="auto"/>
            <w:vAlign w:val="center"/>
          </w:tcPr>
          <w:p w14:paraId="79C99DB9">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从事生产经营的纳税人、扣缴义务人、纳税担保人</w:t>
            </w:r>
          </w:p>
        </w:tc>
      </w:tr>
      <w:tr w14:paraId="25B79B2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20C0DA3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适用条件</w:t>
            </w:r>
          </w:p>
        </w:tc>
        <w:tc>
          <w:tcPr>
            <w:tcW w:w="1834" w:type="pct"/>
            <w:shd w:val="clear" w:color="auto" w:fill="auto"/>
            <w:vAlign w:val="center"/>
          </w:tcPr>
          <w:p w14:paraId="218124D6">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不</w:t>
            </w:r>
            <w:r>
              <w:rPr>
                <w:rFonts w:hint="eastAsia" w:ascii="汉仪书宋一简" w:eastAsia="汉仪书宋一简"/>
                <w:color w:val="0000FF"/>
                <w:kern w:val="0"/>
                <w:sz w:val="20"/>
              </w:rPr>
              <w:t>能提供纳税担保</w:t>
            </w:r>
          </w:p>
        </w:tc>
        <w:tc>
          <w:tcPr>
            <w:tcW w:w="2505" w:type="pct"/>
            <w:shd w:val="clear" w:color="auto" w:fill="auto"/>
            <w:vAlign w:val="center"/>
          </w:tcPr>
          <w:p w14:paraId="726EF4F0">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未按期缴税，经责令限期缴纳，逾期仍未缴纳</w:t>
            </w:r>
          </w:p>
        </w:tc>
      </w:tr>
      <w:tr w14:paraId="355CE13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0FC87D64">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具体措施</w:t>
            </w:r>
          </w:p>
        </w:tc>
        <w:tc>
          <w:tcPr>
            <w:tcW w:w="1834" w:type="pct"/>
            <w:shd w:val="clear" w:color="auto" w:fill="auto"/>
            <w:vAlign w:val="center"/>
          </w:tcPr>
          <w:p w14:paraId="197F24B8">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书面通知纳税人开户银行或者其他金融机构冻结纳税人的金额相当于应纳税款的存款；扣押、查封纳税人的价值相当于应纳税款的商品、货物或者其他财产。仍不缴纳的，可以采取强制执行措施</w:t>
            </w:r>
          </w:p>
        </w:tc>
        <w:tc>
          <w:tcPr>
            <w:tcW w:w="2505" w:type="pct"/>
            <w:shd w:val="clear" w:color="auto" w:fill="auto"/>
            <w:vAlign w:val="center"/>
          </w:tcPr>
          <w:p w14:paraId="3DB073F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书面通知其开户银行或者其他金融机构从其存款中扣缴税款；扣押、查封、依法拍卖或者变卖其价值相当于应纳税款的商品、货物或者其他财产，以拍卖或者变卖所得抵缴税款</w:t>
            </w:r>
          </w:p>
        </w:tc>
      </w:tr>
      <w:tr w14:paraId="6FC4C1D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473977DD">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批准程序</w:t>
            </w:r>
          </w:p>
        </w:tc>
        <w:tc>
          <w:tcPr>
            <w:tcW w:w="4339" w:type="pct"/>
            <w:gridSpan w:val="2"/>
            <w:shd w:val="clear" w:color="auto" w:fill="auto"/>
            <w:vAlign w:val="center"/>
          </w:tcPr>
          <w:p w14:paraId="02B8348D">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经县以上税务局（分局）局长批准</w:t>
            </w:r>
          </w:p>
        </w:tc>
      </w:tr>
      <w:tr w14:paraId="6AAD400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661" w:type="pct"/>
            <w:shd w:val="clear" w:color="auto" w:fill="auto"/>
            <w:vAlign w:val="center"/>
          </w:tcPr>
          <w:p w14:paraId="6A4D2CE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标的有限</w:t>
            </w:r>
          </w:p>
        </w:tc>
        <w:tc>
          <w:tcPr>
            <w:tcW w:w="4339" w:type="pct"/>
            <w:gridSpan w:val="2"/>
            <w:shd w:val="clear" w:color="auto" w:fill="auto"/>
            <w:vAlign w:val="center"/>
          </w:tcPr>
          <w:p w14:paraId="2DC14628">
            <w:pPr>
              <w:spacing w:before="31" w:beforeLines="10" w:after="62" w:afterLines="20" w:line="280" w:lineRule="exact"/>
              <w:ind w:firstLine="0" w:firstLineChars="0"/>
              <w:rPr>
                <w:rFonts w:hint="eastAsia" w:ascii="汉仪书宋一简" w:eastAsia="汉仪书宋一简" w:hAnsiTheme="minorEastAsia"/>
                <w:kern w:val="0"/>
                <w:sz w:val="20"/>
              </w:rPr>
            </w:pPr>
            <w:r>
              <w:rPr>
                <w:rFonts w:hint="eastAsia" w:ascii="汉仪书宋一简" w:eastAsia="汉仪书宋一简"/>
                <w:kern w:val="0"/>
                <w:sz w:val="20"/>
              </w:rPr>
              <w:t>个人及其所扶养家属维持生活必需的住房和用品，不在税收保全和执行措施的范围之内</w:t>
            </w:r>
          </w:p>
        </w:tc>
      </w:tr>
    </w:tbl>
    <w:p w14:paraId="208994E5">
      <w:pPr>
        <w:ind w:firstLine="420"/>
        <w:rPr>
          <w:rFonts w:hint="eastAsia" w:ascii="汉仪书宋二简"/>
          <w:b/>
        </w:rPr>
      </w:pPr>
    </w:p>
    <w:p w14:paraId="137D272E">
      <w:pPr>
        <w:pStyle w:val="4"/>
        <w:ind w:firstLine="288" w:firstLineChars="120"/>
        <w:jc w:val="both"/>
        <w:rPr>
          <w:rFonts w:hint="eastAsia"/>
        </w:rPr>
      </w:pPr>
      <w:r>
        <w:rPr>
          <w:rFonts w:hint="eastAsia"/>
        </w:rPr>
        <w:t>（三）争议解决</w:t>
      </w:r>
    </w:p>
    <w:p w14:paraId="4354C7C2">
      <w:pPr>
        <w:ind w:firstLine="420"/>
        <w:rPr>
          <w:rFonts w:hint="eastAsia" w:ascii="汉仪书宋二简"/>
        </w:rPr>
      </w:pPr>
      <w:r>
        <w:rPr>
          <w:rFonts w:hint="eastAsia" w:ascii="汉仪书宋二简"/>
        </w:rPr>
        <w:t>纳税人、扣缴义务人、纳税担保人同税务机关在</w:t>
      </w:r>
      <w:r>
        <w:rPr>
          <w:rFonts w:hint="eastAsia" w:ascii="汉仪书宋二简" w:hAnsi="楷体" w:eastAsia="汉仪中黑简" w:cs="楷体"/>
          <w:color w:val="FF0000"/>
        </w:rPr>
        <w:t>纳税上发生争议</w:t>
      </w:r>
      <w:r>
        <w:rPr>
          <w:rFonts w:hint="eastAsia" w:ascii="汉仪书宋二简"/>
        </w:rPr>
        <w:t>时，必须先依照税务机关的纳税决定缴纳或者解缴税款及滞纳金或者提供相应的担保，然后可以依法申请行政复议；对行政复议决定不服的，可以依法向人民法院起诉。</w:t>
      </w:r>
    </w:p>
    <w:p w14:paraId="26803239">
      <w:pPr>
        <w:ind w:firstLine="420"/>
        <w:rPr>
          <w:rFonts w:hint="eastAsia" w:ascii="汉仪书宋二简" w:eastAsia="汉仪书宋二简"/>
          <w:lang w:eastAsia="zh-CN"/>
        </w:rPr>
      </w:pPr>
      <w:r>
        <w:rPr>
          <w:rFonts w:hint="eastAsia" w:ascii="汉仪书宋二简"/>
        </w:rPr>
        <w:t>当事人对税务机关的</w:t>
      </w:r>
      <w:r>
        <w:rPr>
          <w:rFonts w:hint="eastAsia" w:ascii="汉仪书宋二简" w:hAnsi="楷体" w:eastAsia="汉仪中黑简" w:cs="楷体"/>
          <w:color w:val="FF0000"/>
        </w:rPr>
        <w:t>处罚决定、强制执行措施或税收保全措施</w:t>
      </w:r>
      <w:r>
        <w:rPr>
          <w:rFonts w:hint="eastAsia" w:ascii="汉仪书宋二简"/>
        </w:rPr>
        <w:t>不服的，可以依法申请行政复议，也可以依法起诉。</w:t>
      </w:r>
      <w:r>
        <w:rPr>
          <w:rFonts w:hint="eastAsia" w:ascii="汉仪书宋二简"/>
          <w:lang w:eastAsia="zh-CN"/>
        </w:rPr>
        <w:t>（</w:t>
      </w:r>
      <w:r>
        <w:rPr>
          <w:rFonts w:hint="eastAsia" w:ascii="汉仪书宋二简"/>
          <w:lang w:val="en-US" w:eastAsia="zh-CN"/>
        </w:rPr>
        <w:t>具体行政行为</w:t>
      </w:r>
      <w:r>
        <w:rPr>
          <w:rFonts w:hint="eastAsia" w:ascii="汉仪书宋二简"/>
          <w:lang w:eastAsia="zh-CN"/>
        </w:rPr>
        <w:t>）</w:t>
      </w:r>
    </w:p>
    <w:p w14:paraId="42F3B7B8">
      <w:pPr>
        <w:ind w:firstLine="420"/>
        <w:rPr>
          <w:rFonts w:hint="eastAsia" w:ascii="汉仪书宋二简"/>
        </w:rPr>
      </w:pPr>
    </w:p>
    <w:p w14:paraId="7C797B65">
      <w:pPr>
        <w:pStyle w:val="2"/>
        <w:spacing w:before="0" w:line="480" w:lineRule="exact"/>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pPr>
      <w:bookmarkStart w:id="2" w:name="_Toc431084231"/>
      <w:bookmarkStart w:id="3" w:name="_Toc193726289"/>
      <w:r>
        <w:rPr>
          <w:rFonts w:hint="eastAsia" w:ascii="宋体" w:hAnsi="宋体" w:eastAsia="汉仪大宋简" w:cs="宋体"/>
          <w:bCs w:val="0"/>
          <w:color w:val="000000" w:themeColor="text1"/>
          <w:kern w:val="2"/>
          <w:sz w:val="26"/>
          <w:szCs w:val="21"/>
          <w:lang w:val="en-US" w:eastAsia="zh-CN" w:bidi="ar-SA"/>
          <w14:textFill>
            <w14:solidFill>
              <w14:schemeClr w14:val="tx1"/>
            </w14:solidFill>
          </w14:textFill>
        </w:rPr>
        <w:t>考点5  土地法和房地产法</w:t>
      </w:r>
      <w:bookmarkEnd w:id="2"/>
      <w:bookmarkEnd w:id="3"/>
    </w:p>
    <w:p w14:paraId="6B7FCDF5">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一、土地所有权</w:t>
      </w:r>
    </w:p>
    <w:p w14:paraId="210D10F7">
      <w:pPr>
        <w:ind w:firstLine="440"/>
        <w:rPr>
          <w:rFonts w:hint="eastAsia" w:ascii="汉仪中黑简" w:eastAsia="汉仪中黑简"/>
          <w:kern w:val="0"/>
          <w:sz w:val="22"/>
          <w:szCs w:val="22"/>
        </w:rPr>
      </w:pPr>
      <w:r>
        <w:rPr>
          <w:rFonts w:hint="eastAsia" w:ascii="汉仪中黑简" w:eastAsia="汉仪中黑简"/>
          <w:kern w:val="0"/>
          <w:sz w:val="22"/>
          <w:szCs w:val="22"/>
        </w:rPr>
        <w:t>1．用途分类</w:t>
      </w:r>
    </w:p>
    <w:p w14:paraId="0D508902">
      <w:pPr>
        <w:ind w:firstLine="420"/>
        <w:rPr>
          <w:rFonts w:hint="eastAsia" w:ascii="汉仪书宋二简" w:eastAsia="汉仪书宋二简"/>
          <w:color w:val="0000FF"/>
          <w:kern w:val="0"/>
          <w:lang w:eastAsia="zh-CN"/>
        </w:rPr>
      </w:pPr>
      <w:r>
        <w:rPr>
          <w:rFonts w:hint="eastAsia" w:ascii="汉仪书宋二简"/>
          <w:kern w:val="0"/>
        </w:rPr>
        <w:t>按用途不同，</w:t>
      </w:r>
      <w:r>
        <w:rPr>
          <w:rFonts w:hint="eastAsia" w:ascii="汉仪书宋二简"/>
          <w:color w:val="0000FF"/>
          <w:kern w:val="0"/>
        </w:rPr>
        <w:t>土地分为农用地、</w:t>
      </w:r>
      <w:r>
        <w:rPr>
          <w:rFonts w:hint="eastAsia" w:ascii="汉仪书宋二简" w:hAnsiTheme="minorEastAsia"/>
          <w:color w:val="0000FF"/>
        </w:rPr>
        <w:t>建设用地和未利用地。</w:t>
      </w:r>
      <w:r>
        <w:rPr>
          <w:rFonts w:hint="eastAsia" w:ascii="汉仪书宋二简" w:hAnsi="Arial" w:cs="Arial"/>
          <w:kern w:val="0"/>
        </w:rPr>
        <w:t>农用地是指直接用于农业生产的土地，包括耕地、林地、草地、农田水利用地、养殖水面等；建设用地是指建造建筑物、构筑物的土地，包括城乡住宅和公共设施用地、工矿用地、交通水利设施用地、旅游用地、军事设施用地等；未利用地是指农用地和建设用地以外的土地。</w:t>
      </w:r>
      <w:r>
        <w:rPr>
          <w:rFonts w:hint="eastAsia" w:ascii="汉仪书宋二简" w:hAnsiTheme="minorEastAsia"/>
        </w:rPr>
        <w:t>其中</w:t>
      </w:r>
      <w:r>
        <w:rPr>
          <w:rFonts w:hint="eastAsia" w:ascii="汉仪书宋二简" w:hAnsiTheme="minorEastAsia"/>
          <w:color w:val="0000FF"/>
        </w:rPr>
        <w:t>，</w:t>
      </w:r>
      <w:r>
        <w:rPr>
          <w:rFonts w:hint="eastAsia" w:ascii="汉仪书宋二简"/>
          <w:color w:val="0000FF"/>
          <w:kern w:val="0"/>
        </w:rPr>
        <w:t>农用地转为建设用地，需要履行审批手续。</w:t>
      </w:r>
      <w:r>
        <w:rPr>
          <w:rFonts w:hint="eastAsia" w:ascii="汉仪书宋二简"/>
          <w:color w:val="0000FF"/>
          <w:kern w:val="0"/>
          <w:lang w:eastAsia="zh-CN"/>
        </w:rPr>
        <w:t>（</w:t>
      </w:r>
      <w:r>
        <w:rPr>
          <w:rFonts w:hint="eastAsia" w:ascii="汉仪书宋二简"/>
          <w:color w:val="0000FF"/>
          <w:kern w:val="0"/>
          <w:lang w:val="en-US" w:eastAsia="zh-CN"/>
        </w:rPr>
        <w:t>较为严格</w:t>
      </w:r>
      <w:r>
        <w:rPr>
          <w:rFonts w:hint="eastAsia" w:ascii="汉仪书宋二简"/>
          <w:color w:val="0000FF"/>
          <w:kern w:val="0"/>
          <w:lang w:eastAsia="zh-CN"/>
        </w:rPr>
        <w:t>）</w:t>
      </w:r>
    </w:p>
    <w:p w14:paraId="65A4CAD2">
      <w:pPr>
        <w:ind w:firstLine="440"/>
        <w:rPr>
          <w:rFonts w:hint="eastAsia" w:ascii="汉仪中黑简" w:eastAsia="汉仪中黑简"/>
          <w:kern w:val="0"/>
          <w:sz w:val="22"/>
          <w:szCs w:val="22"/>
        </w:rPr>
      </w:pPr>
      <w:r>
        <w:rPr>
          <w:rFonts w:hint="eastAsia" w:ascii="汉仪中黑简" w:eastAsia="汉仪中黑简"/>
          <w:kern w:val="0"/>
          <w:sz w:val="22"/>
          <w:szCs w:val="22"/>
        </w:rPr>
        <w:t>2．耕地保护</w:t>
      </w:r>
    </w:p>
    <w:p w14:paraId="7E05C3DC">
      <w:pPr>
        <w:ind w:firstLine="420"/>
        <w:rPr>
          <w:rFonts w:ascii="汉仪书宋二简" w:hAnsi="Arial" w:cs="Arial"/>
          <w:kern w:val="0"/>
        </w:rPr>
      </w:pPr>
      <w:r>
        <w:rPr>
          <w:rFonts w:hint="eastAsia" w:ascii="汉仪书宋二简" w:hAnsiTheme="minorEastAsia"/>
        </w:rPr>
        <w:t>（1）</w:t>
      </w:r>
      <w:r>
        <w:rPr>
          <w:rFonts w:hint="eastAsia" w:ascii="汉仪书宋二简" w:hAnsi="Arial" w:cs="Arial"/>
          <w:kern w:val="0"/>
        </w:rPr>
        <w:t>占用耕地补偿。非农业建设经批准占用耕地的，</w:t>
      </w:r>
      <w:r>
        <w:rPr>
          <w:rFonts w:hint="eastAsia" w:ascii="汉仪书宋二简" w:hAnsi="Arial" w:cs="Arial"/>
          <w:color w:val="0000FF"/>
          <w:kern w:val="0"/>
        </w:rPr>
        <w:t>按照“占多少，垦多少”的原则，</w:t>
      </w:r>
      <w:r>
        <w:rPr>
          <w:rFonts w:hint="eastAsia" w:ascii="汉仪书宋二简" w:hAnsi="Arial" w:cs="Arial"/>
          <w:kern w:val="0"/>
        </w:rPr>
        <w:t>由占用耕地的单位负责开垦与所占用耕地的数量和质量相当的耕地；没有条件开垦或者开垦的耕地不符合要求的，应当按照规定缴纳耕地开垦费，专款用于开垦新的耕地。</w:t>
      </w:r>
    </w:p>
    <w:p w14:paraId="3E37CC81">
      <w:pPr>
        <w:ind w:firstLine="420"/>
        <w:rPr>
          <w:rFonts w:ascii="汉仪书宋二简" w:hAnsi="Arial" w:cs="Arial"/>
          <w:kern w:val="0"/>
        </w:rPr>
      </w:pPr>
      <w:r>
        <w:rPr>
          <w:rFonts w:hint="eastAsia" w:ascii="汉仪书宋二简" w:hAnsi="Arial" w:cs="Arial"/>
          <w:kern w:val="0"/>
        </w:rPr>
        <w:t>（2）省级区域保质保量。省、自治区、直辖市政府应当严格执行土地利用总体规划和土地利用年度计划，采取措施，</w:t>
      </w:r>
      <w:r>
        <w:rPr>
          <w:rFonts w:hint="eastAsia" w:ascii="汉仪书宋二简" w:hAnsi="Arial" w:cs="Arial"/>
          <w:color w:val="0000FF"/>
          <w:kern w:val="0"/>
        </w:rPr>
        <w:t>确保本行政区域内耕地总量不减少、质量不降低</w:t>
      </w:r>
      <w:r>
        <w:rPr>
          <w:rFonts w:hint="eastAsia" w:ascii="汉仪书宋二简" w:hAnsi="Arial" w:cs="Arial"/>
          <w:kern w:val="0"/>
        </w:rPr>
        <w:t>。耕地总量减少的，由国务院责令在规定期限内组织开垦与所减少耕地的数量与质量相当的耕地；耕地质量降低的，由国务院责令在规定期限内组织整治。</w:t>
      </w:r>
    </w:p>
    <w:p w14:paraId="7DAD34D2">
      <w:pPr>
        <w:widowControl/>
        <w:shd w:val="clear" w:color="auto" w:fill="FFFFFF"/>
        <w:ind w:firstLine="420"/>
        <w:rPr>
          <w:rFonts w:ascii="汉仪书宋二简" w:hAnsi="Arial" w:cs="Arial"/>
          <w:color w:val="0000FF"/>
          <w:kern w:val="0"/>
        </w:rPr>
      </w:pPr>
      <w:r>
        <w:rPr>
          <w:rFonts w:hint="eastAsia" w:ascii="汉仪书宋二简" w:hAnsi="Arial" w:cs="Arial"/>
          <w:kern w:val="0"/>
        </w:rPr>
        <w:t>（3）永久基本农田保护。下列耕地应当根据土地利用总体规划划为</w:t>
      </w:r>
      <w:r>
        <w:rPr>
          <w:rFonts w:hint="eastAsia" w:ascii="汉仪书宋二简" w:hAnsi="Arial" w:cs="Arial"/>
          <w:color w:val="0000FF"/>
          <w:kern w:val="0"/>
        </w:rPr>
        <w:t>永久基本农田，实</w:t>
      </w:r>
      <w:r>
        <w:rPr>
          <w:rFonts w:hint="eastAsia" w:ascii="汉仪书宋二简" w:hAnsi="Arial" w:cs="Arial"/>
          <w:kern w:val="0"/>
        </w:rPr>
        <w:t>行严格保护：①经国务院农业农村主管部门或者县级以上地方人民政府批准确定的粮、棉、油、糖等重要农产品生产基地内的耕地；②有良好的水利与水土保持设施的耕地，正在实施改造计划以及可以改造的中、低产田和已建成的高标准农田；③蔬菜生产基地；④农业科研、教学试验田；⑤国务院规定应当划为永久基本农田的其他耕地</w:t>
      </w:r>
      <w:r>
        <w:rPr>
          <w:rFonts w:hint="eastAsia" w:ascii="汉仪书宋二简" w:hAnsi="Arial" w:cs="Arial"/>
          <w:color w:val="0000FF"/>
          <w:kern w:val="0"/>
        </w:rPr>
        <w:t>。各省、自治区、直辖市划定的永久基本农田一般应当占本行政区域内耕地的80%以上</w:t>
      </w:r>
      <w:r>
        <w:rPr>
          <w:rFonts w:hint="eastAsia" w:ascii="汉仪书宋二简" w:hAnsi="Arial" w:cs="Arial"/>
          <w:kern w:val="0"/>
        </w:rPr>
        <w:t>。永久基本农田划定以乡（镇）为单位进行，由县级政府自然资源主管部门会同同级农业农村主管部门组织实施。乡（镇）政府应当将永久基本农田的位置、范围向社会公告，并设立保护标志。</w:t>
      </w:r>
      <w:r>
        <w:rPr>
          <w:rFonts w:hint="eastAsia" w:ascii="汉仪书宋二简" w:hAnsi="Arial" w:cs="Arial"/>
          <w:color w:val="0000FF"/>
          <w:kern w:val="0"/>
        </w:rPr>
        <w:t>永久基本农田经依法划定后，任何单位和个人不得擅自占用或者改变其用途。国家能源、交通、水利、军事设施等重点建设项目选址确实难以避让永久基本农田，涉及农用地转用或者土地征收的，必须经国务院批准。</w:t>
      </w:r>
    </w:p>
    <w:p w14:paraId="78D052D3">
      <w:pPr>
        <w:ind w:firstLine="420"/>
        <w:rPr>
          <w:rFonts w:hint="eastAsia" w:ascii="汉仪书宋二简"/>
        </w:rPr>
      </w:pPr>
      <w:r>
        <w:rPr>
          <w:rFonts w:hint="eastAsia" w:ascii="汉仪书宋二简"/>
        </w:rPr>
        <w:t>（4）禁止闲置耕地。</w:t>
      </w:r>
      <w:r>
        <w:rPr>
          <w:rFonts w:hint="eastAsia" w:ascii="汉仪书宋二简" w:hAnsi="Arial" w:cs="Arial"/>
          <w:kern w:val="0"/>
        </w:rPr>
        <w:t>已经办理审批手续的非农业建设占用耕地，一年内不用而又可以耕种并收获的，应当由原耕种该幅耕地的集体或者个人恢复耕种，也可以由用地单位组织耕种；</w:t>
      </w:r>
      <w:r>
        <w:rPr>
          <w:rFonts w:hint="eastAsia" w:ascii="汉仪书宋二简" w:hAnsi="Arial" w:cs="Arial"/>
          <w:color w:val="0000FF"/>
          <w:kern w:val="0"/>
        </w:rPr>
        <w:t>一年以上未动工建设的，应当按照省、自治区、直辖市的规定缴纳闲置费；连续二年未使用的，经原批准机关批准，由县级以上人民政府无偿收回用地单位的土地使用权</w:t>
      </w:r>
      <w:r>
        <w:rPr>
          <w:rFonts w:hint="eastAsia" w:ascii="汉仪书宋二简" w:hAnsi="Arial" w:cs="Arial"/>
          <w:kern w:val="0"/>
        </w:rPr>
        <w:t>；该幅土地原为农民集体所有的，应当交由原农村集体经济组织恢复耕种。</w:t>
      </w:r>
    </w:p>
    <w:p w14:paraId="6B065047">
      <w:pPr>
        <w:ind w:firstLine="440"/>
        <w:rPr>
          <w:rFonts w:hint="eastAsia" w:ascii="汉仪中黑简" w:eastAsia="汉仪中黑简"/>
          <w:kern w:val="0"/>
          <w:sz w:val="22"/>
          <w:szCs w:val="22"/>
        </w:rPr>
      </w:pPr>
      <w:r>
        <w:rPr>
          <w:rFonts w:hint="eastAsia" w:ascii="汉仪中黑简" w:eastAsia="汉仪中黑简"/>
          <w:kern w:val="0"/>
          <w:sz w:val="22"/>
          <w:szCs w:val="22"/>
        </w:rPr>
        <w:t>3．土地权属争议解决</w:t>
      </w:r>
    </w:p>
    <w:p w14:paraId="6C4295B9">
      <w:pPr>
        <w:ind w:firstLine="420"/>
        <w:rPr>
          <w:rFonts w:hint="eastAsia" w:ascii="汉仪书宋二简"/>
        </w:rPr>
      </w:pPr>
      <w:r>
        <w:rPr>
          <w:rFonts w:hint="eastAsia" w:ascii="汉仪书宋二简"/>
        </w:rPr>
        <w:t>（1）政府处理：</w:t>
      </w:r>
      <w:r>
        <w:rPr>
          <w:rFonts w:hint="eastAsia" w:ascii="汉仪书宋二简" w:hAnsiTheme="minorEastAsia"/>
        </w:rPr>
        <w:t>单位之间的争议，由</w:t>
      </w:r>
      <w:r>
        <w:rPr>
          <w:rFonts w:hint="eastAsia" w:ascii="汉仪书宋二简" w:hAnsi="楷体" w:eastAsia="汉仪中黑简" w:cs="楷体"/>
          <w:color w:val="FF0000"/>
        </w:rPr>
        <w:t>县级以上人民政府</w:t>
      </w:r>
      <w:r>
        <w:rPr>
          <w:rFonts w:hint="eastAsia" w:ascii="汉仪书宋二简" w:hAnsiTheme="minorEastAsia"/>
        </w:rPr>
        <w:t>处理；个人之间、个人与单位之间的争议，由</w:t>
      </w:r>
      <w:r>
        <w:rPr>
          <w:rFonts w:hint="eastAsia" w:ascii="汉仪书宋二简" w:hAnsi="楷体" w:eastAsia="汉仪中黑简" w:cs="楷体"/>
          <w:color w:val="FF0000"/>
        </w:rPr>
        <w:t>乡级人民政府或者县级以上人民政府</w:t>
      </w:r>
      <w:r>
        <w:rPr>
          <w:rFonts w:hint="eastAsia" w:ascii="汉仪书宋二简" w:hAnsiTheme="minorEastAsia"/>
        </w:rPr>
        <w:t>处理。</w:t>
      </w:r>
    </w:p>
    <w:p w14:paraId="5176C3A1">
      <w:pPr>
        <w:ind w:firstLine="420"/>
        <w:rPr>
          <w:rFonts w:hint="eastAsia" w:ascii="汉仪书宋二简" w:hAnsiTheme="minorEastAsia"/>
        </w:rPr>
      </w:pPr>
      <w:r>
        <w:rPr>
          <w:rFonts w:hint="eastAsia" w:ascii="汉仪书宋二简" w:hAnsiTheme="minorEastAsia"/>
        </w:rPr>
        <w:t>（</w:t>
      </w:r>
      <w:r>
        <w:rPr>
          <w:rFonts w:hint="eastAsia" w:ascii="汉仪书宋二简"/>
        </w:rPr>
        <w:t>2</w:t>
      </w:r>
      <w:r>
        <w:rPr>
          <w:rFonts w:hint="eastAsia" w:ascii="汉仪书宋二简" w:hAnsiTheme="minorEastAsia"/>
        </w:rPr>
        <w:t>）对政府处理结果不服的，可依法申请行政复议或提起行政诉讼。</w:t>
      </w:r>
    </w:p>
    <w:p w14:paraId="543BE735">
      <w:pPr>
        <w:ind w:firstLine="420"/>
        <w:rPr>
          <w:rFonts w:hint="eastAsia" w:ascii="汉仪书宋二简" w:hAnsiTheme="minorEastAsia"/>
        </w:rPr>
      </w:pPr>
      <w:r>
        <w:rPr>
          <w:rFonts w:hint="eastAsia" w:ascii="汉仪书宋二简" w:hAnsiTheme="minorEastAsia"/>
        </w:rPr>
        <w:t>（</w:t>
      </w:r>
      <w:r>
        <w:rPr>
          <w:rFonts w:hint="eastAsia" w:ascii="汉仪书宋二简"/>
        </w:rPr>
        <w:t>3</w:t>
      </w:r>
      <w:r>
        <w:rPr>
          <w:rFonts w:hint="eastAsia" w:ascii="汉仪书宋二简" w:hAnsiTheme="minorEastAsia"/>
        </w:rPr>
        <w:t>）在土地所有权和使用权争议解决前，任何一方不得改变土地利用现状。</w:t>
      </w:r>
    </w:p>
    <w:p w14:paraId="1921AF6D">
      <w:pPr>
        <w:spacing w:line="300" w:lineRule="exact"/>
        <w:ind w:firstLine="420"/>
        <w:rPr>
          <w:rFonts w:hint="eastAsia" w:ascii="汉仪书宋二简" w:hAnsiTheme="minorEastAsia"/>
        </w:rPr>
      </w:pPr>
    </w:p>
    <w:p w14:paraId="3C53B3E7">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二、国有土地使用权</w:t>
      </w:r>
    </w:p>
    <w:p w14:paraId="6BF0C8CF">
      <w:pPr>
        <w:ind w:firstLine="420"/>
        <w:rPr>
          <w:rFonts w:hint="eastAsia" w:ascii="汉仪书宋二简" w:hAnsi="ˎ̥"/>
          <w:b/>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699"/>
        <w:gridCol w:w="7806"/>
      </w:tblGrid>
      <w:tr w14:paraId="7632C08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72296D72">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出让</w:t>
            </w:r>
          </w:p>
        </w:tc>
        <w:tc>
          <w:tcPr>
            <w:tcW w:w="4589" w:type="pct"/>
            <w:shd w:val="clear" w:color="auto" w:fill="auto"/>
            <w:vAlign w:val="center"/>
          </w:tcPr>
          <w:p w14:paraId="3A58A806">
            <w:pPr>
              <w:spacing w:before="62" w:beforeLines="20" w:after="93" w:afterLines="3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出让程序：必须符合土地利用总体规划、城市规划和年度建设用地计划。经市、县政府批准，由市、县土地管理部门（出让方）与土地使用者签订书面出让合同。签合同后支付出让金，领取土地使用权证，取得土地使用权。在付清全部出让金之前，只能领取临时土地使用权证</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有偿取得</w:t>
            </w:r>
            <w:r>
              <w:rPr>
                <w:rFonts w:hint="eastAsia" w:ascii="汉仪书宋一简" w:eastAsia="汉仪书宋一简"/>
                <w:color w:val="0000FF"/>
                <w:kern w:val="0"/>
                <w:sz w:val="20"/>
                <w:lang w:eastAsia="zh-CN"/>
              </w:rPr>
              <w:t>）</w:t>
            </w:r>
          </w:p>
        </w:tc>
      </w:tr>
      <w:tr w14:paraId="1FC4772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1410C66D">
            <w:pPr>
              <w:spacing w:before="62" w:beforeLines="20" w:after="93" w:afterLines="30" w:line="280" w:lineRule="exact"/>
              <w:ind w:firstLine="0" w:firstLineChars="0"/>
              <w:jc w:val="center"/>
              <w:rPr>
                <w:rFonts w:hint="eastAsia" w:ascii="汉仪中黑简" w:eastAsia="汉仪中黑简"/>
                <w:bCs/>
                <w:kern w:val="0"/>
                <w:sz w:val="20"/>
              </w:rPr>
            </w:pPr>
          </w:p>
        </w:tc>
        <w:tc>
          <w:tcPr>
            <w:tcW w:w="4589" w:type="pct"/>
            <w:shd w:val="clear" w:color="auto" w:fill="auto"/>
            <w:vAlign w:val="center"/>
          </w:tcPr>
          <w:p w14:paraId="6298ECE2">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使用年限：居住用地70年；工业用地50年；教育、科技、文化、卫生、体育用地50年；商业、旅游、娱乐用地40年；综合或其他用地50年。出让方和受让方可以在上述年限内约定实际出让年限</w:t>
            </w:r>
          </w:p>
        </w:tc>
      </w:tr>
      <w:tr w14:paraId="590C400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4F1C50A9">
            <w:pPr>
              <w:spacing w:before="62" w:beforeLines="20" w:after="93" w:afterLines="30" w:line="280" w:lineRule="exact"/>
              <w:ind w:firstLine="0" w:firstLineChars="0"/>
              <w:jc w:val="center"/>
              <w:rPr>
                <w:rFonts w:hint="eastAsia" w:ascii="汉仪中黑简" w:eastAsia="汉仪中黑简"/>
                <w:bCs/>
                <w:kern w:val="0"/>
                <w:sz w:val="20"/>
              </w:rPr>
            </w:pPr>
          </w:p>
        </w:tc>
        <w:tc>
          <w:tcPr>
            <w:tcW w:w="4589" w:type="pct"/>
            <w:shd w:val="clear" w:color="auto" w:fill="auto"/>
            <w:vAlign w:val="center"/>
          </w:tcPr>
          <w:p w14:paraId="0C4F4B66">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续期：</w:t>
            </w:r>
            <w:r>
              <w:rPr>
                <w:rFonts w:hint="eastAsia" w:ascii="汉仪书宋一简" w:eastAsia="汉仪书宋一简"/>
                <w:color w:val="0000FF"/>
                <w:kern w:val="0"/>
                <w:sz w:val="20"/>
              </w:rPr>
              <w:t>住宅建设用地使用权期满的，自动续期</w:t>
            </w:r>
            <w:r>
              <w:rPr>
                <w:rFonts w:hint="eastAsia" w:ascii="汉仪书宋一简" w:eastAsia="汉仪书宋一简"/>
                <w:color w:val="0000FF"/>
                <w:kern w:val="0"/>
                <w:sz w:val="20"/>
                <w:lang w:eastAsia="zh-CN"/>
              </w:rPr>
              <w:t>（</w:t>
            </w:r>
            <w:r>
              <w:rPr>
                <w:rFonts w:hint="eastAsia" w:ascii="汉仪书宋一简" w:eastAsia="汉仪书宋一简"/>
                <w:color w:val="0000FF"/>
                <w:kern w:val="0"/>
                <w:sz w:val="20"/>
                <w:lang w:val="en-US" w:eastAsia="zh-CN"/>
              </w:rPr>
              <w:t>是否有偿未明确</w:t>
            </w:r>
            <w:r>
              <w:rPr>
                <w:rFonts w:hint="eastAsia" w:ascii="汉仪书宋一简" w:eastAsia="汉仪书宋一简"/>
                <w:color w:val="0000FF"/>
                <w:kern w:val="0"/>
                <w:sz w:val="20"/>
                <w:lang w:eastAsia="zh-CN"/>
              </w:rPr>
              <w:t>）</w:t>
            </w:r>
            <w:r>
              <w:rPr>
                <w:rFonts w:hint="eastAsia" w:ascii="汉仪书宋一简" w:eastAsia="汉仪书宋一简"/>
                <w:kern w:val="0"/>
                <w:sz w:val="20"/>
              </w:rPr>
              <w:t>。非住宅建设用地使用权期满的，应当至迟于期满1年前申请续期。批准续期的，重新签订出让合同，缴纳出让金</w:t>
            </w:r>
          </w:p>
        </w:tc>
      </w:tr>
      <w:tr w14:paraId="58E7716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restart"/>
            <w:shd w:val="clear" w:color="auto" w:fill="auto"/>
            <w:vAlign w:val="center"/>
          </w:tcPr>
          <w:p w14:paraId="46011A52">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划拨</w:t>
            </w:r>
          </w:p>
        </w:tc>
        <w:tc>
          <w:tcPr>
            <w:tcW w:w="4589" w:type="pct"/>
            <w:shd w:val="clear" w:color="auto" w:fill="auto"/>
            <w:vAlign w:val="center"/>
          </w:tcPr>
          <w:p w14:paraId="335B8419">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划拨程序：经县以上政府依法批准，在缴纳补偿、安置等费用后取得</w:t>
            </w:r>
            <w:r>
              <w:rPr>
                <w:rFonts w:hint="eastAsia" w:ascii="汉仪书宋一简" w:eastAsia="汉仪书宋一简"/>
                <w:color w:val="0000FF"/>
                <w:kern w:val="0"/>
                <w:sz w:val="20"/>
              </w:rPr>
              <w:t>或者无偿取得</w:t>
            </w:r>
          </w:p>
        </w:tc>
      </w:tr>
      <w:tr w14:paraId="74E861C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41F71ADE">
            <w:pPr>
              <w:spacing w:before="62" w:beforeLines="20" w:after="93" w:afterLines="30" w:line="280" w:lineRule="exact"/>
              <w:ind w:firstLine="0" w:firstLineChars="0"/>
              <w:jc w:val="center"/>
              <w:rPr>
                <w:rFonts w:hint="eastAsia" w:ascii="汉仪中黑简" w:eastAsia="汉仪中黑简"/>
                <w:bCs/>
                <w:kern w:val="0"/>
                <w:sz w:val="20"/>
              </w:rPr>
            </w:pPr>
          </w:p>
        </w:tc>
        <w:tc>
          <w:tcPr>
            <w:tcW w:w="4589" w:type="pct"/>
            <w:shd w:val="clear" w:color="auto" w:fill="auto"/>
            <w:vAlign w:val="center"/>
          </w:tcPr>
          <w:p w14:paraId="2CE2283B">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适用范围：</w:t>
            </w:r>
          </w:p>
          <w:p w14:paraId="34E5604C">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（1）国家机关用地和军事用地</w:t>
            </w:r>
          </w:p>
          <w:p w14:paraId="0888BDC5">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（2）城市基础设施用地和公益事业用地</w:t>
            </w:r>
          </w:p>
          <w:p w14:paraId="65B56934">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（3）国家重点扶持的能源、交通、水利等基础设施用地</w:t>
            </w:r>
          </w:p>
          <w:p w14:paraId="3FCEA04C">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（4）法律、行政法规规定的其他用地</w:t>
            </w:r>
          </w:p>
          <w:p w14:paraId="6C23B518">
            <w:pPr>
              <w:spacing w:before="62" w:beforeLines="20" w:after="93" w:afterLines="3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kern w:val="0"/>
                <w:sz w:val="20"/>
                <w:lang w:val="en-US" w:eastAsia="zh-CN"/>
              </w:rPr>
              <w:t>只</w:t>
            </w:r>
            <w:r>
              <w:rPr>
                <w:rFonts w:hint="eastAsia" w:ascii="汉仪书宋一简" w:eastAsia="汉仪书宋一简"/>
                <w:color w:val="0000FF"/>
                <w:kern w:val="0"/>
                <w:sz w:val="20"/>
                <w:lang w:val="en-US" w:eastAsia="zh-CN"/>
              </w:rPr>
              <w:t>能在限制范围内</w:t>
            </w:r>
          </w:p>
        </w:tc>
      </w:tr>
      <w:tr w14:paraId="50CC129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11FC8EF4">
            <w:pPr>
              <w:spacing w:before="62" w:beforeLines="20" w:after="93" w:afterLines="30" w:line="280" w:lineRule="exact"/>
              <w:ind w:firstLine="0" w:firstLineChars="0"/>
              <w:jc w:val="center"/>
              <w:rPr>
                <w:rFonts w:hint="eastAsia" w:ascii="汉仪中黑简" w:eastAsia="汉仪中黑简"/>
                <w:bCs/>
                <w:kern w:val="0"/>
                <w:sz w:val="20"/>
              </w:rPr>
            </w:pPr>
          </w:p>
        </w:tc>
        <w:tc>
          <w:tcPr>
            <w:tcW w:w="4589" w:type="pct"/>
            <w:shd w:val="clear" w:color="auto" w:fill="auto"/>
            <w:vAlign w:val="center"/>
          </w:tcPr>
          <w:p w14:paraId="2104D0D4">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使用年限：没有使用期限的限制</w:t>
            </w:r>
          </w:p>
        </w:tc>
      </w:tr>
      <w:tr w14:paraId="75E4216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vMerge w:val="continue"/>
            <w:shd w:val="clear" w:color="auto" w:fill="auto"/>
            <w:vAlign w:val="center"/>
          </w:tcPr>
          <w:p w14:paraId="3FF2A9FD">
            <w:pPr>
              <w:spacing w:before="62" w:beforeLines="20" w:after="93" w:afterLines="30" w:line="280" w:lineRule="exact"/>
              <w:ind w:firstLine="0" w:firstLineChars="0"/>
              <w:jc w:val="center"/>
              <w:rPr>
                <w:rFonts w:hint="eastAsia" w:ascii="汉仪中黑简" w:eastAsia="汉仪中黑简"/>
                <w:bCs/>
                <w:kern w:val="0"/>
                <w:sz w:val="20"/>
              </w:rPr>
            </w:pPr>
          </w:p>
        </w:tc>
        <w:tc>
          <w:tcPr>
            <w:tcW w:w="4589" w:type="pct"/>
            <w:shd w:val="clear" w:color="auto" w:fill="auto"/>
            <w:vAlign w:val="center"/>
          </w:tcPr>
          <w:p w14:paraId="5B70150B">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权利限制：不得擅自改变土地用途，转让、出租和抵押受到严格限制</w:t>
            </w:r>
          </w:p>
        </w:tc>
      </w:tr>
      <w:tr w14:paraId="1013512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shd w:val="clear" w:color="auto" w:fill="auto"/>
            <w:vAlign w:val="center"/>
          </w:tcPr>
          <w:p w14:paraId="4BE38261">
            <w:pPr>
              <w:spacing w:before="62" w:beforeLines="20" w:after="93" w:afterLines="3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用途</w:t>
            </w:r>
          </w:p>
        </w:tc>
        <w:tc>
          <w:tcPr>
            <w:tcW w:w="4589" w:type="pct"/>
            <w:shd w:val="clear" w:color="auto" w:fill="auto"/>
            <w:vAlign w:val="center"/>
          </w:tcPr>
          <w:p w14:paraId="720DA22B">
            <w:pPr>
              <w:spacing w:before="62" w:beforeLines="20" w:after="93" w:afterLines="3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确需改变该幅土地建设用途的，应当经有关政府</w:t>
            </w:r>
            <w:r>
              <w:rPr>
                <w:rFonts w:hint="eastAsia" w:ascii="汉仪书宋一简" w:hAnsi="楷体" w:eastAsia="汉仪中黑简" w:cs="楷体"/>
                <w:color w:val="FF0000"/>
                <w:kern w:val="0"/>
                <w:sz w:val="20"/>
              </w:rPr>
              <w:t>自然资源主管部门同意</w:t>
            </w:r>
            <w:r>
              <w:rPr>
                <w:rFonts w:hint="eastAsia" w:ascii="汉仪书宋一简" w:eastAsia="汉仪书宋一简"/>
                <w:kern w:val="0"/>
                <w:sz w:val="20"/>
              </w:rPr>
              <w:t>，报原批准用地的人民</w:t>
            </w:r>
            <w:r>
              <w:rPr>
                <w:rFonts w:hint="eastAsia" w:ascii="汉仪书宋一简" w:hAnsi="楷体" w:eastAsia="汉仪中黑简" w:cs="楷体"/>
                <w:color w:val="FF0000"/>
                <w:kern w:val="0"/>
                <w:sz w:val="20"/>
              </w:rPr>
              <w:t>政府批准</w:t>
            </w:r>
            <w:r>
              <w:rPr>
                <w:rFonts w:hint="eastAsia" w:ascii="汉仪书宋一简" w:eastAsia="汉仪书宋一简"/>
                <w:kern w:val="0"/>
                <w:sz w:val="20"/>
              </w:rPr>
              <w:t>。其中，在城市规划区内改变土地用途的，在报批前，应当先经有关城市</w:t>
            </w:r>
            <w:r>
              <w:rPr>
                <w:rFonts w:hint="eastAsia" w:ascii="汉仪书宋一简" w:hAnsi="楷体" w:eastAsia="汉仪中黑简" w:cs="楷体"/>
                <w:color w:val="FF0000"/>
                <w:kern w:val="0"/>
                <w:sz w:val="20"/>
              </w:rPr>
              <w:t>规划行政主管部门同意</w:t>
            </w:r>
            <w:r>
              <w:rPr>
                <w:rFonts w:hint="eastAsia" w:ascii="汉仪书宋一简" w:eastAsia="汉仪书宋一简"/>
                <w:kern w:val="0"/>
                <w:sz w:val="20"/>
              </w:rPr>
              <w:t>。改变出让土地使用权用途的，还应当签订土地使用权出让合同变更协议或者重新签订土地使用权出让合同，相应调整土地使用权出让金</w:t>
            </w:r>
          </w:p>
        </w:tc>
      </w:tr>
    </w:tbl>
    <w:p w14:paraId="4B8E109F">
      <w:pPr>
        <w:ind w:firstLine="420"/>
        <w:rPr>
          <w:rFonts w:hint="eastAsia"/>
        </w:rPr>
      </w:pPr>
    </w:p>
    <w:p w14:paraId="0FE672F2">
      <w:pPr>
        <w:ind w:firstLine="420"/>
        <w:rPr>
          <w:rFonts w:hint="eastAsia"/>
        </w:rPr>
      </w:pPr>
    </w:p>
    <w:p w14:paraId="6CA90AFF">
      <w:pPr>
        <w:ind w:firstLine="420"/>
        <w:rPr>
          <w:rFonts w:hint="eastAsia"/>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699"/>
        <w:gridCol w:w="7806"/>
      </w:tblGrid>
      <w:tr w14:paraId="636AA0E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shd w:val="clear" w:color="auto" w:fill="auto"/>
            <w:vAlign w:val="center"/>
          </w:tcPr>
          <w:p w14:paraId="501CC64B">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收回</w:t>
            </w:r>
          </w:p>
        </w:tc>
        <w:tc>
          <w:tcPr>
            <w:tcW w:w="4589" w:type="pct"/>
            <w:shd w:val="clear" w:color="auto" w:fill="auto"/>
            <w:vAlign w:val="center"/>
          </w:tcPr>
          <w:p w14:paraId="310F261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有下列情形之一的，由有关人民政府自然资源主管部门报经原批准用地的政府或者有批准权的政府批准，可以收回国有土地使用权：</w:t>
            </w:r>
          </w:p>
          <w:p w14:paraId="7AEFFA8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为实施城市规划进行旧城区改建以及其他公共利益需要，确需使用土地的；（2）土地出让等有偿使用合同约定的使用期限届满，土地使用者未申请续期或者申请续期未获批准的；（3）因单位撤销、迁移等原因，停止使用原划拨的国有土地的；（4）公路、铁路、机场、矿场等经核准报废的。第（1）项对土地使用权人应当给予适当补偿</w:t>
            </w:r>
          </w:p>
        </w:tc>
      </w:tr>
      <w:tr w14:paraId="15C41A8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1" w:type="pct"/>
            <w:shd w:val="clear" w:color="auto" w:fill="auto"/>
            <w:vAlign w:val="center"/>
          </w:tcPr>
          <w:p w14:paraId="0CAB76A4">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临时用地</w:t>
            </w:r>
          </w:p>
        </w:tc>
        <w:tc>
          <w:tcPr>
            <w:tcW w:w="4589" w:type="pct"/>
            <w:shd w:val="clear" w:color="auto" w:fill="auto"/>
            <w:vAlign w:val="center"/>
          </w:tcPr>
          <w:p w14:paraId="28F33850">
            <w:pPr>
              <w:widowControl/>
              <w:shd w:val="clear" w:color="auto" w:fill="FFFFFF"/>
              <w:spacing w:before="31" w:beforeLines="10" w:after="62" w:afterLines="20" w:line="280" w:lineRule="exact"/>
              <w:ind w:firstLine="0" w:firstLineChars="0"/>
              <w:rPr>
                <w:rFonts w:hint="eastAsia" w:ascii="汉仪书宋一简" w:eastAsia="汉仪书宋一简"/>
                <w:b/>
                <w:kern w:val="0"/>
                <w:sz w:val="20"/>
              </w:rPr>
            </w:pPr>
            <w:r>
              <w:rPr>
                <w:rFonts w:hint="eastAsia" w:ascii="汉仪书宋一简" w:hAnsi="Arial" w:eastAsia="汉仪书宋一简" w:cs="Arial"/>
                <w:kern w:val="0"/>
                <w:sz w:val="20"/>
              </w:rPr>
              <w:t>建设项目施工和地质勘查需要临时使</w:t>
            </w:r>
            <w:r>
              <w:rPr>
                <w:rFonts w:hint="eastAsia" w:ascii="汉仪书宋一简" w:hAnsi="Arial" w:eastAsia="汉仪书宋一简" w:cs="Arial"/>
                <w:color w:val="0000FF"/>
                <w:kern w:val="0"/>
                <w:sz w:val="20"/>
              </w:rPr>
              <w:t>用国有土地或者农民集体所有的土地的</w:t>
            </w:r>
            <w:r>
              <w:rPr>
                <w:rFonts w:hint="eastAsia" w:ascii="汉仪书宋一简" w:hAnsi="Arial" w:eastAsia="汉仪书宋一简" w:cs="Arial"/>
                <w:kern w:val="0"/>
                <w:sz w:val="20"/>
              </w:rPr>
              <w:t>，由县级以上人民政府自然资源主管部门批准。其中，在城市规划区内的临时用地，在报批前，应当先经有关城市规划行政主管部门同意。土地使用者应当根据土地权属，与有关自然资源主管部门或者农村集体经济组织、村民委员会签订临时使用土地合同，并按照合同的约定支付临时使用土地补偿费。临时使用土地的使用者应当按照临时使用土地合同约定的用途使用土地，并不得修建永久性建筑物。</w:t>
            </w:r>
            <w:r>
              <w:rPr>
                <w:rFonts w:hint="eastAsia" w:ascii="汉仪书宋一简" w:hAnsi="Arial" w:eastAsia="汉仪书宋一简" w:cs="Arial"/>
                <w:color w:val="0000FF"/>
                <w:kern w:val="0"/>
                <w:sz w:val="20"/>
              </w:rPr>
              <w:t>临时使用土地期限一般不超过二年</w:t>
            </w:r>
          </w:p>
        </w:tc>
      </w:tr>
    </w:tbl>
    <w:p w14:paraId="43FC6763">
      <w:pPr>
        <w:ind w:firstLine="480"/>
        <w:rPr>
          <w:rFonts w:hint="eastAsia" w:ascii="汉仪书宋二简"/>
          <w:b/>
          <w:sz w:val="24"/>
          <w:szCs w:val="24"/>
        </w:rPr>
      </w:pPr>
    </w:p>
    <w:p w14:paraId="1F3A48C5">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三、集体土地使用权</w:t>
      </w:r>
    </w:p>
    <w:p w14:paraId="20979797">
      <w:pPr>
        <w:ind w:firstLine="480"/>
        <w:rPr>
          <w:rFonts w:hint="eastAsia" w:ascii="汉仪书宋二简"/>
          <w:b/>
          <w:sz w:val="24"/>
          <w:szCs w:val="24"/>
        </w:rPr>
      </w:pPr>
    </w:p>
    <w:tbl>
      <w:tblPr>
        <w:tblStyle w:val="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946"/>
        <w:gridCol w:w="1169"/>
        <w:gridCol w:w="6390"/>
      </w:tblGrid>
      <w:tr w14:paraId="31C7EE5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restart"/>
            <w:shd w:val="clear" w:color="auto" w:fill="auto"/>
            <w:vAlign w:val="center"/>
          </w:tcPr>
          <w:p w14:paraId="1A0668F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土地承包经营权</w:t>
            </w:r>
          </w:p>
        </w:tc>
        <w:tc>
          <w:tcPr>
            <w:tcW w:w="687" w:type="pct"/>
            <w:shd w:val="clear" w:color="auto" w:fill="auto"/>
            <w:vAlign w:val="center"/>
          </w:tcPr>
          <w:p w14:paraId="02F666F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家庭承包</w:t>
            </w:r>
          </w:p>
        </w:tc>
        <w:tc>
          <w:tcPr>
            <w:tcW w:w="3756" w:type="pct"/>
            <w:shd w:val="clear" w:color="auto" w:fill="auto"/>
            <w:vAlign w:val="center"/>
          </w:tcPr>
          <w:p w14:paraId="41D8B5EC">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家庭承包方式的农村土地承包经营权属于农户家庭，而不属于某一个家庭成员，因此不可以继承，但林地除外</w:t>
            </w:r>
          </w:p>
        </w:tc>
      </w:tr>
      <w:tr w14:paraId="45EA506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5E0E39CB">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62CC0C9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对外承包</w:t>
            </w:r>
          </w:p>
        </w:tc>
        <w:tc>
          <w:tcPr>
            <w:tcW w:w="3756" w:type="pct"/>
            <w:shd w:val="clear" w:color="auto" w:fill="auto"/>
            <w:vAlign w:val="center"/>
          </w:tcPr>
          <w:p w14:paraId="490AFF20">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不宜采取家庭承包方式的荒山、荒沟、荒丘、荒滩等，可以采取招标、拍卖、公开协商等方式承包，从事种植业、林业、畜牧业、渔业生产</w:t>
            </w:r>
          </w:p>
        </w:tc>
      </w:tr>
      <w:tr w14:paraId="16B22342">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restart"/>
            <w:shd w:val="clear" w:color="auto" w:fill="auto"/>
            <w:vAlign w:val="center"/>
          </w:tcPr>
          <w:p w14:paraId="491B8132">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宅基地</w:t>
            </w:r>
          </w:p>
          <w:p w14:paraId="3F3825B8">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使用权</w:t>
            </w:r>
          </w:p>
        </w:tc>
        <w:tc>
          <w:tcPr>
            <w:tcW w:w="687" w:type="pct"/>
            <w:shd w:val="clear" w:color="auto" w:fill="auto"/>
            <w:vAlign w:val="center"/>
          </w:tcPr>
          <w:p w14:paraId="680BD36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保障性</w:t>
            </w:r>
          </w:p>
        </w:tc>
        <w:tc>
          <w:tcPr>
            <w:tcW w:w="3756" w:type="pct"/>
            <w:shd w:val="clear" w:color="auto" w:fill="auto"/>
            <w:vAlign w:val="center"/>
          </w:tcPr>
          <w:p w14:paraId="28BA85F7">
            <w:pPr>
              <w:spacing w:before="31" w:beforeLines="10" w:after="62" w:afterLines="20" w:line="280" w:lineRule="exact"/>
              <w:ind w:firstLine="0" w:firstLineChars="0"/>
              <w:rPr>
                <w:rFonts w:hint="eastAsia" w:ascii="汉仪书宋一简" w:hAnsi="ˎ̥" w:eastAsia="汉仪书宋一简"/>
                <w:b/>
                <w:kern w:val="0"/>
                <w:sz w:val="20"/>
              </w:rPr>
            </w:pPr>
            <w:r>
              <w:rPr>
                <w:rFonts w:hint="eastAsia" w:ascii="汉仪书宋一简" w:hAnsi="楷体" w:eastAsia="汉仪中黑简" w:cs="楷体"/>
                <w:color w:val="FF0000"/>
                <w:kern w:val="0"/>
                <w:sz w:val="20"/>
              </w:rPr>
              <w:t>一户一宅</w:t>
            </w:r>
            <w:r>
              <w:rPr>
                <w:rFonts w:hint="eastAsia" w:ascii="汉仪书宋一简" w:eastAsia="汉仪书宋一简"/>
                <w:kern w:val="0"/>
                <w:sz w:val="20"/>
                <w:shd w:val="clear" w:color="auto" w:fill="FFFFFF"/>
              </w:rPr>
              <w:t>。</w:t>
            </w:r>
            <w:r>
              <w:rPr>
                <w:rFonts w:hint="eastAsia" w:ascii="汉仪书宋一简" w:hAnsi="Arial" w:eastAsia="汉仪书宋一简" w:cs="Arial"/>
                <w:kern w:val="0"/>
                <w:sz w:val="20"/>
              </w:rPr>
              <w:t>农村村民出卖、出租、赠与住宅后，</w:t>
            </w:r>
            <w:r>
              <w:rPr>
                <w:rFonts w:hint="eastAsia" w:ascii="汉仪书宋一简" w:hAnsi="Arial" w:eastAsia="汉仪书宋一简" w:cs="Arial"/>
                <w:color w:val="0000FF"/>
                <w:kern w:val="0"/>
                <w:sz w:val="20"/>
              </w:rPr>
              <w:t>再申请宅基地的，不予批准</w:t>
            </w:r>
          </w:p>
        </w:tc>
      </w:tr>
      <w:tr w14:paraId="3AEA092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4AFF5C3D">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41827204">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限制性</w:t>
            </w:r>
          </w:p>
        </w:tc>
        <w:tc>
          <w:tcPr>
            <w:tcW w:w="3756" w:type="pct"/>
            <w:shd w:val="clear" w:color="auto" w:fill="auto"/>
            <w:vAlign w:val="center"/>
          </w:tcPr>
          <w:p w14:paraId="445CE5D6">
            <w:pPr>
              <w:spacing w:before="31" w:beforeLines="10" w:after="62" w:afterLines="20" w:line="280" w:lineRule="exact"/>
              <w:ind w:firstLine="0" w:firstLineChars="0"/>
              <w:rPr>
                <w:rFonts w:hint="eastAsia" w:ascii="汉仪书宋一简" w:hAnsi="ˎ̥" w:eastAsia="汉仪书宋一简"/>
                <w:b/>
                <w:kern w:val="0"/>
                <w:sz w:val="20"/>
              </w:rPr>
            </w:pPr>
            <w:r>
              <w:rPr>
                <w:rFonts w:hint="eastAsia" w:ascii="汉仪书宋一简" w:hAnsi="Arial" w:eastAsia="汉仪书宋一简" w:cs="Arial"/>
                <w:kern w:val="0"/>
                <w:sz w:val="20"/>
              </w:rPr>
              <w:t>村民建住宅，应当符合乡（镇）土地利用总体规划、村庄规划，不得占用永久基本农田，并尽量使用原有的宅基地和村内空闲地</w:t>
            </w:r>
          </w:p>
        </w:tc>
      </w:tr>
      <w:tr w14:paraId="0B5BB2C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3F6ED34C">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19ACDD2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程序性</w:t>
            </w:r>
          </w:p>
        </w:tc>
        <w:tc>
          <w:tcPr>
            <w:tcW w:w="3756" w:type="pct"/>
            <w:shd w:val="clear" w:color="auto" w:fill="auto"/>
            <w:vAlign w:val="center"/>
          </w:tcPr>
          <w:p w14:paraId="17AE0DFF">
            <w:pPr>
              <w:spacing w:before="31" w:beforeLines="10" w:after="62" w:afterLines="20" w:line="280" w:lineRule="exact"/>
              <w:ind w:firstLine="0" w:firstLineChars="0"/>
              <w:rPr>
                <w:rFonts w:hint="eastAsia" w:ascii="汉仪书宋一简" w:hAnsi="ˎ̥" w:eastAsia="汉仪书宋一简"/>
                <w:b/>
                <w:kern w:val="0"/>
                <w:sz w:val="20"/>
              </w:rPr>
            </w:pPr>
            <w:r>
              <w:rPr>
                <w:rFonts w:hint="eastAsia" w:ascii="汉仪书宋一简" w:hAnsi="Arial" w:eastAsia="汉仪书宋一简" w:cs="Arial"/>
                <w:kern w:val="0"/>
                <w:sz w:val="20"/>
              </w:rPr>
              <w:t>村民住宅用地，由乡（镇）政府审核批准；其中，涉及占用农用地的应依法办理审批手续</w:t>
            </w:r>
          </w:p>
        </w:tc>
      </w:tr>
      <w:tr w14:paraId="5834F87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57E6262D">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33537ACB">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退出性</w:t>
            </w:r>
          </w:p>
        </w:tc>
        <w:tc>
          <w:tcPr>
            <w:tcW w:w="3756" w:type="pct"/>
            <w:shd w:val="clear" w:color="auto" w:fill="auto"/>
            <w:vAlign w:val="center"/>
          </w:tcPr>
          <w:p w14:paraId="249A8D8C">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国家允许进城落户的农村村民依法自愿有偿退出宅基地</w:t>
            </w:r>
          </w:p>
        </w:tc>
      </w:tr>
      <w:tr w14:paraId="0039846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restart"/>
            <w:shd w:val="clear" w:color="auto" w:fill="auto"/>
            <w:vAlign w:val="center"/>
          </w:tcPr>
          <w:p w14:paraId="032DE24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集体经营性建设用地</w:t>
            </w:r>
          </w:p>
        </w:tc>
        <w:tc>
          <w:tcPr>
            <w:tcW w:w="687" w:type="pct"/>
            <w:shd w:val="clear" w:color="auto" w:fill="auto"/>
            <w:vAlign w:val="center"/>
          </w:tcPr>
          <w:p w14:paraId="124F665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入市条件</w:t>
            </w:r>
          </w:p>
        </w:tc>
        <w:tc>
          <w:tcPr>
            <w:tcW w:w="3756" w:type="pct"/>
            <w:shd w:val="clear" w:color="auto" w:fill="auto"/>
            <w:vAlign w:val="center"/>
          </w:tcPr>
          <w:p w14:paraId="0B16AEB8">
            <w:pPr>
              <w:spacing w:before="31" w:beforeLines="10" w:after="62" w:afterLines="20" w:line="280" w:lineRule="exact"/>
              <w:ind w:firstLine="0" w:firstLineChars="0"/>
              <w:rPr>
                <w:rFonts w:hint="eastAsia" w:ascii="汉仪书宋一简" w:hAnsi="Arial" w:eastAsia="汉仪书宋一简" w:cs="Arial"/>
                <w:kern w:val="0"/>
                <w:sz w:val="20"/>
              </w:rPr>
            </w:pPr>
            <w:r>
              <w:rPr>
                <w:rFonts w:hint="eastAsia" w:ascii="汉仪书宋一简" w:hAnsi="Arial" w:eastAsia="汉仪书宋一简" w:cs="Arial"/>
                <w:kern w:val="0"/>
                <w:sz w:val="20"/>
              </w:rPr>
              <w:t>土地利用总体规划、城乡规划确定为</w:t>
            </w:r>
            <w:r>
              <w:rPr>
                <w:rFonts w:hint="eastAsia" w:ascii="汉仪书宋一简" w:hAnsi="楷体" w:eastAsia="汉仪中黑简" w:cs="楷体"/>
                <w:color w:val="FF0000"/>
                <w:kern w:val="0"/>
                <w:sz w:val="20"/>
              </w:rPr>
              <w:t>工业、商业等经营性用途</w:t>
            </w:r>
            <w:r>
              <w:rPr>
                <w:rFonts w:hint="eastAsia" w:ascii="汉仪书宋一简" w:hAnsi="Arial" w:eastAsia="汉仪书宋一简" w:cs="Arial"/>
                <w:kern w:val="0"/>
                <w:sz w:val="20"/>
              </w:rPr>
              <w:t>，并经依法</w:t>
            </w:r>
            <w:r>
              <w:rPr>
                <w:rFonts w:hint="eastAsia" w:ascii="汉仪书宋一简" w:hAnsi="楷体" w:eastAsia="汉仪中黑简" w:cs="楷体"/>
                <w:color w:val="FF0000"/>
                <w:kern w:val="0"/>
                <w:sz w:val="20"/>
              </w:rPr>
              <w:t>登记</w:t>
            </w:r>
            <w:r>
              <w:rPr>
                <w:rFonts w:hint="eastAsia" w:ascii="汉仪书宋一简" w:hAnsi="Arial" w:eastAsia="汉仪书宋一简" w:cs="Arial"/>
                <w:kern w:val="0"/>
                <w:sz w:val="20"/>
              </w:rPr>
              <w:t>的集体经营性建设用地，</w:t>
            </w:r>
            <w:r>
              <w:rPr>
                <w:rFonts w:hint="eastAsia" w:ascii="汉仪书宋一简" w:hAnsi="Arial" w:eastAsia="汉仪书宋一简" w:cs="Arial"/>
                <w:color w:val="0000FF"/>
                <w:kern w:val="0"/>
                <w:sz w:val="20"/>
              </w:rPr>
              <w:t>经本集体经济组织成员的村民会议</w:t>
            </w:r>
            <w:r>
              <w:rPr>
                <w:rFonts w:hint="eastAsia" w:ascii="汉仪书宋一简" w:eastAsia="汉仪书宋一简"/>
                <w:color w:val="0000FF"/>
                <w:kern w:val="0"/>
                <w:sz w:val="20"/>
              </w:rPr>
              <w:t>2</w:t>
            </w:r>
            <w:r>
              <w:rPr>
                <w:rFonts w:hint="eastAsia" w:ascii="汉仪书宋一简" w:hAnsi="Arial" w:eastAsia="汉仪书宋一简" w:cs="Arial"/>
                <w:color w:val="0000FF"/>
                <w:kern w:val="0"/>
                <w:sz w:val="20"/>
              </w:rPr>
              <w:t>/</w:t>
            </w:r>
            <w:r>
              <w:rPr>
                <w:rFonts w:hint="eastAsia" w:ascii="汉仪书宋一简" w:eastAsia="汉仪书宋一简"/>
                <w:color w:val="0000FF"/>
                <w:kern w:val="0"/>
                <w:sz w:val="20"/>
              </w:rPr>
              <w:t>3</w:t>
            </w:r>
            <w:r>
              <w:rPr>
                <w:rFonts w:hint="eastAsia" w:ascii="汉仪书宋一简" w:hAnsi="Arial" w:eastAsia="汉仪书宋一简" w:cs="Arial"/>
                <w:color w:val="0000FF"/>
                <w:kern w:val="0"/>
                <w:sz w:val="20"/>
              </w:rPr>
              <w:t>以上成员或者</w:t>
            </w:r>
            <w:r>
              <w:rPr>
                <w:rFonts w:hint="eastAsia" w:ascii="汉仪书宋一简" w:eastAsia="汉仪书宋一简"/>
                <w:color w:val="0000FF"/>
                <w:kern w:val="0"/>
                <w:sz w:val="20"/>
              </w:rPr>
              <w:t>2</w:t>
            </w:r>
            <w:r>
              <w:rPr>
                <w:rFonts w:hint="eastAsia" w:ascii="汉仪书宋一简" w:hAnsi="Arial" w:eastAsia="汉仪书宋一简" w:cs="Arial"/>
                <w:color w:val="0000FF"/>
                <w:kern w:val="0"/>
                <w:sz w:val="20"/>
              </w:rPr>
              <w:t>/</w:t>
            </w:r>
            <w:r>
              <w:rPr>
                <w:rFonts w:hint="eastAsia" w:ascii="汉仪书宋一简" w:eastAsia="汉仪书宋一简"/>
                <w:color w:val="0000FF"/>
                <w:kern w:val="0"/>
                <w:sz w:val="20"/>
              </w:rPr>
              <w:t>3</w:t>
            </w:r>
            <w:r>
              <w:rPr>
                <w:rFonts w:hint="eastAsia" w:ascii="汉仪书宋一简" w:hAnsi="Arial" w:eastAsia="汉仪书宋一简" w:cs="Arial"/>
                <w:color w:val="0000FF"/>
                <w:kern w:val="0"/>
                <w:sz w:val="20"/>
              </w:rPr>
              <w:t>以上村民代表的同意，土地所有权人可以通过出让、出租等方式交由单位或者个人使用</w:t>
            </w:r>
            <w:r>
              <w:rPr>
                <w:rFonts w:hint="eastAsia" w:ascii="汉仪书宋一简" w:hAnsi="Arial" w:eastAsia="汉仪书宋一简" w:cs="Arial"/>
                <w:kern w:val="0"/>
                <w:sz w:val="20"/>
              </w:rPr>
              <w:t>，并应当签订书面合同</w:t>
            </w:r>
          </w:p>
          <w:p w14:paraId="3BD86FFA">
            <w:pPr>
              <w:spacing w:before="31" w:beforeLines="10" w:after="62" w:afterLines="20" w:line="280" w:lineRule="exact"/>
              <w:ind w:firstLine="0" w:firstLineChars="0"/>
              <w:rPr>
                <w:rFonts w:hint="default" w:ascii="汉仪书宋一简" w:hAnsi="Arial" w:eastAsia="汉仪书宋一简" w:cs="Arial"/>
                <w:kern w:val="0"/>
                <w:sz w:val="20"/>
                <w:lang w:val="en-US" w:eastAsia="zh-CN"/>
              </w:rPr>
            </w:pPr>
            <w:r>
              <w:rPr>
                <w:rFonts w:hint="eastAsia" w:ascii="汉仪书宋一简" w:hAnsi="Arial" w:eastAsia="汉仪书宋一简" w:cs="Arial"/>
                <w:color w:val="0000FF"/>
                <w:kern w:val="0"/>
                <w:sz w:val="20"/>
                <w:lang w:val="en-US" w:eastAsia="zh-CN"/>
              </w:rPr>
              <w:t>可以直接从集体取得，无需转为建设用地</w:t>
            </w:r>
          </w:p>
        </w:tc>
      </w:tr>
      <w:tr w14:paraId="218A8EA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3999997F">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54A25F73">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流转规则</w:t>
            </w:r>
          </w:p>
        </w:tc>
        <w:tc>
          <w:tcPr>
            <w:tcW w:w="3756" w:type="pct"/>
            <w:shd w:val="clear" w:color="auto" w:fill="auto"/>
            <w:vAlign w:val="center"/>
          </w:tcPr>
          <w:p w14:paraId="74349D7C">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通过</w:t>
            </w:r>
            <w:r>
              <w:rPr>
                <w:rFonts w:hint="eastAsia" w:ascii="汉仪书宋一简" w:hAnsi="Arial" w:eastAsia="汉仪书宋一简" w:cs="Arial"/>
                <w:color w:val="0000FF"/>
                <w:kern w:val="0"/>
                <w:sz w:val="20"/>
              </w:rPr>
              <w:t>出让等方式取得的集体经营性建设用地使用权</w:t>
            </w:r>
            <w:r>
              <w:rPr>
                <w:rFonts w:hint="eastAsia" w:ascii="汉仪书宋一简" w:hAnsi="Arial" w:eastAsia="汉仪书宋一简" w:cs="Arial"/>
                <w:kern w:val="0"/>
                <w:sz w:val="20"/>
              </w:rPr>
              <w:t>可以转让、互换、出资、赠与或者抵押，但法律、行政法规另有规定或者土地所有权人、土地使用权人签订的书面合同另有约定的除外</w:t>
            </w:r>
          </w:p>
        </w:tc>
      </w:tr>
      <w:tr w14:paraId="50C8946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5B8FE9E5">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3B0CE3B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管理措施</w:t>
            </w:r>
          </w:p>
        </w:tc>
        <w:tc>
          <w:tcPr>
            <w:tcW w:w="3756" w:type="pct"/>
            <w:shd w:val="clear" w:color="auto" w:fill="auto"/>
            <w:vAlign w:val="center"/>
          </w:tcPr>
          <w:p w14:paraId="78899290">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集体建设用地的使用者应当严格按照土地利用总体规划、城乡规划确定的用途使用土地。</w:t>
            </w:r>
            <w:bookmarkStart w:id="4" w:name="_GoBack"/>
            <w:r>
              <w:rPr>
                <w:rFonts w:hint="eastAsia" w:ascii="汉仪书宋一简" w:hAnsi="Arial" w:eastAsia="汉仪书宋一简" w:cs="Arial"/>
                <w:color w:val="0000FF"/>
                <w:kern w:val="0"/>
                <w:sz w:val="20"/>
              </w:rPr>
              <w:t>在土地利用总体规划制定前已建的不符合土地利用总体规划确定的用途</w:t>
            </w:r>
            <w:bookmarkEnd w:id="4"/>
            <w:r>
              <w:rPr>
                <w:rFonts w:hint="eastAsia" w:ascii="汉仪书宋一简" w:hAnsi="Arial" w:eastAsia="汉仪书宋一简" w:cs="Arial"/>
                <w:kern w:val="0"/>
                <w:sz w:val="20"/>
              </w:rPr>
              <w:t>的建筑物、构筑物，不得重建、扩建</w:t>
            </w:r>
          </w:p>
        </w:tc>
      </w:tr>
      <w:tr w14:paraId="3F9341A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restart"/>
            <w:shd w:val="clear" w:color="auto" w:fill="auto"/>
            <w:vAlign w:val="center"/>
          </w:tcPr>
          <w:p w14:paraId="39F1F116">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乡村建设用地</w:t>
            </w:r>
          </w:p>
        </w:tc>
        <w:tc>
          <w:tcPr>
            <w:tcW w:w="687" w:type="pct"/>
            <w:shd w:val="clear" w:color="auto" w:fill="auto"/>
            <w:vAlign w:val="center"/>
          </w:tcPr>
          <w:p w14:paraId="11BA9F47">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兴办乡镇企业</w:t>
            </w:r>
          </w:p>
        </w:tc>
        <w:tc>
          <w:tcPr>
            <w:tcW w:w="3756" w:type="pct"/>
            <w:shd w:val="clear" w:color="auto" w:fill="auto"/>
            <w:vAlign w:val="center"/>
          </w:tcPr>
          <w:p w14:paraId="3F7D28CE">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持有关批准文件，向县级以上地方政府自然资源主管部门提出申请，由县级以上地方政府批准；其中，</w:t>
            </w:r>
            <w:r>
              <w:rPr>
                <w:rFonts w:hint="eastAsia" w:ascii="汉仪书宋一简" w:hAnsi="Arial" w:eastAsia="汉仪书宋一简" w:cs="Arial"/>
                <w:color w:val="0000FF"/>
                <w:kern w:val="0"/>
                <w:sz w:val="20"/>
              </w:rPr>
              <w:t>涉及占用农用地的，依法办理审批手续</w:t>
            </w:r>
          </w:p>
        </w:tc>
      </w:tr>
      <w:tr w14:paraId="40DCA6B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56" w:type="pct"/>
            <w:vMerge w:val="continue"/>
            <w:shd w:val="clear" w:color="auto" w:fill="auto"/>
            <w:vAlign w:val="center"/>
          </w:tcPr>
          <w:p w14:paraId="0F4A5CD7">
            <w:pPr>
              <w:spacing w:before="31" w:beforeLines="10" w:after="62" w:afterLines="20" w:line="280" w:lineRule="exact"/>
              <w:ind w:firstLine="0" w:firstLineChars="0"/>
              <w:jc w:val="center"/>
              <w:rPr>
                <w:rFonts w:hint="eastAsia" w:ascii="汉仪中黑简" w:eastAsia="汉仪中黑简"/>
                <w:bCs/>
                <w:kern w:val="0"/>
                <w:sz w:val="20"/>
              </w:rPr>
            </w:pPr>
          </w:p>
        </w:tc>
        <w:tc>
          <w:tcPr>
            <w:tcW w:w="687" w:type="pct"/>
            <w:shd w:val="clear" w:color="auto" w:fill="auto"/>
            <w:vAlign w:val="center"/>
          </w:tcPr>
          <w:p w14:paraId="32D86E49">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公共设施公益事业</w:t>
            </w:r>
          </w:p>
        </w:tc>
        <w:tc>
          <w:tcPr>
            <w:tcW w:w="3756" w:type="pct"/>
            <w:shd w:val="clear" w:color="auto" w:fill="auto"/>
            <w:vAlign w:val="center"/>
          </w:tcPr>
          <w:p w14:paraId="340BB99E">
            <w:pPr>
              <w:spacing w:before="31" w:beforeLines="10" w:after="62" w:afterLines="20" w:line="280" w:lineRule="exact"/>
              <w:ind w:firstLine="0" w:firstLineChars="0"/>
              <w:rPr>
                <w:rFonts w:ascii="汉仪书宋一简" w:hAnsi="Arial" w:eastAsia="汉仪书宋一简" w:cs="Arial"/>
                <w:kern w:val="0"/>
                <w:sz w:val="20"/>
              </w:rPr>
            </w:pPr>
            <w:r>
              <w:rPr>
                <w:rFonts w:hint="eastAsia" w:ascii="汉仪书宋一简" w:hAnsi="Arial" w:eastAsia="汉仪书宋一简" w:cs="Arial"/>
                <w:kern w:val="0"/>
                <w:sz w:val="20"/>
              </w:rPr>
              <w:t>乡（镇）村公共设施、公益事业建设，需要使用土地的，经乡（镇）政府审核，向县级以上地方政府自然资源主管部门提出申请，由县级以上地方政府批准；其中，涉及占用农用地的，依法办理审批手续</w:t>
            </w:r>
          </w:p>
        </w:tc>
      </w:tr>
    </w:tbl>
    <w:p w14:paraId="6BF546F2">
      <w:pPr>
        <w:ind w:firstLine="420"/>
        <w:rPr>
          <w:rFonts w:hint="eastAsia" w:ascii="汉仪书宋二简" w:hAnsiTheme="minorEastAsia"/>
        </w:rPr>
      </w:pPr>
    </w:p>
    <w:p w14:paraId="2F9585E4"/>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汉仪书宋二简">
    <w:altName w:val="微软雅黑"/>
    <w:panose1 w:val="00000000000000000000"/>
    <w:charset w:val="86"/>
    <w:family w:val="modern"/>
    <w:pitch w:val="default"/>
    <w:sig w:usb0="00000000" w:usb1="00000000" w:usb2="00000012" w:usb3="00000000" w:csb0="00040000" w:csb1="00000000"/>
  </w:font>
  <w:font w:name="汉仪大宋简">
    <w:altName w:val="微软雅黑"/>
    <w:panose1 w:val="00000000000000000000"/>
    <w:charset w:val="86"/>
    <w:family w:val="modern"/>
    <w:pitch w:val="default"/>
    <w:sig w:usb0="00000000" w:usb1="00000000" w:usb2="00000012" w:usb3="00000000" w:csb0="00040000" w:csb1="00000000"/>
  </w:font>
  <w:font w:name="Calibri Light">
    <w:panose1 w:val="020F0302020204030204"/>
    <w:charset w:val="00"/>
    <w:family w:val="auto"/>
    <w:pitch w:val="default"/>
    <w:sig w:usb0="E4002EFF" w:usb1="C200247B" w:usb2="00000009" w:usb3="00000000" w:csb0="200001FF" w:csb1="00000000"/>
  </w:font>
  <w:font w:name="汉仪中黑简">
    <w:altName w:val="微软雅黑"/>
    <w:panose1 w:val="00000000000000000000"/>
    <w:charset w:val="86"/>
    <w:family w:val="modern"/>
    <w:pitch w:val="default"/>
    <w:sig w:usb0="00000000" w:usb1="00000000" w:usb2="00000012" w:usb3="00000000" w:csb0="00040000" w:csb1="00000000"/>
  </w:font>
  <w:font w:name="汉仪书宋一简">
    <w:altName w:val="微软雅黑"/>
    <w:panose1 w:val="00000000000000000000"/>
    <w:charset w:val="86"/>
    <w:family w:val="modern"/>
    <w:pitch w:val="default"/>
    <w:sig w:usb0="00000000" w:usb1="00000000" w:usb2="00000012" w:usb3="00000000" w:csb0="00040000" w:csb1="00000000"/>
  </w:font>
  <w:font w:name="汉仪大黑简">
    <w:altName w:val="微软雅黑"/>
    <w:panose1 w:val="00000000000000000000"/>
    <w:charset w:val="86"/>
    <w:family w:val="modern"/>
    <w:pitch w:val="default"/>
    <w:sig w:usb0="00000000" w:usb1="00000000" w:usb2="00000012" w:usb3="00000000" w:csb0="00040000" w:csb1="00000000"/>
  </w:font>
  <w:font w:name="汉仪粗黑简">
    <w:altName w:val="微软雅黑"/>
    <w:panose1 w:val="00000000000000000000"/>
    <w:charset w:val="86"/>
    <w:family w:val="modern"/>
    <w:pitch w:val="default"/>
    <w:sig w:usb0="00000000" w:usb1="00000000" w:usb2="00000012" w:usb3="00000000" w:csb0="00040000"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汉仪粗宋简">
    <w:altName w:val="微软雅黑"/>
    <w:panose1 w:val="00000000000000000000"/>
    <w:charset w:val="86"/>
    <w:family w:val="modern"/>
    <w:pitch w:val="default"/>
    <w:sig w:usb0="00000000" w:usb1="00000000" w:usb2="00000012" w:usb3="00000000" w:csb0="00040000" w:csb1="00000000"/>
  </w:font>
  <w:font w:name="楷体">
    <w:panose1 w:val="02010609060101010101"/>
    <w:charset w:val="86"/>
    <w:family w:val="modern"/>
    <w:pitch w:val="default"/>
    <w:sig w:usb0="800002BF" w:usb1="38CF7CFA" w:usb2="00000016" w:usb3="00000000" w:csb0="00040001" w:csb1="00000000"/>
  </w:font>
  <w:font w:name="ˎ̥">
    <w:altName w:val="Segoe Print"/>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汉仪书宋一简">
    <w:altName w:val="宋体"/>
    <w:panose1 w:val="00000000000000000000"/>
    <w:charset w:val="00"/>
    <w:family w:val="auto"/>
    <w:pitch w:val="default"/>
    <w:sig w:usb0="00000000" w:usb1="00000000" w:usb2="00000000" w:usb3="00000000" w:csb0="00000000" w:csb1="00000000"/>
  </w:font>
  <w:font w:name="汉仪书宋二简">
    <w:altName w:val="宋体"/>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AB7CC5"/>
    <w:rsid w:val="501E6ED7"/>
    <w:rsid w:val="511B534F"/>
    <w:rsid w:val="56E82D54"/>
    <w:rsid w:val="7DBD7B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3"/>
    <w:basedOn w:val="1"/>
    <w:next w:val="1"/>
    <w:unhideWhenUsed/>
    <w:qFormat/>
    <w:uiPriority w:val="9"/>
    <w:pPr>
      <w:keepNext/>
      <w:keepLines/>
      <w:ind w:firstLine="0" w:firstLineChars="0"/>
      <w:jc w:val="left"/>
      <w:outlineLvl w:val="2"/>
    </w:pPr>
    <w:rPr>
      <w:rFonts w:eastAsia="汉仪大宋简"/>
      <w:sz w:val="26"/>
    </w:rPr>
  </w:style>
  <w:style w:type="paragraph" w:styleId="4">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8">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footnote text"/>
    <w:basedOn w:val="1"/>
    <w:unhideWhenUsed/>
    <w:qFormat/>
    <w:uiPriority w:val="0"/>
    <w:pPr>
      <w:snapToGrid w:val="0"/>
      <w:jc w:val="left"/>
    </w:pPr>
    <w:rPr>
      <w:sz w:val="18"/>
      <w:szCs w:val="18"/>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12</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2025-05-27T13:20:27Z</dcterms:created>
  <dc:creator>cuplh</dc:creator>
  <cp:lastModifiedBy>韩富鹏</cp:lastModifiedBy>
  <dcterms:modified xsi:type="dcterms:W3CDTF">2025-05-27T14:44:08Z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eyJoZGlkIjoiMWFjYzQzMDc3NjcyYmQ4ODllY2M1ZTlhMDk0YzI1ZDQiLCJ1c2VySWQiOiI2MjgyMjQxMTMifQ==</vt:lpwstr>
  </property>
  <property fmtid="{D5CDD505-2E9C-101B-9397-08002B2CF9AE}" pid="4" name="ICV">
    <vt:lpwstr>A732E6EC289B488BBF3153933B07869E_12</vt:lpwstr>
  </property>
</Properties>
</file>