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1ED628" w14:textId="0F8AF289" w:rsidR="005512AC" w:rsidRPr="005512AC" w:rsidRDefault="005512AC" w:rsidP="005512AC">
      <w:pPr>
        <w:tabs>
          <w:tab w:val="clear" w:pos="420"/>
        </w:tabs>
        <w:autoSpaceDE w:val="0"/>
        <w:autoSpaceDN w:val="0"/>
        <w:adjustRightInd w:val="0"/>
        <w:spacing w:line="300" w:lineRule="auto"/>
        <w:ind w:firstLineChars="0" w:firstLine="0"/>
        <w:jc w:val="center"/>
        <w:textAlignment w:val="center"/>
        <w:rPr>
          <w:rFonts w:eastAsia="宋体" w:cs="汉仪粗宋简" w:hint="eastAsia"/>
          <w:b/>
          <w:bCs/>
          <w:color w:val="000000"/>
          <w:kern w:val="0"/>
          <w:position w:val="4"/>
          <w:lang w:val="zh-CN"/>
        </w:rPr>
      </w:pPr>
      <w:r w:rsidRPr="005512AC">
        <w:rPr>
          <w:rFonts w:eastAsia="宋体" w:cs="汉仪粗宋简" w:hint="eastAsia"/>
          <w:b/>
          <w:bCs/>
          <w:color w:val="000000"/>
          <w:kern w:val="0"/>
          <w:position w:val="4"/>
          <w:lang w:val="zh-CN"/>
        </w:rPr>
        <w:t>考点1 剩余内容（19:30:00-</w:t>
      </w:r>
      <w:r w:rsidR="00260D07">
        <w:rPr>
          <w:rFonts w:eastAsia="宋体" w:cs="汉仪粗宋简" w:hint="eastAsia"/>
          <w:b/>
          <w:bCs/>
          <w:color w:val="000000"/>
          <w:kern w:val="0"/>
          <w:position w:val="4"/>
          <w:lang w:val="zh-CN"/>
        </w:rPr>
        <w:t>20</w:t>
      </w:r>
      <w:r w:rsidRPr="005512AC">
        <w:rPr>
          <w:rFonts w:eastAsia="宋体" w:cs="汉仪粗宋简" w:hint="eastAsia"/>
          <w:b/>
          <w:bCs/>
          <w:color w:val="000000"/>
          <w:kern w:val="0"/>
          <w:position w:val="4"/>
          <w:lang w:val="zh-CN"/>
        </w:rPr>
        <w:t>:</w:t>
      </w:r>
      <w:r w:rsidR="00260D07">
        <w:rPr>
          <w:rFonts w:eastAsia="宋体" w:cs="汉仪粗宋简" w:hint="eastAsia"/>
          <w:b/>
          <w:bCs/>
          <w:color w:val="000000"/>
          <w:kern w:val="0"/>
          <w:position w:val="4"/>
          <w:lang w:val="zh-CN"/>
        </w:rPr>
        <w:t>01:00</w:t>
      </w:r>
      <w:r w:rsidRPr="005512AC">
        <w:rPr>
          <w:rFonts w:eastAsia="宋体" w:cs="汉仪粗宋简" w:hint="eastAsia"/>
          <w:b/>
          <w:bCs/>
          <w:color w:val="000000"/>
          <w:kern w:val="0"/>
          <w:position w:val="4"/>
          <w:lang w:val="zh-CN"/>
        </w:rPr>
        <w:t>）</w:t>
      </w:r>
    </w:p>
    <w:p w14:paraId="192AF03C" w14:textId="5C7329FE" w:rsidR="008F3CB7" w:rsidRPr="005A1CD7" w:rsidRDefault="00000000" w:rsidP="005A1CD7">
      <w:pPr>
        <w:tabs>
          <w:tab w:val="clear" w:pos="420"/>
        </w:tabs>
        <w:autoSpaceDE w:val="0"/>
        <w:autoSpaceDN w:val="0"/>
        <w:adjustRightInd w:val="0"/>
        <w:spacing w:line="300" w:lineRule="auto"/>
        <w:ind w:firstLineChars="0" w:firstLine="0"/>
        <w:textAlignment w:val="center"/>
        <w:rPr>
          <w:rFonts w:eastAsia="宋体" w:cs="汉仪粗宋简" w:hint="eastAsia"/>
          <w:color w:val="000000"/>
          <w:kern w:val="0"/>
          <w:position w:val="4"/>
          <w:lang w:val="zh-CN"/>
        </w:rPr>
      </w:pPr>
      <w:r w:rsidRPr="005A1CD7">
        <w:rPr>
          <w:rFonts w:eastAsia="宋体" w:cs="汉仪粗宋简" w:hint="eastAsia"/>
          <w:color w:val="000000"/>
          <w:kern w:val="0"/>
          <w:position w:val="4"/>
          <w:lang w:val="zh-CN"/>
        </w:rPr>
        <w:t>六、典型不正当竞争行为</w:t>
      </w:r>
    </w:p>
    <w:p w14:paraId="0F84FCB1" w14:textId="77777777" w:rsidR="008F3CB7" w:rsidRPr="005A1CD7" w:rsidRDefault="00000000" w:rsidP="005A1CD7">
      <w:pPr>
        <w:pStyle w:val="4"/>
        <w:spacing w:line="300" w:lineRule="auto"/>
        <w:ind w:firstLineChars="120" w:firstLine="252"/>
        <w:jc w:val="both"/>
        <w:rPr>
          <w:rFonts w:ascii="宋体" w:eastAsia="宋体" w:hAnsi="宋体" w:hint="eastAsia"/>
          <w:sz w:val="21"/>
          <w:szCs w:val="21"/>
        </w:rPr>
      </w:pPr>
      <w:r w:rsidRPr="005A1CD7">
        <w:rPr>
          <w:rFonts w:ascii="宋体" w:eastAsia="宋体" w:hAnsi="宋体" w:hint="eastAsia"/>
          <w:sz w:val="21"/>
          <w:szCs w:val="21"/>
        </w:rPr>
        <w:t>（五）不正当有奖销售行为</w:t>
      </w:r>
    </w:p>
    <w:p w14:paraId="7BDED01D" w14:textId="77777777" w:rsidR="008F3CB7" w:rsidRPr="005A1CD7" w:rsidRDefault="00000000" w:rsidP="005A1CD7">
      <w:pPr>
        <w:spacing w:line="300" w:lineRule="auto"/>
        <w:ind w:firstLine="420"/>
        <w:rPr>
          <w:rFonts w:eastAsia="宋体" w:hint="eastAsia"/>
        </w:rPr>
      </w:pPr>
      <w:r w:rsidRPr="005A1CD7">
        <w:rPr>
          <w:rFonts w:eastAsia="宋体" w:hint="eastAsia"/>
        </w:rPr>
        <w:t>经营者进行有奖销售不得存在下列情形：</w:t>
      </w:r>
    </w:p>
    <w:p w14:paraId="2DE2E31F" w14:textId="77777777" w:rsidR="008F3CB7" w:rsidRPr="005A1CD7" w:rsidRDefault="00000000" w:rsidP="005A1CD7">
      <w:pPr>
        <w:spacing w:line="300" w:lineRule="auto"/>
        <w:ind w:firstLine="420"/>
        <w:rPr>
          <w:rFonts w:eastAsia="宋体" w:hint="eastAsia"/>
        </w:rPr>
      </w:pPr>
      <w:r w:rsidRPr="005A1CD7">
        <w:rPr>
          <w:rFonts w:eastAsia="宋体" w:hint="eastAsia"/>
        </w:rPr>
        <w:t>1．所设奖的种类、兑奖条件、奖金金额或者奖品等有奖销售信息不明确，影响兑奖；</w:t>
      </w:r>
    </w:p>
    <w:p w14:paraId="742FD607" w14:textId="77777777" w:rsidR="008F3CB7" w:rsidRPr="005A1CD7" w:rsidRDefault="00000000" w:rsidP="005A1CD7">
      <w:pPr>
        <w:spacing w:line="300" w:lineRule="auto"/>
        <w:ind w:firstLine="420"/>
        <w:rPr>
          <w:rFonts w:eastAsia="宋体" w:hint="eastAsia"/>
        </w:rPr>
      </w:pPr>
      <w:r w:rsidRPr="005A1CD7">
        <w:rPr>
          <w:rFonts w:eastAsia="宋体" w:hint="eastAsia"/>
        </w:rPr>
        <w:t>2．</w:t>
      </w:r>
      <w:r w:rsidRPr="005512AC">
        <w:rPr>
          <w:rFonts w:eastAsia="宋体" w:hint="eastAsia"/>
          <w:color w:val="EE0000"/>
        </w:rPr>
        <w:t>采用谎称有奖或者故意</w:t>
      </w:r>
      <w:r w:rsidRPr="005A1CD7">
        <w:rPr>
          <w:rFonts w:eastAsia="宋体" w:hint="eastAsia"/>
        </w:rPr>
        <w:t>让内定人员中奖的欺骗方式进行有奖销售；</w:t>
      </w:r>
    </w:p>
    <w:p w14:paraId="6A32CC77" w14:textId="77777777" w:rsidR="008F3CB7" w:rsidRPr="005512AC" w:rsidRDefault="00000000" w:rsidP="005A1CD7">
      <w:pPr>
        <w:spacing w:line="300" w:lineRule="auto"/>
        <w:ind w:firstLine="420"/>
        <w:rPr>
          <w:rFonts w:eastAsia="宋体" w:hint="eastAsia"/>
          <w:color w:val="EE0000"/>
        </w:rPr>
      </w:pPr>
      <w:r w:rsidRPr="005512AC">
        <w:rPr>
          <w:rFonts w:eastAsia="宋体" w:hint="eastAsia"/>
          <w:color w:val="EE0000"/>
        </w:rPr>
        <w:t>3．抽奖式的有奖销售，最高奖的金额超过五万元。</w:t>
      </w:r>
    </w:p>
    <w:p w14:paraId="1F3F0311" w14:textId="77777777" w:rsidR="008F3CB7" w:rsidRPr="005A1CD7" w:rsidRDefault="00000000" w:rsidP="005A1CD7">
      <w:pPr>
        <w:pStyle w:val="4"/>
        <w:spacing w:line="300" w:lineRule="auto"/>
        <w:ind w:firstLineChars="120" w:firstLine="252"/>
        <w:jc w:val="both"/>
        <w:rPr>
          <w:rFonts w:ascii="宋体" w:eastAsia="宋体" w:hAnsi="宋体" w:hint="eastAsia"/>
          <w:sz w:val="21"/>
          <w:szCs w:val="21"/>
        </w:rPr>
      </w:pPr>
      <w:r w:rsidRPr="005A1CD7">
        <w:rPr>
          <w:rFonts w:ascii="宋体" w:eastAsia="宋体" w:hAnsi="宋体" w:hint="eastAsia"/>
          <w:sz w:val="21"/>
          <w:szCs w:val="21"/>
        </w:rPr>
        <w:t>（六）诋毁商誉行为</w:t>
      </w:r>
    </w:p>
    <w:p w14:paraId="4F6571C6" w14:textId="77777777" w:rsidR="008F3CB7" w:rsidRPr="005A1CD7" w:rsidRDefault="00000000" w:rsidP="005A1CD7">
      <w:pPr>
        <w:spacing w:line="300" w:lineRule="auto"/>
        <w:ind w:firstLine="420"/>
        <w:rPr>
          <w:rFonts w:eastAsia="宋体" w:hint="eastAsia"/>
        </w:rPr>
      </w:pPr>
      <w:r w:rsidRPr="005A1CD7">
        <w:rPr>
          <w:rFonts w:eastAsia="宋体" w:hint="eastAsia"/>
        </w:rPr>
        <w:t>经营者不得编造、传播虚假信息或者误导性信息，损害竞争对手的商业信誉、商品声誉。</w:t>
      </w:r>
    </w:p>
    <w:p w14:paraId="56899D6A" w14:textId="77777777" w:rsidR="008F3CB7" w:rsidRPr="005A1CD7" w:rsidRDefault="00000000" w:rsidP="005A1CD7">
      <w:pPr>
        <w:pStyle w:val="4"/>
        <w:spacing w:line="300" w:lineRule="auto"/>
        <w:ind w:firstLineChars="120" w:firstLine="252"/>
        <w:jc w:val="both"/>
        <w:rPr>
          <w:rFonts w:ascii="宋体" w:eastAsia="宋体" w:hAnsi="宋体" w:hint="eastAsia"/>
          <w:sz w:val="21"/>
          <w:szCs w:val="21"/>
        </w:rPr>
      </w:pPr>
      <w:r w:rsidRPr="005A1CD7">
        <w:rPr>
          <w:rFonts w:ascii="宋体" w:eastAsia="宋体" w:hAnsi="宋体" w:hint="eastAsia"/>
          <w:sz w:val="21"/>
          <w:szCs w:val="21"/>
        </w:rPr>
        <w:t>（七）互联网不正当竞争行为</w:t>
      </w:r>
    </w:p>
    <w:p w14:paraId="7868CE43" w14:textId="77777777" w:rsidR="008F3CB7" w:rsidRPr="005A1CD7" w:rsidRDefault="00000000" w:rsidP="005A1CD7">
      <w:pPr>
        <w:spacing w:line="300" w:lineRule="auto"/>
        <w:ind w:firstLine="420"/>
        <w:rPr>
          <w:rFonts w:eastAsia="宋体" w:hint="eastAsia"/>
        </w:rPr>
      </w:pPr>
      <w:r w:rsidRPr="005A1CD7">
        <w:rPr>
          <w:rFonts w:eastAsia="宋体" w:hint="eastAsia"/>
        </w:rPr>
        <w:t>经营者不得利用技术手段，通过影响用户选择或者其他方式，实施下列妨碍、破坏其他经营者合法提供的网络产品或者服务正常运行的行为：</w:t>
      </w:r>
    </w:p>
    <w:p w14:paraId="67BDE09D" w14:textId="77777777" w:rsidR="008F3CB7" w:rsidRPr="005A1CD7" w:rsidRDefault="00000000" w:rsidP="005A1CD7">
      <w:pPr>
        <w:spacing w:line="300" w:lineRule="auto"/>
        <w:ind w:firstLine="420"/>
        <w:rPr>
          <w:rFonts w:eastAsia="宋体" w:hint="eastAsia"/>
        </w:rPr>
      </w:pPr>
      <w:r w:rsidRPr="005A1CD7">
        <w:rPr>
          <w:rFonts w:eastAsia="宋体" w:hint="eastAsia"/>
        </w:rPr>
        <w:t>1．未经其他经营者同意，在其合法提供的网络产品或者服务中，插入链接、强制进行目标跳转；</w:t>
      </w:r>
    </w:p>
    <w:p w14:paraId="7A5EE609" w14:textId="77777777" w:rsidR="008F3CB7" w:rsidRPr="005A1CD7" w:rsidRDefault="00000000" w:rsidP="005A1CD7">
      <w:pPr>
        <w:spacing w:line="300" w:lineRule="auto"/>
        <w:ind w:firstLine="420"/>
        <w:rPr>
          <w:rFonts w:eastAsia="宋体" w:hint="eastAsia"/>
        </w:rPr>
      </w:pPr>
      <w:r w:rsidRPr="005A1CD7">
        <w:rPr>
          <w:rFonts w:eastAsia="宋体" w:hint="eastAsia"/>
        </w:rPr>
        <w:t>2．误导、欺骗、强迫用户修改、关闭、卸载其他经营者合法提供的网络产品或者服务；</w:t>
      </w:r>
    </w:p>
    <w:p w14:paraId="25ABE2E7" w14:textId="77777777" w:rsidR="008F3CB7" w:rsidRPr="005A1CD7" w:rsidRDefault="00000000" w:rsidP="005A1CD7">
      <w:pPr>
        <w:spacing w:line="300" w:lineRule="auto"/>
        <w:ind w:firstLine="420"/>
        <w:rPr>
          <w:rFonts w:eastAsia="宋体" w:hint="eastAsia"/>
        </w:rPr>
      </w:pPr>
      <w:r w:rsidRPr="005A1CD7">
        <w:rPr>
          <w:rFonts w:eastAsia="宋体" w:hint="eastAsia"/>
        </w:rPr>
        <w:t>3．恶意对其他经营者合法提供的网络产品或者服务实施不兼容；</w:t>
      </w:r>
    </w:p>
    <w:p w14:paraId="4E2C86AB" w14:textId="77777777" w:rsidR="008F3CB7" w:rsidRPr="005A1CD7" w:rsidRDefault="00000000" w:rsidP="005A1CD7">
      <w:pPr>
        <w:spacing w:line="300" w:lineRule="auto"/>
        <w:ind w:firstLine="420"/>
        <w:rPr>
          <w:rFonts w:eastAsia="宋体" w:hint="eastAsia"/>
        </w:rPr>
      </w:pPr>
      <w:r w:rsidRPr="005A1CD7">
        <w:rPr>
          <w:rFonts w:eastAsia="宋体" w:hint="eastAsia"/>
        </w:rPr>
        <w:t>4．其他妨碍、破坏其他经营者合法提供的网络产品或者服务正常运行的行为。</w:t>
      </w:r>
    </w:p>
    <w:p w14:paraId="67780060" w14:textId="77777777" w:rsidR="008F3CB7" w:rsidRPr="005A1CD7" w:rsidRDefault="00000000" w:rsidP="005A1CD7">
      <w:pPr>
        <w:pStyle w:val="4"/>
        <w:spacing w:line="300" w:lineRule="auto"/>
        <w:ind w:firstLineChars="120" w:firstLine="252"/>
        <w:jc w:val="both"/>
        <w:rPr>
          <w:rFonts w:ascii="宋体" w:eastAsia="宋体" w:hAnsi="宋体" w:hint="eastAsia"/>
          <w:sz w:val="21"/>
          <w:szCs w:val="21"/>
        </w:rPr>
      </w:pPr>
      <w:r w:rsidRPr="005A1CD7">
        <w:rPr>
          <w:rFonts w:ascii="宋体" w:eastAsia="宋体" w:hAnsi="宋体" w:hint="eastAsia"/>
          <w:sz w:val="21"/>
          <w:szCs w:val="21"/>
        </w:rPr>
        <w:t>（八）民事责任</w:t>
      </w:r>
    </w:p>
    <w:p w14:paraId="01B34662" w14:textId="77777777" w:rsidR="008F3CB7" w:rsidRPr="005A1CD7" w:rsidRDefault="00000000" w:rsidP="005A1CD7">
      <w:pPr>
        <w:spacing w:line="300" w:lineRule="auto"/>
        <w:ind w:firstLine="420"/>
        <w:rPr>
          <w:rFonts w:eastAsia="宋体" w:hint="eastAsia"/>
        </w:rPr>
      </w:pPr>
      <w:r w:rsidRPr="005A1CD7">
        <w:rPr>
          <w:rFonts w:eastAsia="宋体" w:hint="eastAsia"/>
        </w:rPr>
        <w:t>1．赔偿数额，按照实际损失确定，难以计算的按侵权人因侵权所获得的利益确定。</w:t>
      </w:r>
      <w:r w:rsidRPr="00B219AB">
        <w:rPr>
          <w:rFonts w:eastAsia="宋体" w:hint="eastAsia"/>
          <w:color w:val="EE0000"/>
        </w:rPr>
        <w:t>经营者恶意实施侵犯商业秘密行为</w:t>
      </w:r>
      <w:r w:rsidRPr="005A1CD7">
        <w:rPr>
          <w:rFonts w:eastAsia="宋体" w:hint="eastAsia"/>
        </w:rPr>
        <w:t>，情节严重的，可以在按照上述方法确定数额的1-5倍确定赔偿数额。赔偿数额还应当包括经营者为制止侵权行为所支付的合理开支。</w:t>
      </w:r>
    </w:p>
    <w:p w14:paraId="559FD978" w14:textId="77777777" w:rsidR="008F3CB7" w:rsidRPr="005A1CD7" w:rsidRDefault="00000000" w:rsidP="005A1CD7">
      <w:pPr>
        <w:spacing w:line="300" w:lineRule="auto"/>
        <w:ind w:firstLine="420"/>
        <w:rPr>
          <w:rFonts w:eastAsia="宋体" w:hint="eastAsia"/>
        </w:rPr>
      </w:pPr>
      <w:r w:rsidRPr="005A1CD7">
        <w:rPr>
          <w:rFonts w:eastAsia="宋体" w:hint="eastAsia"/>
        </w:rPr>
        <w:t>2．对于混淆行为和侵犯商业秘密行为，实际损失、侵权获利难以确定的，由法院根据侵权行为的情节判决给予权利人500万元以下的赔偿。</w:t>
      </w:r>
    </w:p>
    <w:p w14:paraId="2FE742B5" w14:textId="1F3716AD" w:rsidR="008F3CB7" w:rsidRPr="00B219AB" w:rsidRDefault="00000000" w:rsidP="00B219AB">
      <w:pPr>
        <w:pStyle w:val="1"/>
        <w:spacing w:before="0" w:line="300" w:lineRule="auto"/>
        <w:rPr>
          <w:rFonts w:ascii="宋体" w:eastAsia="宋体" w:hAnsi="宋体" w:hint="eastAsia"/>
          <w:b/>
          <w:bCs w:val="0"/>
          <w:color w:val="auto"/>
          <w:sz w:val="21"/>
          <w:szCs w:val="21"/>
        </w:rPr>
      </w:pPr>
      <w:bookmarkStart w:id="0" w:name="_Toc197842945"/>
      <w:bookmarkStart w:id="1" w:name="_Toc193726286"/>
      <w:r w:rsidRPr="00B219AB">
        <w:rPr>
          <w:rFonts w:ascii="宋体" w:eastAsia="宋体" w:hAnsi="宋体" w:hint="eastAsia"/>
          <w:b/>
          <w:bCs w:val="0"/>
          <w:color w:val="auto"/>
          <w:sz w:val="21"/>
          <w:szCs w:val="21"/>
        </w:rPr>
        <w:t>考点2  消费者法</w:t>
      </w:r>
      <w:bookmarkEnd w:id="0"/>
      <w:bookmarkEnd w:id="1"/>
      <w:r w:rsidR="00B219AB" w:rsidRPr="00B219AB">
        <w:rPr>
          <w:rFonts w:ascii="宋体" w:eastAsia="宋体" w:hAnsi="宋体" w:hint="eastAsia"/>
          <w:b/>
          <w:bCs w:val="0"/>
          <w:color w:val="auto"/>
          <w:sz w:val="21"/>
          <w:szCs w:val="21"/>
        </w:rPr>
        <w:t>（</w:t>
      </w:r>
      <w:r w:rsidR="00260D07" w:rsidRPr="00260D07">
        <w:rPr>
          <w:rFonts w:ascii="宋体" w:eastAsia="宋体" w:hAnsi="宋体" w:hint="eastAsia"/>
          <w:b/>
          <w:bCs w:val="0"/>
          <w:color w:val="auto"/>
          <w:sz w:val="21"/>
          <w:szCs w:val="21"/>
        </w:rPr>
        <w:t>20:01:00</w:t>
      </w:r>
      <w:r w:rsidR="00B219AB" w:rsidRPr="00B219AB">
        <w:rPr>
          <w:rFonts w:ascii="宋体" w:eastAsia="宋体" w:hAnsi="宋体" w:hint="eastAsia"/>
          <w:b/>
          <w:bCs w:val="0"/>
          <w:color w:val="auto"/>
          <w:sz w:val="21"/>
          <w:szCs w:val="21"/>
        </w:rPr>
        <w:t>-</w:t>
      </w:r>
      <w:r w:rsidR="00631470">
        <w:rPr>
          <w:rFonts w:ascii="宋体" w:eastAsia="宋体" w:hAnsi="宋体" w:hint="eastAsia"/>
          <w:b/>
          <w:bCs w:val="0"/>
          <w:color w:val="auto"/>
          <w:sz w:val="21"/>
          <w:szCs w:val="21"/>
        </w:rPr>
        <w:t>22</w:t>
      </w:r>
      <w:r w:rsidR="00B219AB" w:rsidRPr="00B219AB">
        <w:rPr>
          <w:rFonts w:ascii="宋体" w:eastAsia="宋体" w:hAnsi="宋体" w:hint="eastAsia"/>
          <w:b/>
          <w:bCs w:val="0"/>
          <w:color w:val="auto"/>
          <w:sz w:val="21"/>
          <w:szCs w:val="21"/>
        </w:rPr>
        <w:t>:</w:t>
      </w:r>
      <w:r w:rsidR="00C05383">
        <w:rPr>
          <w:rFonts w:ascii="宋体" w:eastAsia="宋体" w:hAnsi="宋体" w:hint="eastAsia"/>
          <w:b/>
          <w:bCs w:val="0"/>
          <w:color w:val="auto"/>
          <w:sz w:val="21"/>
          <w:szCs w:val="21"/>
        </w:rPr>
        <w:t>21</w:t>
      </w:r>
      <w:r w:rsidR="00BE60E7">
        <w:rPr>
          <w:rFonts w:ascii="宋体" w:eastAsia="宋体" w:hAnsi="宋体" w:hint="eastAsia"/>
          <w:b/>
          <w:bCs w:val="0"/>
          <w:color w:val="auto"/>
          <w:sz w:val="21"/>
          <w:szCs w:val="21"/>
        </w:rPr>
        <w:t>：00</w:t>
      </w:r>
      <w:r w:rsidR="00B219AB" w:rsidRPr="00B219AB">
        <w:rPr>
          <w:rFonts w:ascii="宋体" w:eastAsia="宋体" w:hAnsi="宋体" w:hint="eastAsia"/>
          <w:b/>
          <w:bCs w:val="0"/>
          <w:color w:val="auto"/>
          <w:sz w:val="21"/>
          <w:szCs w:val="21"/>
        </w:rPr>
        <w:t>）</w:t>
      </w:r>
    </w:p>
    <w:p w14:paraId="2DA5D1D8" w14:textId="77777777" w:rsidR="008F3CB7" w:rsidRPr="005A1CD7" w:rsidRDefault="00000000" w:rsidP="005A1CD7">
      <w:pPr>
        <w:tabs>
          <w:tab w:val="clear" w:pos="420"/>
        </w:tabs>
        <w:autoSpaceDE w:val="0"/>
        <w:autoSpaceDN w:val="0"/>
        <w:adjustRightInd w:val="0"/>
        <w:spacing w:line="300" w:lineRule="auto"/>
        <w:ind w:firstLineChars="0" w:firstLine="0"/>
        <w:textAlignment w:val="center"/>
        <w:rPr>
          <w:rFonts w:eastAsia="宋体" w:cs="汉仪粗宋简" w:hint="eastAsia"/>
          <w:color w:val="000000"/>
          <w:kern w:val="0"/>
          <w:position w:val="4"/>
          <w:lang w:val="zh-CN"/>
        </w:rPr>
      </w:pPr>
      <w:r w:rsidRPr="005A1CD7">
        <w:rPr>
          <w:rFonts w:eastAsia="宋体" w:cs="汉仪粗宋简" w:hint="eastAsia"/>
          <w:color w:val="000000"/>
          <w:kern w:val="0"/>
          <w:position w:val="4"/>
          <w:lang w:val="zh-CN"/>
        </w:rPr>
        <w:t>一、消费者权利和经营者的义务</w:t>
      </w:r>
    </w:p>
    <w:p w14:paraId="5DB6AE86" w14:textId="77777777" w:rsidR="008F3CB7" w:rsidRPr="005A1CD7" w:rsidRDefault="00000000" w:rsidP="005A1CD7">
      <w:pPr>
        <w:pStyle w:val="4"/>
        <w:spacing w:line="300" w:lineRule="auto"/>
        <w:ind w:firstLineChars="120" w:firstLine="252"/>
        <w:jc w:val="both"/>
        <w:rPr>
          <w:rFonts w:ascii="宋体" w:eastAsia="宋体" w:hAnsi="宋体" w:hint="eastAsia"/>
          <w:sz w:val="21"/>
          <w:szCs w:val="21"/>
        </w:rPr>
      </w:pPr>
      <w:r w:rsidRPr="005A1CD7">
        <w:rPr>
          <w:rFonts w:ascii="宋体" w:eastAsia="宋体" w:hAnsi="宋体" w:hint="eastAsia"/>
          <w:sz w:val="21"/>
          <w:szCs w:val="21"/>
        </w:rPr>
        <w:t>（一）消费者</w:t>
      </w:r>
    </w:p>
    <w:p w14:paraId="445229D7" w14:textId="77777777" w:rsidR="008F3CB7" w:rsidRPr="005A1CD7" w:rsidRDefault="00000000" w:rsidP="005A1CD7">
      <w:pPr>
        <w:spacing w:line="300" w:lineRule="auto"/>
        <w:ind w:firstLine="420"/>
        <w:rPr>
          <w:rFonts w:eastAsia="宋体" w:hint="eastAsia"/>
        </w:rPr>
      </w:pPr>
      <w:r w:rsidRPr="005A1CD7">
        <w:rPr>
          <w:rFonts w:eastAsia="宋体" w:hint="eastAsia"/>
        </w:rPr>
        <w:t>消费者为</w:t>
      </w:r>
      <w:r w:rsidRPr="005A1CD7">
        <w:rPr>
          <w:rFonts w:eastAsia="宋体" w:cs="楷体" w:hint="eastAsia"/>
          <w:color w:val="FF0000"/>
        </w:rPr>
        <w:t>生活消费需要</w:t>
      </w:r>
      <w:r w:rsidRPr="005A1CD7">
        <w:rPr>
          <w:rFonts w:eastAsia="宋体" w:hint="eastAsia"/>
        </w:rPr>
        <w:t>购买、使用商品或者接受服务，适用消法。农民购买、使用直接用于农业生产的生产资料，参照消法执行。</w:t>
      </w:r>
    </w:p>
    <w:p w14:paraId="0D0BC88A" w14:textId="77777777" w:rsidR="008F3CB7" w:rsidRPr="005A1CD7" w:rsidRDefault="00000000" w:rsidP="005A1CD7">
      <w:pPr>
        <w:pStyle w:val="4"/>
        <w:spacing w:line="300" w:lineRule="auto"/>
        <w:ind w:firstLineChars="120" w:firstLine="252"/>
        <w:jc w:val="both"/>
        <w:rPr>
          <w:rFonts w:ascii="宋体" w:eastAsia="宋体" w:hAnsi="宋体" w:hint="eastAsia"/>
          <w:sz w:val="21"/>
          <w:szCs w:val="21"/>
        </w:rPr>
      </w:pPr>
      <w:r w:rsidRPr="005A1CD7">
        <w:rPr>
          <w:rFonts w:ascii="宋体" w:eastAsia="宋体" w:hAnsi="宋体" w:hint="eastAsia"/>
          <w:sz w:val="21"/>
          <w:szCs w:val="21"/>
        </w:rPr>
        <w:t>（二）消费者的结社权</w:t>
      </w:r>
    </w:p>
    <w:p w14:paraId="18191899" w14:textId="77777777" w:rsidR="008F3CB7" w:rsidRPr="005A1CD7" w:rsidRDefault="00000000" w:rsidP="005A1CD7">
      <w:pPr>
        <w:spacing w:line="300" w:lineRule="auto"/>
        <w:ind w:firstLine="420"/>
        <w:rPr>
          <w:rFonts w:eastAsia="宋体" w:hint="eastAsia"/>
        </w:rPr>
      </w:pPr>
      <w:r w:rsidRPr="005A1CD7">
        <w:rPr>
          <w:rFonts w:eastAsia="宋体" w:hint="eastAsia"/>
        </w:rPr>
        <w:t>消费者享有依法成立维护自身合法权益的社会团体的权利，包括消费者协会和其他消费者组织。消费者组织在性质上属于社会团体，不得从事商品经营和营利性服务，不得以收取费用或者其他牟取利益的方式向消费者推荐商品和服务。其中，消费者协会是消法明文规定的一种消费者组织，履行下列公益性职责：（1）向消费者提供消费信息和咨询服务，提高消费者维护自身合法权益的能力，引导文明、健康、节约资源和保护环境的消费方式；（2）参与制定有关消费者权益的法律、法规、规章和强制性标准；（3）参与有关行政部门对商品和</w:t>
      </w:r>
      <w:r w:rsidRPr="005A1CD7">
        <w:rPr>
          <w:rFonts w:eastAsia="宋体" w:hint="eastAsia"/>
        </w:rPr>
        <w:lastRenderedPageBreak/>
        <w:t>服务的监督、检查；（4）就有关消费者合法权益的问题，向有关部门反映、查询，提出建议；（5）受理消费者的投诉，并对投诉事项进行调查、调解；（6）投诉事项涉及商品和服务质量问题的，可以委托具备资格的鉴定人鉴定，鉴定人应当告知鉴定意见；（7）就损害消费者合法权益的行为，支持受损害的消费者提起诉讼或者依照本法提起诉讼；（8）对损害消费者合法权益的行为，通过大众传播媒介予以揭露、批评。各级人民政府对消费者协会履行职责应当予以必要的经费等支持。</w:t>
      </w:r>
    </w:p>
    <w:p w14:paraId="1BFBFE7E" w14:textId="77777777" w:rsidR="008F3CB7" w:rsidRPr="005A1CD7" w:rsidRDefault="00000000" w:rsidP="005A1CD7">
      <w:pPr>
        <w:pStyle w:val="4"/>
        <w:spacing w:line="300" w:lineRule="auto"/>
        <w:ind w:firstLineChars="120" w:firstLine="252"/>
        <w:jc w:val="both"/>
        <w:rPr>
          <w:rFonts w:ascii="宋体" w:eastAsia="宋体" w:hAnsi="宋体" w:hint="eastAsia"/>
          <w:sz w:val="21"/>
          <w:szCs w:val="21"/>
        </w:rPr>
      </w:pPr>
      <w:r w:rsidRPr="005A1CD7">
        <w:rPr>
          <w:rFonts w:ascii="宋体" w:eastAsia="宋体" w:hAnsi="宋体" w:hint="eastAsia"/>
          <w:sz w:val="21"/>
          <w:szCs w:val="21"/>
        </w:rPr>
        <w:t>（三）经营者的退货义务</w:t>
      </w:r>
    </w:p>
    <w:p w14:paraId="2D5EF434" w14:textId="77777777" w:rsidR="008F3CB7" w:rsidRPr="005A1CD7" w:rsidRDefault="00000000" w:rsidP="005A1CD7">
      <w:pPr>
        <w:spacing w:line="300" w:lineRule="auto"/>
        <w:ind w:firstLine="420"/>
        <w:rPr>
          <w:rFonts w:eastAsia="宋体" w:hint="eastAsia"/>
        </w:rPr>
      </w:pPr>
      <w:r w:rsidRPr="005A1CD7">
        <w:rPr>
          <w:rFonts w:eastAsia="宋体" w:hint="eastAsia"/>
        </w:rPr>
        <w:t>经营者的退货义务，分三种情况处理，如下表所示。</w:t>
      </w: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307"/>
        <w:gridCol w:w="2152"/>
        <w:gridCol w:w="2625"/>
        <w:gridCol w:w="1128"/>
        <w:gridCol w:w="1293"/>
      </w:tblGrid>
      <w:tr w:rsidR="008F3CB7" w:rsidRPr="005A1CD7" w14:paraId="5BC7B8FE" w14:textId="77777777" w:rsidTr="00E23DD2">
        <w:trPr>
          <w:jc w:val="center"/>
        </w:trPr>
        <w:tc>
          <w:tcPr>
            <w:tcW w:w="768" w:type="pct"/>
            <w:shd w:val="clear" w:color="auto" w:fill="auto"/>
            <w:vAlign w:val="center"/>
          </w:tcPr>
          <w:p w14:paraId="4384AFB7" w14:textId="77777777" w:rsidR="008F3CB7" w:rsidRPr="005A1CD7" w:rsidRDefault="008F3CB7" w:rsidP="005A1CD7">
            <w:pPr>
              <w:spacing w:beforeLines="10" w:before="31" w:afterLines="20" w:after="62" w:line="300" w:lineRule="auto"/>
              <w:ind w:firstLineChars="0" w:firstLine="0"/>
              <w:rPr>
                <w:rFonts w:eastAsia="宋体" w:hint="eastAsia"/>
                <w:kern w:val="0"/>
              </w:rPr>
            </w:pPr>
          </w:p>
        </w:tc>
        <w:tc>
          <w:tcPr>
            <w:tcW w:w="1265" w:type="pct"/>
            <w:shd w:val="clear" w:color="auto" w:fill="auto"/>
            <w:vAlign w:val="center"/>
          </w:tcPr>
          <w:p w14:paraId="5455D75F"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退货条件</w:t>
            </w:r>
          </w:p>
        </w:tc>
        <w:tc>
          <w:tcPr>
            <w:tcW w:w="1543" w:type="pct"/>
            <w:shd w:val="clear" w:color="auto" w:fill="auto"/>
            <w:vAlign w:val="center"/>
          </w:tcPr>
          <w:p w14:paraId="7C3433D2"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退货时间和方式</w:t>
            </w:r>
          </w:p>
        </w:tc>
        <w:tc>
          <w:tcPr>
            <w:tcW w:w="663" w:type="pct"/>
            <w:shd w:val="clear" w:color="auto" w:fill="auto"/>
            <w:vAlign w:val="center"/>
          </w:tcPr>
          <w:p w14:paraId="79B4F719"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费用负担</w:t>
            </w:r>
          </w:p>
        </w:tc>
        <w:tc>
          <w:tcPr>
            <w:tcW w:w="760" w:type="pct"/>
            <w:shd w:val="clear" w:color="auto" w:fill="auto"/>
            <w:vAlign w:val="center"/>
          </w:tcPr>
          <w:p w14:paraId="2E786502"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相互关系</w:t>
            </w:r>
          </w:p>
        </w:tc>
      </w:tr>
      <w:tr w:rsidR="008F3CB7" w:rsidRPr="005A1CD7" w14:paraId="62C28642" w14:textId="77777777" w:rsidTr="00E23DD2">
        <w:trPr>
          <w:jc w:val="center"/>
        </w:trPr>
        <w:tc>
          <w:tcPr>
            <w:tcW w:w="768" w:type="pct"/>
            <w:shd w:val="clear" w:color="auto" w:fill="auto"/>
            <w:vAlign w:val="center"/>
          </w:tcPr>
          <w:p w14:paraId="1810DC1E"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一般情况</w:t>
            </w:r>
          </w:p>
        </w:tc>
        <w:tc>
          <w:tcPr>
            <w:tcW w:w="1265" w:type="pct"/>
            <w:shd w:val="clear" w:color="auto" w:fill="auto"/>
            <w:vAlign w:val="center"/>
          </w:tcPr>
          <w:p w14:paraId="59D91754"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不符合质量要求</w:t>
            </w:r>
          </w:p>
        </w:tc>
        <w:tc>
          <w:tcPr>
            <w:tcW w:w="1543" w:type="pct"/>
            <w:shd w:val="clear" w:color="auto" w:fill="auto"/>
            <w:vAlign w:val="center"/>
          </w:tcPr>
          <w:p w14:paraId="7860E6B3"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规定或约定→七日内退货</w:t>
            </w:r>
          </w:p>
        </w:tc>
        <w:tc>
          <w:tcPr>
            <w:tcW w:w="663" w:type="pct"/>
            <w:shd w:val="clear" w:color="auto" w:fill="auto"/>
            <w:vAlign w:val="center"/>
          </w:tcPr>
          <w:p w14:paraId="387F6487"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经营者</w:t>
            </w:r>
          </w:p>
        </w:tc>
        <w:tc>
          <w:tcPr>
            <w:tcW w:w="760" w:type="pct"/>
            <w:vMerge w:val="restart"/>
            <w:shd w:val="clear" w:color="auto" w:fill="auto"/>
            <w:vAlign w:val="center"/>
          </w:tcPr>
          <w:p w14:paraId="0A40607E"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rPr>
              <w:t>若同时符合，消费者有权选择</w:t>
            </w:r>
          </w:p>
        </w:tc>
      </w:tr>
      <w:tr w:rsidR="008F3CB7" w:rsidRPr="005A1CD7" w14:paraId="4C014873" w14:textId="77777777" w:rsidTr="00E23DD2">
        <w:trPr>
          <w:jc w:val="center"/>
        </w:trPr>
        <w:tc>
          <w:tcPr>
            <w:tcW w:w="768" w:type="pct"/>
            <w:shd w:val="clear" w:color="auto" w:fill="auto"/>
            <w:vAlign w:val="center"/>
          </w:tcPr>
          <w:p w14:paraId="5BA56C90"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网购等</w:t>
            </w:r>
          </w:p>
        </w:tc>
        <w:tc>
          <w:tcPr>
            <w:tcW w:w="1265" w:type="pct"/>
            <w:shd w:val="clear" w:color="auto" w:fill="auto"/>
            <w:vAlign w:val="center"/>
          </w:tcPr>
          <w:p w14:paraId="7442C14D"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无需说明理由</w:t>
            </w:r>
          </w:p>
        </w:tc>
        <w:tc>
          <w:tcPr>
            <w:tcW w:w="1543" w:type="pct"/>
            <w:shd w:val="clear" w:color="auto" w:fill="auto"/>
            <w:vAlign w:val="center"/>
          </w:tcPr>
          <w:p w14:paraId="3FFEA3E1"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rPr>
              <w:t>七日内退货</w:t>
            </w:r>
          </w:p>
        </w:tc>
        <w:tc>
          <w:tcPr>
            <w:tcW w:w="663" w:type="pct"/>
            <w:shd w:val="clear" w:color="auto" w:fill="auto"/>
            <w:vAlign w:val="center"/>
          </w:tcPr>
          <w:p w14:paraId="26E1C0C9"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消费者</w:t>
            </w:r>
          </w:p>
        </w:tc>
        <w:tc>
          <w:tcPr>
            <w:tcW w:w="760" w:type="pct"/>
            <w:vMerge/>
            <w:shd w:val="clear" w:color="auto" w:fill="auto"/>
            <w:vAlign w:val="center"/>
          </w:tcPr>
          <w:p w14:paraId="3DADB4E3" w14:textId="77777777" w:rsidR="008F3CB7" w:rsidRPr="005A1CD7" w:rsidRDefault="008F3CB7" w:rsidP="005A1CD7">
            <w:pPr>
              <w:spacing w:beforeLines="10" w:before="31" w:afterLines="20" w:after="62" w:line="300" w:lineRule="auto"/>
              <w:ind w:firstLineChars="0" w:firstLine="0"/>
              <w:rPr>
                <w:rFonts w:eastAsia="宋体" w:hint="eastAsia"/>
                <w:kern w:val="0"/>
              </w:rPr>
            </w:pPr>
          </w:p>
        </w:tc>
      </w:tr>
      <w:tr w:rsidR="008F3CB7" w:rsidRPr="005A1CD7" w14:paraId="24FD6E88" w14:textId="77777777" w:rsidTr="00E23DD2">
        <w:trPr>
          <w:jc w:val="center"/>
        </w:trPr>
        <w:tc>
          <w:tcPr>
            <w:tcW w:w="768" w:type="pct"/>
            <w:shd w:val="clear" w:color="auto" w:fill="auto"/>
            <w:vAlign w:val="center"/>
          </w:tcPr>
          <w:p w14:paraId="68453167"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不合格商品</w:t>
            </w:r>
          </w:p>
        </w:tc>
        <w:tc>
          <w:tcPr>
            <w:tcW w:w="1265" w:type="pct"/>
            <w:shd w:val="clear" w:color="auto" w:fill="auto"/>
            <w:vAlign w:val="center"/>
          </w:tcPr>
          <w:p w14:paraId="41851D27"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rPr>
              <w:t>行政部门认定不合格</w:t>
            </w:r>
          </w:p>
        </w:tc>
        <w:tc>
          <w:tcPr>
            <w:tcW w:w="1543" w:type="pct"/>
            <w:shd w:val="clear" w:color="auto" w:fill="auto"/>
            <w:vAlign w:val="center"/>
          </w:tcPr>
          <w:p w14:paraId="2ABC27C1"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无限制</w:t>
            </w:r>
          </w:p>
        </w:tc>
        <w:tc>
          <w:tcPr>
            <w:tcW w:w="663" w:type="pct"/>
            <w:shd w:val="clear" w:color="auto" w:fill="auto"/>
            <w:vAlign w:val="center"/>
          </w:tcPr>
          <w:p w14:paraId="0F4DCEA3"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经营者</w:t>
            </w:r>
          </w:p>
        </w:tc>
        <w:tc>
          <w:tcPr>
            <w:tcW w:w="760" w:type="pct"/>
            <w:vMerge/>
            <w:shd w:val="clear" w:color="auto" w:fill="auto"/>
            <w:vAlign w:val="center"/>
          </w:tcPr>
          <w:p w14:paraId="36FD0D8B" w14:textId="77777777" w:rsidR="008F3CB7" w:rsidRPr="005A1CD7" w:rsidRDefault="008F3CB7" w:rsidP="005A1CD7">
            <w:pPr>
              <w:spacing w:beforeLines="10" w:before="31" w:afterLines="20" w:after="62" w:line="300" w:lineRule="auto"/>
              <w:ind w:firstLineChars="0" w:firstLine="0"/>
              <w:rPr>
                <w:rFonts w:eastAsia="宋体" w:hint="eastAsia"/>
                <w:kern w:val="0"/>
              </w:rPr>
            </w:pPr>
          </w:p>
        </w:tc>
      </w:tr>
    </w:tbl>
    <w:p w14:paraId="29861380" w14:textId="77777777" w:rsidR="008F3CB7" w:rsidRPr="005A1CD7" w:rsidRDefault="00000000" w:rsidP="005A1CD7">
      <w:pPr>
        <w:spacing w:line="300" w:lineRule="auto"/>
        <w:ind w:firstLine="420"/>
        <w:rPr>
          <w:rFonts w:eastAsia="宋体" w:hint="eastAsia"/>
        </w:rPr>
      </w:pPr>
      <w:r w:rsidRPr="005A1CD7">
        <w:rPr>
          <w:rFonts w:eastAsia="宋体" w:hint="eastAsia"/>
        </w:rPr>
        <w:t>关于网购无理由退货，需要注意：（1）消费者定作的，鲜活易腐的，在线下载或者消费者拆封的音像制品、计算机软件等数字化商品，交付的报纸、期刊，其他根据商品性质并经消费者在购买时确认不宜退货的商品，不适用网购无理由退货规则。（2）消费者退货的商品应当完好。这里的完好，指商品本身的完好，不包括包装的完好，也就是说，通常情况下拆封的商品也可以无理由退货。（3）经营者应当自收到退回商品之日起七日内返还消费者支付的商品价款。</w:t>
      </w:r>
    </w:p>
    <w:p w14:paraId="65FF6852" w14:textId="22AB3626" w:rsidR="008F3CB7" w:rsidRPr="005A1CD7" w:rsidRDefault="00000000" w:rsidP="005A1CD7">
      <w:pPr>
        <w:pStyle w:val="3"/>
        <w:spacing w:line="300" w:lineRule="auto"/>
        <w:jc w:val="both"/>
        <w:rPr>
          <w:rFonts w:eastAsia="宋体" w:hint="eastAsia"/>
          <w:sz w:val="21"/>
        </w:rPr>
      </w:pPr>
      <w:r w:rsidRPr="00A01EFE">
        <w:rPr>
          <w:rFonts w:eastAsia="宋体" w:hint="eastAsia"/>
          <w:sz w:val="21"/>
          <w:highlight w:val="yellow"/>
        </w:rPr>
        <w:t>二、争议解决途径和规则</w:t>
      </w:r>
      <w:r w:rsidR="00A01EFE">
        <w:rPr>
          <w:rFonts w:eastAsia="宋体" w:hint="eastAsia"/>
          <w:sz w:val="21"/>
          <w:highlight w:val="yellow"/>
        </w:rPr>
        <w:t>【重点】</w:t>
      </w:r>
    </w:p>
    <w:tbl>
      <w:tblPr>
        <w:tblStyle w:val="a4"/>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128"/>
        <w:gridCol w:w="7377"/>
      </w:tblGrid>
      <w:tr w:rsidR="008F3CB7" w:rsidRPr="005A1CD7" w14:paraId="4497CA7C" w14:textId="77777777" w:rsidTr="00394DDA">
        <w:trPr>
          <w:trHeight w:val="20"/>
          <w:jc w:val="center"/>
        </w:trPr>
        <w:tc>
          <w:tcPr>
            <w:tcW w:w="663" w:type="pct"/>
            <w:shd w:val="clear" w:color="auto" w:fill="auto"/>
            <w:vAlign w:val="center"/>
          </w:tcPr>
          <w:p w14:paraId="6D5E9EEC"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公益诉讼</w:t>
            </w:r>
          </w:p>
        </w:tc>
        <w:tc>
          <w:tcPr>
            <w:tcW w:w="4337" w:type="pct"/>
            <w:shd w:val="clear" w:color="auto" w:fill="auto"/>
            <w:vAlign w:val="center"/>
          </w:tcPr>
          <w:p w14:paraId="6203BDDE"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对侵害众多消费者合法权益的行为，</w:t>
            </w:r>
            <w:r w:rsidRPr="005A1CD7">
              <w:rPr>
                <w:rFonts w:eastAsia="宋体" w:cs="楷体" w:hint="eastAsia"/>
                <w:color w:val="FF0000"/>
                <w:kern w:val="0"/>
              </w:rPr>
              <w:t>中国消费者协会和在省、自治区、直辖市设立的消费者协会</w:t>
            </w:r>
            <w:r w:rsidRPr="005A1CD7">
              <w:rPr>
                <w:rFonts w:eastAsia="宋体" w:hint="eastAsia"/>
                <w:kern w:val="0"/>
              </w:rPr>
              <w:t>，以及法律规定或全国人大及其常委会授权的机关和社会组织，可以提起公益诉讼</w:t>
            </w:r>
          </w:p>
        </w:tc>
      </w:tr>
      <w:tr w:rsidR="008F3CB7" w:rsidRPr="005A1CD7" w14:paraId="20C31D83" w14:textId="77777777" w:rsidTr="00394DDA">
        <w:trPr>
          <w:trHeight w:val="20"/>
          <w:jc w:val="center"/>
        </w:trPr>
        <w:tc>
          <w:tcPr>
            <w:tcW w:w="663" w:type="pct"/>
            <w:shd w:val="clear" w:color="auto" w:fill="auto"/>
            <w:vAlign w:val="center"/>
          </w:tcPr>
          <w:p w14:paraId="0E3FD2EA"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生产者和销售者责任分配</w:t>
            </w:r>
          </w:p>
        </w:tc>
        <w:tc>
          <w:tcPr>
            <w:tcW w:w="4337" w:type="pct"/>
            <w:shd w:val="clear" w:color="auto" w:fill="auto"/>
            <w:vAlign w:val="center"/>
          </w:tcPr>
          <w:p w14:paraId="418B02A5"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（1）一般情况，只能向销售者要求赔偿。销售者可依法向生产者或者其他销售者追偿</w:t>
            </w:r>
          </w:p>
          <w:p w14:paraId="0CF15128"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（2）消费者或其他受害人因商品缺陷造成人身、财产损害的，可向销售者要求赔偿，也可向生产者要求赔偿，生产者和销售者应承担连带责任。生产者和销售者可依法相互追偿</w:t>
            </w:r>
          </w:p>
        </w:tc>
      </w:tr>
      <w:tr w:rsidR="008F3CB7" w:rsidRPr="005A1CD7" w14:paraId="4EE622A9" w14:textId="77777777" w:rsidTr="00394DDA">
        <w:trPr>
          <w:trHeight w:val="20"/>
          <w:jc w:val="center"/>
        </w:trPr>
        <w:tc>
          <w:tcPr>
            <w:tcW w:w="663" w:type="pct"/>
            <w:shd w:val="clear" w:color="auto" w:fill="auto"/>
            <w:vAlign w:val="center"/>
          </w:tcPr>
          <w:p w14:paraId="784FE3FB"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使用他人执照</w:t>
            </w:r>
          </w:p>
        </w:tc>
        <w:tc>
          <w:tcPr>
            <w:tcW w:w="4337" w:type="pct"/>
            <w:shd w:val="clear" w:color="auto" w:fill="auto"/>
            <w:vAlign w:val="center"/>
          </w:tcPr>
          <w:p w14:paraId="2BEA19A2"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使用他人营业执照的违法经营者提供商品或者服务，损害消费者合法权益的，消费者可以向其要求赔偿，也可以向营业执照的持有人要求赔偿</w:t>
            </w:r>
          </w:p>
        </w:tc>
      </w:tr>
      <w:tr w:rsidR="008F3CB7" w:rsidRPr="005A1CD7" w14:paraId="01C9FCA2" w14:textId="77777777" w:rsidTr="00394DDA">
        <w:trPr>
          <w:trHeight w:val="20"/>
          <w:jc w:val="center"/>
        </w:trPr>
        <w:tc>
          <w:tcPr>
            <w:tcW w:w="663" w:type="pct"/>
            <w:shd w:val="clear" w:color="auto" w:fill="auto"/>
            <w:vAlign w:val="center"/>
          </w:tcPr>
          <w:p w14:paraId="6DCC79D2"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展销会、租赁柜台</w:t>
            </w:r>
          </w:p>
        </w:tc>
        <w:tc>
          <w:tcPr>
            <w:tcW w:w="4337" w:type="pct"/>
            <w:shd w:val="clear" w:color="auto" w:fill="auto"/>
            <w:vAlign w:val="center"/>
          </w:tcPr>
          <w:p w14:paraId="586A519E"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消费者在展销会、租赁柜台购买商品或者接受服务，其合法权益受到损害的，可以向销售者或者服务者要求赔偿。</w:t>
            </w:r>
            <w:r w:rsidRPr="005A1CD7">
              <w:rPr>
                <w:rFonts w:eastAsia="宋体" w:cs="楷体" w:hint="eastAsia"/>
                <w:color w:val="FF0000"/>
                <w:kern w:val="0"/>
              </w:rPr>
              <w:t>展销会结束或柜台租赁期满后</w:t>
            </w:r>
            <w:r w:rsidRPr="005A1CD7">
              <w:rPr>
                <w:rFonts w:eastAsia="宋体" w:hint="eastAsia"/>
                <w:kern w:val="0"/>
              </w:rPr>
              <w:t>，也可以向展销会的举办者、柜台的出租者要求赔偿。展销会的举办者、柜台的出租者赔偿后，有权向销售者或者服务者追偿</w:t>
            </w:r>
          </w:p>
        </w:tc>
      </w:tr>
      <w:tr w:rsidR="008F3CB7" w:rsidRPr="005A1CD7" w14:paraId="4198D681" w14:textId="77777777" w:rsidTr="00394DDA">
        <w:trPr>
          <w:trHeight w:val="20"/>
          <w:jc w:val="center"/>
        </w:trPr>
        <w:tc>
          <w:tcPr>
            <w:tcW w:w="663" w:type="pct"/>
            <w:shd w:val="clear" w:color="auto" w:fill="auto"/>
            <w:vAlign w:val="center"/>
          </w:tcPr>
          <w:p w14:paraId="3CED8B59"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lastRenderedPageBreak/>
              <w:t>网络交易平台提供者</w:t>
            </w:r>
          </w:p>
        </w:tc>
        <w:tc>
          <w:tcPr>
            <w:tcW w:w="4337" w:type="pct"/>
            <w:shd w:val="clear" w:color="auto" w:fill="auto"/>
            <w:vAlign w:val="center"/>
          </w:tcPr>
          <w:p w14:paraId="0007AD87"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消费者通过网络交易平台购买商品或者接受服务，其合法权益受到损害的，可以向销售者或者服务者要求赔偿。</w:t>
            </w:r>
            <w:r w:rsidRPr="005A1CD7">
              <w:rPr>
                <w:rFonts w:eastAsia="宋体" w:cs="楷体" w:hint="eastAsia"/>
                <w:color w:val="FF0000"/>
                <w:kern w:val="0"/>
              </w:rPr>
              <w:t>网络交易平台一般无须承担责任，但是</w:t>
            </w:r>
            <w:r w:rsidRPr="005A1CD7">
              <w:rPr>
                <w:rFonts w:eastAsia="宋体" w:hint="eastAsia"/>
                <w:kern w:val="0"/>
              </w:rPr>
              <w:t>：（1）网络交易平台提供者不能提供销售者或者服务者的真实名称、地址和有效联系方式的，消费者也可以向网络交易平台提供者要求赔偿；网络交易平台提供者作出更有利于消费者的承诺的，应当履行承诺。网络交易平台提供者赔偿后，有权向销售者或者服务者追偿。（2）网络交易平台提供者明知或者应知销售者或者服务者利用其平台侵害消费者合法权益，未采取必要措施的，依法与该销售者或者服务者承担连带责任</w:t>
            </w:r>
          </w:p>
        </w:tc>
      </w:tr>
      <w:tr w:rsidR="008F3CB7" w:rsidRPr="005A1CD7" w14:paraId="3E51DA37" w14:textId="77777777" w:rsidTr="00394DDA">
        <w:trPr>
          <w:trHeight w:val="20"/>
          <w:jc w:val="center"/>
        </w:trPr>
        <w:tc>
          <w:tcPr>
            <w:tcW w:w="663" w:type="pct"/>
            <w:shd w:val="clear" w:color="auto" w:fill="auto"/>
            <w:vAlign w:val="center"/>
          </w:tcPr>
          <w:p w14:paraId="1F69F120"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虚假广告</w:t>
            </w:r>
          </w:p>
        </w:tc>
        <w:tc>
          <w:tcPr>
            <w:tcW w:w="4337" w:type="pct"/>
            <w:shd w:val="clear" w:color="auto" w:fill="auto"/>
            <w:vAlign w:val="center"/>
          </w:tcPr>
          <w:p w14:paraId="3E542D12"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消费者因经营者利用虚假广告或者其他虚假宣传方式提供商品或者服务，其合法权益受到损害的，可以向经营者要求赔偿。</w:t>
            </w:r>
            <w:r w:rsidRPr="005A1CD7">
              <w:rPr>
                <w:rFonts w:eastAsia="宋体" w:cs="楷体" w:hint="eastAsia"/>
                <w:color w:val="FF0000"/>
                <w:kern w:val="0"/>
              </w:rPr>
              <w:t>广告业者一般无须承担责任，但是</w:t>
            </w:r>
            <w:r w:rsidRPr="005A1CD7">
              <w:rPr>
                <w:rFonts w:eastAsia="宋体" w:hint="eastAsia"/>
                <w:kern w:val="0"/>
              </w:rPr>
              <w:t>：（1）广告经营者、发布者不能提供经营者的真实名称、地址和有效联系方式的，应当承担赔偿责任。（2）广告经营者、发布者设计、制作、发布关系消费者生命健康商品或者服务的虚假广告，造成消费者损害的，应当与提供该商品或者服务的经营者承担连带责任。（3）社会团体或者其他组织、个人在关系消费者生命健康商品或者服务的虚假广告或者其他虚假宣传中向消费者推荐商品或者服务，造成消费者损害的，应当与提供该商品或者服务的经营者承担连带责任</w:t>
            </w:r>
          </w:p>
        </w:tc>
      </w:tr>
      <w:tr w:rsidR="008F3CB7" w:rsidRPr="005A1CD7" w14:paraId="3882D049" w14:textId="77777777" w:rsidTr="00394DDA">
        <w:trPr>
          <w:trHeight w:val="20"/>
          <w:jc w:val="center"/>
        </w:trPr>
        <w:tc>
          <w:tcPr>
            <w:tcW w:w="663" w:type="pct"/>
            <w:shd w:val="clear" w:color="auto" w:fill="auto"/>
            <w:vAlign w:val="center"/>
          </w:tcPr>
          <w:p w14:paraId="652D3F2D"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举证责任</w:t>
            </w:r>
          </w:p>
        </w:tc>
        <w:tc>
          <w:tcPr>
            <w:tcW w:w="4337" w:type="pct"/>
            <w:shd w:val="clear" w:color="auto" w:fill="auto"/>
            <w:vAlign w:val="center"/>
          </w:tcPr>
          <w:p w14:paraId="13DDA154"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正常情况下，由消费者对瑕疵承担举证责任。但是，经营者提供的机动车、计算机、电视机、电冰箱、空调器、洗衣机等耐用商品或者装饰装修等服务，消费者自接受商品或者服务之日起</w:t>
            </w:r>
            <w:r w:rsidRPr="0020512E">
              <w:rPr>
                <w:rFonts w:eastAsia="宋体" w:hint="eastAsia"/>
                <w:color w:val="EE0000"/>
                <w:kern w:val="0"/>
              </w:rPr>
              <w:t>6个月内发现瑕疵，发生争议的</w:t>
            </w:r>
            <w:r w:rsidRPr="005A1CD7">
              <w:rPr>
                <w:rFonts w:eastAsia="宋体" w:hint="eastAsia"/>
                <w:kern w:val="0"/>
              </w:rPr>
              <w:t>，由经营者承担有关瑕疵的举证责任</w:t>
            </w:r>
          </w:p>
        </w:tc>
      </w:tr>
    </w:tbl>
    <w:p w14:paraId="19099AC0" w14:textId="77777777" w:rsidR="008F3CB7" w:rsidRPr="005A1CD7" w:rsidRDefault="00000000" w:rsidP="005A1CD7">
      <w:pPr>
        <w:pStyle w:val="3"/>
        <w:spacing w:line="300" w:lineRule="auto"/>
        <w:jc w:val="both"/>
        <w:rPr>
          <w:rFonts w:eastAsia="宋体" w:hint="eastAsia"/>
          <w:sz w:val="21"/>
        </w:rPr>
      </w:pPr>
      <w:r w:rsidRPr="005A1CD7">
        <w:rPr>
          <w:rFonts w:eastAsia="宋体" w:hint="eastAsia"/>
          <w:sz w:val="21"/>
        </w:rPr>
        <w:t>三、法律责任</w:t>
      </w:r>
    </w:p>
    <w:tbl>
      <w:tblPr>
        <w:tblStyle w:val="a4"/>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065"/>
        <w:gridCol w:w="7440"/>
      </w:tblGrid>
      <w:tr w:rsidR="008F3CB7" w:rsidRPr="005A1CD7" w14:paraId="5A49EA34" w14:textId="77777777" w:rsidTr="00394DDA">
        <w:trPr>
          <w:trHeight w:val="20"/>
          <w:jc w:val="center"/>
        </w:trPr>
        <w:tc>
          <w:tcPr>
            <w:tcW w:w="626" w:type="pct"/>
            <w:shd w:val="clear" w:color="auto" w:fill="auto"/>
            <w:vAlign w:val="center"/>
          </w:tcPr>
          <w:p w14:paraId="45D147D2"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人身伤害</w:t>
            </w:r>
          </w:p>
        </w:tc>
        <w:tc>
          <w:tcPr>
            <w:tcW w:w="4374" w:type="pct"/>
            <w:shd w:val="clear" w:color="auto" w:fill="auto"/>
            <w:vAlign w:val="center"/>
          </w:tcPr>
          <w:p w14:paraId="08BD1E8E"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赔偿医疗费、护理费、交通费等为治疗和康复支出的合理费用，以及因误工减少的收入。造成残疾的，还应当赔偿残疾生活辅助具费和残疾赔偿金。造成死亡的，还应当赔偿丧葬费和死亡赔偿金</w:t>
            </w:r>
          </w:p>
        </w:tc>
      </w:tr>
      <w:tr w:rsidR="008F3CB7" w:rsidRPr="005A1CD7" w14:paraId="240159A7" w14:textId="77777777" w:rsidTr="00394DDA">
        <w:trPr>
          <w:trHeight w:val="20"/>
          <w:jc w:val="center"/>
        </w:trPr>
        <w:tc>
          <w:tcPr>
            <w:tcW w:w="626" w:type="pct"/>
            <w:shd w:val="clear" w:color="auto" w:fill="auto"/>
            <w:vAlign w:val="center"/>
          </w:tcPr>
          <w:p w14:paraId="60AAA4B4"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精神损害</w:t>
            </w:r>
          </w:p>
        </w:tc>
        <w:tc>
          <w:tcPr>
            <w:tcW w:w="4374" w:type="pct"/>
            <w:shd w:val="clear" w:color="auto" w:fill="auto"/>
            <w:vAlign w:val="center"/>
          </w:tcPr>
          <w:p w14:paraId="0D7D891A"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经营者有侮辱诽谤、搜查身体、侵犯人身自由等侵害消费者或者其他受害人人身权益的行为，造成严重精神损害的，受害人可以要求精神损害赔偿</w:t>
            </w:r>
          </w:p>
        </w:tc>
      </w:tr>
      <w:tr w:rsidR="008F3CB7" w:rsidRPr="005A1CD7" w14:paraId="591A95A7" w14:textId="77777777" w:rsidTr="00394DDA">
        <w:trPr>
          <w:trHeight w:val="20"/>
          <w:jc w:val="center"/>
        </w:trPr>
        <w:tc>
          <w:tcPr>
            <w:tcW w:w="626" w:type="pct"/>
            <w:shd w:val="clear" w:color="auto" w:fill="auto"/>
            <w:vAlign w:val="center"/>
          </w:tcPr>
          <w:p w14:paraId="62D91FC7"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财产损失</w:t>
            </w:r>
          </w:p>
        </w:tc>
        <w:tc>
          <w:tcPr>
            <w:tcW w:w="4374" w:type="pct"/>
            <w:shd w:val="clear" w:color="auto" w:fill="auto"/>
            <w:vAlign w:val="center"/>
          </w:tcPr>
          <w:p w14:paraId="3EA4F367"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经营者提供商品或者服务，造成消费者财产损害的，应当依照法律规定或者当事人约定承担修理、重作、更换、退货、补足商品数量、退还货款和服务费用或者赔偿损失等民事责任</w:t>
            </w:r>
          </w:p>
        </w:tc>
      </w:tr>
      <w:tr w:rsidR="008F3CB7" w:rsidRPr="005A1CD7" w14:paraId="40422B90" w14:textId="77777777" w:rsidTr="00394DDA">
        <w:trPr>
          <w:trHeight w:val="20"/>
          <w:jc w:val="center"/>
        </w:trPr>
        <w:tc>
          <w:tcPr>
            <w:tcW w:w="626" w:type="pct"/>
            <w:shd w:val="clear" w:color="auto" w:fill="auto"/>
            <w:vAlign w:val="center"/>
          </w:tcPr>
          <w:p w14:paraId="6BEBFC56"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召回</w:t>
            </w:r>
          </w:p>
        </w:tc>
        <w:tc>
          <w:tcPr>
            <w:tcW w:w="4374" w:type="pct"/>
            <w:shd w:val="clear" w:color="auto" w:fill="auto"/>
            <w:vAlign w:val="center"/>
          </w:tcPr>
          <w:p w14:paraId="573C52D2"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有关行政部门发现并认定经营者提供的商品或者服务存在缺陷，有危及人身、财产安全危险的，应当立即责令经营者采取停止销售、警示、召回、无害化处理、销毁、停止生产或者服务等措施</w:t>
            </w:r>
          </w:p>
        </w:tc>
      </w:tr>
      <w:tr w:rsidR="008F3CB7" w:rsidRPr="005A1CD7" w14:paraId="31ABDACE" w14:textId="77777777" w:rsidTr="00394DDA">
        <w:trPr>
          <w:trHeight w:val="20"/>
          <w:jc w:val="center"/>
        </w:trPr>
        <w:tc>
          <w:tcPr>
            <w:tcW w:w="626" w:type="pct"/>
            <w:vMerge w:val="restart"/>
            <w:shd w:val="clear" w:color="auto" w:fill="auto"/>
            <w:vAlign w:val="center"/>
          </w:tcPr>
          <w:p w14:paraId="458E1505"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lastRenderedPageBreak/>
              <w:t>惩罚性</w:t>
            </w:r>
          </w:p>
          <w:p w14:paraId="76C93542"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赔偿</w:t>
            </w:r>
          </w:p>
        </w:tc>
        <w:tc>
          <w:tcPr>
            <w:tcW w:w="4374" w:type="pct"/>
            <w:shd w:val="clear" w:color="auto" w:fill="auto"/>
            <w:vAlign w:val="center"/>
          </w:tcPr>
          <w:p w14:paraId="200D1A04"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（1）经营者提供商品或者服务有</w:t>
            </w:r>
            <w:r w:rsidRPr="005A1CD7">
              <w:rPr>
                <w:rFonts w:eastAsia="宋体" w:cs="楷体" w:hint="eastAsia"/>
                <w:color w:val="FF0000"/>
                <w:kern w:val="0"/>
              </w:rPr>
              <w:t>欺诈行为</w:t>
            </w:r>
            <w:r w:rsidRPr="005A1CD7">
              <w:rPr>
                <w:rFonts w:eastAsia="宋体" w:hint="eastAsia"/>
                <w:kern w:val="0"/>
              </w:rPr>
              <w:t>的，应当按照消费者的要求增加赔偿其受到的损失，增加赔偿的金额为消费者购买商品的价款或者接受服务的费用的3倍；增加赔偿的金额不足500元的，为500元。法律另有规定的，依照其规定</w:t>
            </w:r>
          </w:p>
        </w:tc>
      </w:tr>
      <w:tr w:rsidR="008F3CB7" w:rsidRPr="005A1CD7" w14:paraId="4CC071AD" w14:textId="77777777" w:rsidTr="00394DDA">
        <w:trPr>
          <w:trHeight w:val="20"/>
          <w:jc w:val="center"/>
        </w:trPr>
        <w:tc>
          <w:tcPr>
            <w:tcW w:w="626" w:type="pct"/>
            <w:vMerge/>
            <w:shd w:val="clear" w:color="auto" w:fill="auto"/>
            <w:vAlign w:val="center"/>
          </w:tcPr>
          <w:p w14:paraId="28F5D206" w14:textId="77777777" w:rsidR="008F3CB7" w:rsidRPr="005A1CD7" w:rsidRDefault="008F3CB7" w:rsidP="005A1CD7">
            <w:pPr>
              <w:spacing w:beforeLines="10" w:before="31" w:afterLines="20" w:after="62" w:line="300" w:lineRule="auto"/>
              <w:ind w:firstLineChars="0" w:firstLine="0"/>
              <w:rPr>
                <w:rFonts w:eastAsia="宋体" w:hint="eastAsia"/>
              </w:rPr>
            </w:pPr>
          </w:p>
        </w:tc>
        <w:tc>
          <w:tcPr>
            <w:tcW w:w="4374" w:type="pct"/>
            <w:shd w:val="clear" w:color="auto" w:fill="auto"/>
            <w:vAlign w:val="center"/>
          </w:tcPr>
          <w:p w14:paraId="79870B11"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（2）经营者明知商品或者服务存在缺陷，仍然向消费者提供，造成消费者或者其他受害人死亡或者健康严重损害的，受害人有权要求经营者赔偿损失，并有权要求所受损失2倍以下的惩罚性赔偿</w:t>
            </w:r>
          </w:p>
        </w:tc>
      </w:tr>
    </w:tbl>
    <w:p w14:paraId="70A31486" w14:textId="5A0B83DD" w:rsidR="008F3CB7" w:rsidRPr="005A1CD7" w:rsidRDefault="0007786C" w:rsidP="005A1CD7">
      <w:pPr>
        <w:pStyle w:val="3"/>
        <w:spacing w:line="300" w:lineRule="auto"/>
        <w:jc w:val="both"/>
        <w:rPr>
          <w:rFonts w:eastAsia="宋体" w:hint="eastAsia"/>
          <w:sz w:val="21"/>
        </w:rPr>
      </w:pPr>
      <w:r>
        <w:rPr>
          <w:rFonts w:eastAsia="宋体" w:hint="eastAsia"/>
          <w:sz w:val="21"/>
        </w:rPr>
        <w:t>四</w:t>
      </w:r>
      <w:r w:rsidRPr="005A1CD7">
        <w:rPr>
          <w:rFonts w:eastAsia="宋体" w:hint="eastAsia"/>
          <w:sz w:val="21"/>
        </w:rPr>
        <w:t>、食品安全</w:t>
      </w:r>
    </w:p>
    <w:p w14:paraId="1E47C6E4" w14:textId="77777777" w:rsidR="008F3CB7" w:rsidRPr="005A1CD7" w:rsidRDefault="00000000" w:rsidP="005A1CD7">
      <w:pPr>
        <w:pStyle w:val="4"/>
        <w:spacing w:line="300" w:lineRule="auto"/>
        <w:ind w:firstLineChars="120" w:firstLine="252"/>
        <w:jc w:val="both"/>
        <w:rPr>
          <w:rFonts w:ascii="宋体" w:eastAsia="宋体" w:hAnsi="宋体" w:hint="eastAsia"/>
          <w:sz w:val="21"/>
          <w:szCs w:val="21"/>
        </w:rPr>
      </w:pPr>
      <w:r w:rsidRPr="005A1CD7">
        <w:rPr>
          <w:rFonts w:ascii="宋体" w:eastAsia="宋体" w:hAnsi="宋体" w:hint="eastAsia"/>
          <w:sz w:val="21"/>
          <w:szCs w:val="21"/>
        </w:rPr>
        <w:t>（一）适用范围</w:t>
      </w:r>
    </w:p>
    <w:tbl>
      <w:tblPr>
        <w:tblStyle w:val="a4"/>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266"/>
        <w:gridCol w:w="7239"/>
      </w:tblGrid>
      <w:tr w:rsidR="008F3CB7" w:rsidRPr="005A1CD7" w14:paraId="2B829801" w14:textId="77777777">
        <w:trPr>
          <w:jc w:val="center"/>
        </w:trPr>
        <w:tc>
          <w:tcPr>
            <w:tcW w:w="744" w:type="pct"/>
            <w:shd w:val="clear" w:color="auto" w:fill="auto"/>
            <w:vAlign w:val="center"/>
          </w:tcPr>
          <w:p w14:paraId="6D53C13D"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适用范围</w:t>
            </w:r>
          </w:p>
        </w:tc>
        <w:tc>
          <w:tcPr>
            <w:tcW w:w="4256" w:type="pct"/>
            <w:shd w:val="clear" w:color="auto" w:fill="auto"/>
            <w:vAlign w:val="center"/>
          </w:tcPr>
          <w:p w14:paraId="412934DA"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（1）食品、食品相关产品、食品添加剂的生产经营和安全管理</w:t>
            </w:r>
          </w:p>
          <w:p w14:paraId="64DD540D"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（2）食品的贮存和运输</w:t>
            </w:r>
          </w:p>
          <w:p w14:paraId="19EE7428"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（3）食品生产经营者使用食品添加剂、食品相关产品</w:t>
            </w:r>
          </w:p>
          <w:p w14:paraId="6BEAD88D"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4）食用农产品（供食用的源于农业的初级产品）的质量安全管理，遵守农产品质量安全法的规定。但是，食用农产品的市场销售、有关质量安全标准的制定、有关安全信息的公布和本法对农业投入品作出规定的，应当遵守本法</w:t>
            </w:r>
          </w:p>
        </w:tc>
      </w:tr>
    </w:tbl>
    <w:p w14:paraId="4FDE6FAD" w14:textId="77777777" w:rsidR="008F3CB7" w:rsidRPr="005A1CD7" w:rsidRDefault="00000000" w:rsidP="005A1CD7">
      <w:pPr>
        <w:pStyle w:val="4"/>
        <w:spacing w:line="300" w:lineRule="auto"/>
        <w:ind w:firstLineChars="120" w:firstLine="252"/>
        <w:jc w:val="both"/>
        <w:rPr>
          <w:rFonts w:ascii="宋体" w:eastAsia="宋体" w:hAnsi="宋体" w:hint="eastAsia"/>
          <w:sz w:val="21"/>
          <w:szCs w:val="21"/>
        </w:rPr>
      </w:pPr>
      <w:r w:rsidRPr="005A1CD7">
        <w:rPr>
          <w:rFonts w:ascii="宋体" w:eastAsia="宋体" w:hAnsi="宋体" w:hint="eastAsia"/>
          <w:sz w:val="21"/>
          <w:szCs w:val="21"/>
        </w:rPr>
        <w:t>（二）食品安全标准</w:t>
      </w:r>
    </w:p>
    <w:tbl>
      <w:tblPr>
        <w:tblStyle w:val="a4"/>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878"/>
        <w:gridCol w:w="7627"/>
      </w:tblGrid>
      <w:tr w:rsidR="008F3CB7" w:rsidRPr="005A1CD7" w14:paraId="37A12BE4" w14:textId="77777777" w:rsidTr="00394DDA">
        <w:trPr>
          <w:trHeight w:val="20"/>
          <w:jc w:val="center"/>
        </w:trPr>
        <w:tc>
          <w:tcPr>
            <w:tcW w:w="516" w:type="pct"/>
            <w:shd w:val="clear" w:color="auto" w:fill="auto"/>
            <w:vAlign w:val="center"/>
          </w:tcPr>
          <w:p w14:paraId="775350F4"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唯一性</w:t>
            </w:r>
          </w:p>
        </w:tc>
        <w:tc>
          <w:tcPr>
            <w:tcW w:w="4484" w:type="pct"/>
            <w:shd w:val="clear" w:color="auto" w:fill="auto"/>
            <w:vAlign w:val="center"/>
          </w:tcPr>
          <w:p w14:paraId="525590CF"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食品安全标准是强制执行的标准。除食品安全标准外，不得制定其他食品强制性标准</w:t>
            </w:r>
          </w:p>
        </w:tc>
      </w:tr>
      <w:tr w:rsidR="008F3CB7" w:rsidRPr="005A1CD7" w14:paraId="0BCBCE48" w14:textId="77777777" w:rsidTr="00394DDA">
        <w:trPr>
          <w:trHeight w:val="20"/>
          <w:jc w:val="center"/>
        </w:trPr>
        <w:tc>
          <w:tcPr>
            <w:tcW w:w="516" w:type="pct"/>
            <w:shd w:val="clear" w:color="auto" w:fill="auto"/>
            <w:vAlign w:val="center"/>
          </w:tcPr>
          <w:p w14:paraId="3D1DA9BD"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内容</w:t>
            </w:r>
          </w:p>
        </w:tc>
        <w:tc>
          <w:tcPr>
            <w:tcW w:w="4484" w:type="pct"/>
            <w:shd w:val="clear" w:color="auto" w:fill="auto"/>
            <w:vAlign w:val="center"/>
          </w:tcPr>
          <w:p w14:paraId="36057E52"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食品安全标准应当包括下列内容：（1）食品、食品添加剂、食品相关产品中的致病性微生物，农药残留、兽药残留、生物毒素、重金属等污染物质以及其他危害人体健康物质的限量规定；（2）食品添加剂的品种、使用范围、用量；（3）专供婴幼儿和其他特定人群的主辅食品的营养成分要求；（4）对与卫生、营养等食品安全要求有关的标签、标志、说明书的要求；（5）食品生产经营过程的卫生要求；（6）与食品安全有关的质量要求；（7）与食品安全有关的食品检验方法与规程；（8）其他需要制定为食品安全标准的内容</w:t>
            </w:r>
          </w:p>
        </w:tc>
      </w:tr>
      <w:tr w:rsidR="008F3CB7" w:rsidRPr="005A1CD7" w14:paraId="479339BC" w14:textId="77777777" w:rsidTr="00394DDA">
        <w:trPr>
          <w:trHeight w:val="20"/>
          <w:jc w:val="center"/>
        </w:trPr>
        <w:tc>
          <w:tcPr>
            <w:tcW w:w="516" w:type="pct"/>
            <w:vMerge w:val="restart"/>
            <w:shd w:val="clear" w:color="auto" w:fill="auto"/>
            <w:vAlign w:val="center"/>
          </w:tcPr>
          <w:p w14:paraId="24B5665E"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级别</w:t>
            </w:r>
          </w:p>
        </w:tc>
        <w:tc>
          <w:tcPr>
            <w:tcW w:w="4484" w:type="pct"/>
            <w:shd w:val="clear" w:color="auto" w:fill="auto"/>
            <w:vAlign w:val="center"/>
          </w:tcPr>
          <w:p w14:paraId="5E24DF31"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食品安全国家标准由国务院卫生部门会同国务院食品安全监督管理部门制定、公布，国务院标准化行政部门提供国家标准编号，经食品安全国家标准审评委员会审查通过</w:t>
            </w:r>
          </w:p>
        </w:tc>
      </w:tr>
      <w:tr w:rsidR="008F3CB7" w:rsidRPr="005A1CD7" w14:paraId="309EB0AB" w14:textId="77777777" w:rsidTr="00394DDA">
        <w:trPr>
          <w:trHeight w:val="20"/>
          <w:jc w:val="center"/>
        </w:trPr>
        <w:tc>
          <w:tcPr>
            <w:tcW w:w="516" w:type="pct"/>
            <w:vMerge/>
            <w:shd w:val="clear" w:color="auto" w:fill="auto"/>
            <w:vAlign w:val="center"/>
          </w:tcPr>
          <w:p w14:paraId="761AC074" w14:textId="77777777" w:rsidR="008F3CB7" w:rsidRPr="005A1CD7" w:rsidRDefault="008F3CB7" w:rsidP="005A1CD7">
            <w:pPr>
              <w:spacing w:beforeLines="10" w:before="31" w:afterLines="20" w:after="62" w:line="300" w:lineRule="auto"/>
              <w:ind w:firstLineChars="0" w:firstLine="0"/>
              <w:rPr>
                <w:rFonts w:eastAsia="宋体" w:hint="eastAsia"/>
                <w:kern w:val="0"/>
              </w:rPr>
            </w:pPr>
          </w:p>
        </w:tc>
        <w:tc>
          <w:tcPr>
            <w:tcW w:w="4484" w:type="pct"/>
            <w:shd w:val="clear" w:color="auto" w:fill="auto"/>
            <w:vAlign w:val="center"/>
          </w:tcPr>
          <w:p w14:paraId="7B561634"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对地方特色食品，</w:t>
            </w:r>
            <w:r w:rsidRPr="005A1CD7">
              <w:rPr>
                <w:rFonts w:eastAsia="宋体" w:cs="楷体" w:hint="eastAsia"/>
                <w:color w:val="FF0000"/>
                <w:kern w:val="0"/>
              </w:rPr>
              <w:t>没有食品安全国家标准的</w:t>
            </w:r>
            <w:r w:rsidRPr="005A1CD7">
              <w:rPr>
                <w:rFonts w:eastAsia="宋体" w:hint="eastAsia"/>
                <w:kern w:val="0"/>
              </w:rPr>
              <w:t>，省、自治区、直辖市卫生部门可以制定并公布食品安全地方标准，报国务院卫生部门备案。食品安全国家标准制定后，该地方标准即行废止</w:t>
            </w:r>
          </w:p>
        </w:tc>
      </w:tr>
      <w:tr w:rsidR="008F3CB7" w:rsidRPr="005A1CD7" w14:paraId="704230DB" w14:textId="77777777" w:rsidTr="00394DDA">
        <w:trPr>
          <w:trHeight w:val="20"/>
          <w:jc w:val="center"/>
        </w:trPr>
        <w:tc>
          <w:tcPr>
            <w:tcW w:w="516" w:type="pct"/>
            <w:vMerge/>
            <w:shd w:val="clear" w:color="auto" w:fill="auto"/>
            <w:vAlign w:val="center"/>
          </w:tcPr>
          <w:p w14:paraId="52EC59A0" w14:textId="77777777" w:rsidR="008F3CB7" w:rsidRPr="005A1CD7" w:rsidRDefault="008F3CB7" w:rsidP="005A1CD7">
            <w:pPr>
              <w:spacing w:beforeLines="10" w:before="31" w:afterLines="20" w:after="62" w:line="300" w:lineRule="auto"/>
              <w:ind w:firstLineChars="0" w:firstLine="0"/>
              <w:rPr>
                <w:rFonts w:eastAsia="宋体" w:hint="eastAsia"/>
                <w:kern w:val="0"/>
              </w:rPr>
            </w:pPr>
          </w:p>
        </w:tc>
        <w:tc>
          <w:tcPr>
            <w:tcW w:w="4484" w:type="pct"/>
            <w:shd w:val="clear" w:color="auto" w:fill="auto"/>
            <w:vAlign w:val="center"/>
          </w:tcPr>
          <w:p w14:paraId="5037303B" w14:textId="77777777" w:rsidR="008F3CB7" w:rsidRPr="005A1CD7" w:rsidRDefault="00000000" w:rsidP="005A1CD7">
            <w:pPr>
              <w:spacing w:beforeLines="10" w:before="31" w:afterLines="20" w:after="62" w:line="300" w:lineRule="auto"/>
              <w:ind w:firstLineChars="0" w:firstLine="0"/>
              <w:rPr>
                <w:rFonts w:eastAsia="宋体" w:hint="eastAsia"/>
                <w:b/>
                <w:kern w:val="0"/>
                <w:shd w:val="clear" w:color="FFFFFF" w:fill="D9D9D9"/>
              </w:rPr>
            </w:pPr>
            <w:r w:rsidRPr="005A1CD7">
              <w:rPr>
                <w:rFonts w:eastAsia="宋体" w:hint="eastAsia"/>
                <w:kern w:val="0"/>
              </w:rPr>
              <w:t>国家鼓励食品生产企业制定严于食品安全国家标准或者地方标准的企业标准，在</w:t>
            </w:r>
            <w:r w:rsidRPr="005A1CD7">
              <w:rPr>
                <w:rFonts w:eastAsia="宋体" w:hint="eastAsia"/>
                <w:kern w:val="0"/>
              </w:rPr>
              <w:lastRenderedPageBreak/>
              <w:t>本企业适用，并报省、自治区、直辖市卫生部门备案</w:t>
            </w:r>
          </w:p>
        </w:tc>
      </w:tr>
    </w:tbl>
    <w:p w14:paraId="16C1643F" w14:textId="77777777" w:rsidR="008F3CB7" w:rsidRPr="005A1CD7" w:rsidRDefault="00000000" w:rsidP="005A1CD7">
      <w:pPr>
        <w:pStyle w:val="4"/>
        <w:spacing w:line="300" w:lineRule="auto"/>
        <w:ind w:firstLineChars="120" w:firstLine="252"/>
        <w:jc w:val="both"/>
        <w:rPr>
          <w:rFonts w:ascii="宋体" w:eastAsia="宋体" w:hAnsi="宋体" w:hint="eastAsia"/>
          <w:sz w:val="21"/>
          <w:szCs w:val="21"/>
        </w:rPr>
      </w:pPr>
      <w:r w:rsidRPr="005A1CD7">
        <w:rPr>
          <w:rFonts w:ascii="宋体" w:eastAsia="宋体" w:hAnsi="宋体" w:hint="eastAsia"/>
          <w:sz w:val="21"/>
          <w:szCs w:val="21"/>
        </w:rPr>
        <w:lastRenderedPageBreak/>
        <w:t>（三）食品生产经营管理</w:t>
      </w:r>
    </w:p>
    <w:tbl>
      <w:tblPr>
        <w:tblStyle w:val="a4"/>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167"/>
        <w:gridCol w:w="7338"/>
      </w:tblGrid>
      <w:tr w:rsidR="008F3CB7" w:rsidRPr="005A1CD7" w14:paraId="7CCCF6F1" w14:textId="77777777" w:rsidTr="00394DDA">
        <w:trPr>
          <w:trHeight w:val="20"/>
          <w:jc w:val="center"/>
        </w:trPr>
        <w:tc>
          <w:tcPr>
            <w:tcW w:w="686" w:type="pct"/>
            <w:shd w:val="clear" w:color="auto" w:fill="auto"/>
            <w:vAlign w:val="center"/>
          </w:tcPr>
          <w:p w14:paraId="7CB07360"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新品许可</w:t>
            </w:r>
          </w:p>
        </w:tc>
        <w:tc>
          <w:tcPr>
            <w:tcW w:w="4314" w:type="pct"/>
            <w:shd w:val="clear" w:color="auto" w:fill="auto"/>
            <w:vAlign w:val="center"/>
          </w:tcPr>
          <w:p w14:paraId="184727C2"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利用新的食品原料生产食品，或者生产食品添加剂新品种、食品相关产品新品种，应当向国务院卫生部门提交相关产品的安全性评估材料。国务院卫生部门应当组织审查；对符合食品安全要求的，准予许可并公布；对不符合食品安全要求的，不予许可并书面说明理由</w:t>
            </w:r>
          </w:p>
        </w:tc>
      </w:tr>
      <w:tr w:rsidR="008F3CB7" w:rsidRPr="005A1CD7" w14:paraId="73676053" w14:textId="77777777" w:rsidTr="00394DDA">
        <w:trPr>
          <w:trHeight w:val="20"/>
          <w:jc w:val="center"/>
        </w:trPr>
        <w:tc>
          <w:tcPr>
            <w:tcW w:w="686" w:type="pct"/>
            <w:vMerge w:val="restart"/>
            <w:shd w:val="clear" w:color="auto" w:fill="auto"/>
            <w:vAlign w:val="center"/>
          </w:tcPr>
          <w:p w14:paraId="5E2A87F7"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分类许可</w:t>
            </w:r>
          </w:p>
        </w:tc>
        <w:tc>
          <w:tcPr>
            <w:tcW w:w="4314" w:type="pct"/>
            <w:shd w:val="clear" w:color="auto" w:fill="auto"/>
            <w:vAlign w:val="center"/>
          </w:tcPr>
          <w:p w14:paraId="20AEF7DB"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从事食品生产、食品销售、餐饮服务，应当依法取得许可。销售食用农产品，不需要取得许可</w:t>
            </w:r>
          </w:p>
        </w:tc>
      </w:tr>
      <w:tr w:rsidR="008F3CB7" w:rsidRPr="005A1CD7" w14:paraId="02216B0B" w14:textId="77777777" w:rsidTr="00394DDA">
        <w:trPr>
          <w:trHeight w:val="20"/>
          <w:jc w:val="center"/>
        </w:trPr>
        <w:tc>
          <w:tcPr>
            <w:tcW w:w="686" w:type="pct"/>
            <w:vMerge/>
            <w:shd w:val="clear" w:color="auto" w:fill="auto"/>
            <w:vAlign w:val="center"/>
          </w:tcPr>
          <w:p w14:paraId="5FE75333" w14:textId="77777777" w:rsidR="008F3CB7" w:rsidRPr="005A1CD7" w:rsidRDefault="008F3CB7" w:rsidP="005A1CD7">
            <w:pPr>
              <w:spacing w:beforeLines="10" w:before="31" w:afterLines="20" w:after="62" w:line="300" w:lineRule="auto"/>
              <w:ind w:firstLineChars="0" w:firstLine="0"/>
              <w:rPr>
                <w:rFonts w:eastAsia="宋体" w:hint="eastAsia"/>
                <w:bCs/>
                <w:kern w:val="0"/>
              </w:rPr>
            </w:pPr>
          </w:p>
        </w:tc>
        <w:tc>
          <w:tcPr>
            <w:tcW w:w="4314" w:type="pct"/>
            <w:shd w:val="clear" w:color="auto" w:fill="auto"/>
            <w:vAlign w:val="center"/>
          </w:tcPr>
          <w:p w14:paraId="486FBFE4"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国家对食品添加剂生产实行许可制度。食品添加剂应当在技术上确有必要且经过风险评估证明安全可靠，方可列入允许使用的范围</w:t>
            </w:r>
          </w:p>
        </w:tc>
      </w:tr>
      <w:tr w:rsidR="008F3CB7" w:rsidRPr="005A1CD7" w14:paraId="042D0A12" w14:textId="77777777" w:rsidTr="00394DDA">
        <w:trPr>
          <w:trHeight w:val="20"/>
          <w:jc w:val="center"/>
        </w:trPr>
        <w:tc>
          <w:tcPr>
            <w:tcW w:w="686" w:type="pct"/>
            <w:vMerge w:val="restart"/>
            <w:shd w:val="clear" w:color="auto" w:fill="auto"/>
            <w:vAlign w:val="center"/>
          </w:tcPr>
          <w:p w14:paraId="571436F9"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召回制度</w:t>
            </w:r>
          </w:p>
        </w:tc>
        <w:tc>
          <w:tcPr>
            <w:tcW w:w="4314" w:type="pct"/>
            <w:shd w:val="clear" w:color="auto" w:fill="auto"/>
            <w:vAlign w:val="center"/>
          </w:tcPr>
          <w:p w14:paraId="3D8DCE38"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召回条件：食品不符合食品安全标准或者有证据证明可能危害人体健康的</w:t>
            </w:r>
          </w:p>
        </w:tc>
      </w:tr>
      <w:tr w:rsidR="008F3CB7" w:rsidRPr="005A1CD7" w14:paraId="3C520D25" w14:textId="77777777" w:rsidTr="00394DDA">
        <w:trPr>
          <w:trHeight w:val="20"/>
          <w:jc w:val="center"/>
        </w:trPr>
        <w:tc>
          <w:tcPr>
            <w:tcW w:w="686" w:type="pct"/>
            <w:vMerge/>
            <w:shd w:val="clear" w:color="auto" w:fill="auto"/>
            <w:vAlign w:val="center"/>
          </w:tcPr>
          <w:p w14:paraId="4EE81234" w14:textId="77777777" w:rsidR="008F3CB7" w:rsidRPr="005A1CD7" w:rsidRDefault="008F3CB7" w:rsidP="005A1CD7">
            <w:pPr>
              <w:spacing w:beforeLines="10" w:before="31" w:afterLines="20" w:after="62" w:line="300" w:lineRule="auto"/>
              <w:ind w:firstLineChars="0" w:firstLine="0"/>
              <w:rPr>
                <w:rFonts w:eastAsia="宋体" w:hint="eastAsia"/>
                <w:bCs/>
                <w:kern w:val="0"/>
              </w:rPr>
            </w:pPr>
          </w:p>
        </w:tc>
        <w:tc>
          <w:tcPr>
            <w:tcW w:w="4314" w:type="pct"/>
            <w:shd w:val="clear" w:color="auto" w:fill="auto"/>
            <w:vAlign w:val="center"/>
          </w:tcPr>
          <w:p w14:paraId="380F418A"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召回主体：生产者应当召回；由于食品经营者原因造成的，食品经营者应当召回。食品生产经营者未依照本条规定召回或者停止经营的，县级以上食品安全监督管理部门可以责令其召回或停止经营</w:t>
            </w:r>
          </w:p>
        </w:tc>
      </w:tr>
      <w:tr w:rsidR="008F3CB7" w:rsidRPr="005A1CD7" w14:paraId="3D19DBFC" w14:textId="77777777" w:rsidTr="00394DDA">
        <w:trPr>
          <w:trHeight w:val="20"/>
          <w:jc w:val="center"/>
        </w:trPr>
        <w:tc>
          <w:tcPr>
            <w:tcW w:w="686" w:type="pct"/>
            <w:vMerge/>
            <w:shd w:val="clear" w:color="auto" w:fill="auto"/>
            <w:vAlign w:val="center"/>
          </w:tcPr>
          <w:p w14:paraId="32CF1F41" w14:textId="77777777" w:rsidR="008F3CB7" w:rsidRPr="005A1CD7" w:rsidRDefault="008F3CB7" w:rsidP="005A1CD7">
            <w:pPr>
              <w:spacing w:beforeLines="10" w:before="31" w:afterLines="20" w:after="62" w:line="300" w:lineRule="auto"/>
              <w:ind w:firstLineChars="0" w:firstLine="0"/>
              <w:rPr>
                <w:rFonts w:eastAsia="宋体" w:hint="eastAsia"/>
                <w:bCs/>
                <w:kern w:val="0"/>
              </w:rPr>
            </w:pPr>
          </w:p>
        </w:tc>
        <w:tc>
          <w:tcPr>
            <w:tcW w:w="4314" w:type="pct"/>
            <w:shd w:val="clear" w:color="auto" w:fill="auto"/>
            <w:vAlign w:val="center"/>
          </w:tcPr>
          <w:p w14:paraId="4EEEE025"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召回措施：停止生产经营，召回已经上市销售的食品，通知相关生产经营者和消费者，并记录召回和通知情况。采取无害化处理、销毁等措施，防止其再次流入市场；但是，对因标签、标志或者说明书不符合食品安全标准而被召回的食品，食品生产者在采取补救措施且能保证食品安全的情况下可以继续销售；销售时应当向消费者明示补救措施。将食品召回和处理情况向所在地县级食品安全监督管理部门报告</w:t>
            </w:r>
          </w:p>
        </w:tc>
      </w:tr>
      <w:tr w:rsidR="008F3CB7" w:rsidRPr="005A1CD7" w14:paraId="0B794373" w14:textId="77777777" w:rsidTr="00394DDA">
        <w:trPr>
          <w:trHeight w:val="20"/>
          <w:jc w:val="center"/>
        </w:trPr>
        <w:tc>
          <w:tcPr>
            <w:tcW w:w="686" w:type="pct"/>
            <w:shd w:val="clear" w:color="auto" w:fill="auto"/>
            <w:vAlign w:val="center"/>
          </w:tcPr>
          <w:p w14:paraId="241925A5"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食品广告</w:t>
            </w:r>
          </w:p>
        </w:tc>
        <w:tc>
          <w:tcPr>
            <w:tcW w:w="4314" w:type="pct"/>
            <w:shd w:val="clear" w:color="auto" w:fill="auto"/>
            <w:vAlign w:val="center"/>
          </w:tcPr>
          <w:p w14:paraId="73C5EF46"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食品广告的内容应当真实合法，不得含有虚假内容，不得涉及疾病预防、治疗功能。县级以上食品安全监督管理部门和其他有关部门以及食品检验机构、食品行业协会不得以广告或者其他形式向消费者推荐食品。消费者组织不得以收取费用或者其他牟取利益的方式向消费者推荐食品。生产经营转基因食品应当按照规定显著标示</w:t>
            </w:r>
          </w:p>
        </w:tc>
      </w:tr>
    </w:tbl>
    <w:p w14:paraId="461D3F5C" w14:textId="77777777" w:rsidR="008F3CB7" w:rsidRPr="005A1CD7" w:rsidRDefault="00000000" w:rsidP="005A1CD7">
      <w:pPr>
        <w:pStyle w:val="4"/>
        <w:spacing w:line="300" w:lineRule="auto"/>
        <w:ind w:firstLineChars="120" w:firstLine="252"/>
        <w:jc w:val="both"/>
        <w:rPr>
          <w:rFonts w:ascii="宋体" w:eastAsia="宋体" w:hAnsi="宋体" w:hint="eastAsia"/>
          <w:sz w:val="21"/>
          <w:szCs w:val="21"/>
        </w:rPr>
      </w:pPr>
      <w:r w:rsidRPr="005A1CD7">
        <w:rPr>
          <w:rFonts w:ascii="宋体" w:eastAsia="宋体" w:hAnsi="宋体" w:hint="eastAsia"/>
          <w:sz w:val="21"/>
          <w:szCs w:val="21"/>
        </w:rPr>
        <w:t>（四）特殊食品</w:t>
      </w:r>
    </w:p>
    <w:tbl>
      <w:tblPr>
        <w:tblStyle w:val="a4"/>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157"/>
        <w:gridCol w:w="7348"/>
      </w:tblGrid>
      <w:tr w:rsidR="008F3CB7" w:rsidRPr="005A1CD7" w14:paraId="44544AB0" w14:textId="77777777" w:rsidTr="00394DDA">
        <w:trPr>
          <w:trHeight w:val="20"/>
          <w:jc w:val="center"/>
        </w:trPr>
        <w:tc>
          <w:tcPr>
            <w:tcW w:w="680" w:type="pct"/>
            <w:vMerge w:val="restart"/>
            <w:shd w:val="clear" w:color="auto" w:fill="auto"/>
            <w:vAlign w:val="center"/>
          </w:tcPr>
          <w:p w14:paraId="0DDFA4F9"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保健食品</w:t>
            </w:r>
          </w:p>
        </w:tc>
        <w:tc>
          <w:tcPr>
            <w:tcW w:w="4320" w:type="pct"/>
            <w:shd w:val="clear" w:color="auto" w:fill="auto"/>
            <w:vAlign w:val="center"/>
          </w:tcPr>
          <w:p w14:paraId="57C8904A"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列入保健食品原料目录的原料只能用于保健食品生产，不得用于其他食品</w:t>
            </w:r>
          </w:p>
        </w:tc>
      </w:tr>
      <w:tr w:rsidR="008F3CB7" w:rsidRPr="005A1CD7" w14:paraId="3983B255" w14:textId="77777777" w:rsidTr="00394DDA">
        <w:trPr>
          <w:trHeight w:val="20"/>
          <w:jc w:val="center"/>
        </w:trPr>
        <w:tc>
          <w:tcPr>
            <w:tcW w:w="680" w:type="pct"/>
            <w:vMerge/>
            <w:shd w:val="clear" w:color="auto" w:fill="auto"/>
            <w:vAlign w:val="center"/>
          </w:tcPr>
          <w:p w14:paraId="70C219AD" w14:textId="77777777" w:rsidR="008F3CB7" w:rsidRPr="005A1CD7" w:rsidRDefault="008F3CB7" w:rsidP="005A1CD7">
            <w:pPr>
              <w:spacing w:beforeLines="10" w:before="31" w:afterLines="20" w:after="62" w:line="300" w:lineRule="auto"/>
              <w:ind w:firstLineChars="0" w:firstLine="0"/>
              <w:rPr>
                <w:rFonts w:eastAsia="宋体" w:hint="eastAsia"/>
                <w:bCs/>
                <w:kern w:val="0"/>
              </w:rPr>
            </w:pPr>
          </w:p>
        </w:tc>
        <w:tc>
          <w:tcPr>
            <w:tcW w:w="4320" w:type="pct"/>
            <w:shd w:val="clear" w:color="auto" w:fill="auto"/>
            <w:vAlign w:val="center"/>
          </w:tcPr>
          <w:p w14:paraId="615FF696"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注册备案：使用保健食品原料目录以外原料的保健食品和首次进口的保健食品应当经国务院食品安全监督管理部门</w:t>
            </w:r>
            <w:r w:rsidRPr="005A1CD7">
              <w:rPr>
                <w:rFonts w:eastAsia="宋体" w:cs="楷体" w:hint="eastAsia"/>
                <w:color w:val="FF0000"/>
                <w:kern w:val="0"/>
              </w:rPr>
              <w:t>注册</w:t>
            </w:r>
            <w:r w:rsidRPr="005A1CD7">
              <w:rPr>
                <w:rFonts w:eastAsia="宋体" w:hint="eastAsia"/>
                <w:kern w:val="0"/>
              </w:rPr>
              <w:t>。但是，首次进口的保健食品中属于补充维生素、矿物质等营养物质的，应当报国务院食品安全监督管理部门</w:t>
            </w:r>
            <w:r w:rsidRPr="005A1CD7">
              <w:rPr>
                <w:rFonts w:eastAsia="宋体" w:cs="楷体" w:hint="eastAsia"/>
                <w:color w:val="FF0000"/>
                <w:kern w:val="0"/>
              </w:rPr>
              <w:t>备案</w:t>
            </w:r>
            <w:r w:rsidRPr="005A1CD7">
              <w:rPr>
                <w:rFonts w:eastAsia="宋体" w:hint="eastAsia"/>
                <w:kern w:val="0"/>
              </w:rPr>
              <w:t>。其他保健食品应当报省、自治区、直辖市食品安全监督管理部门备案</w:t>
            </w:r>
          </w:p>
        </w:tc>
      </w:tr>
      <w:tr w:rsidR="008F3CB7" w:rsidRPr="005A1CD7" w14:paraId="51211F42" w14:textId="77777777" w:rsidTr="00394DDA">
        <w:trPr>
          <w:trHeight w:val="20"/>
          <w:jc w:val="center"/>
        </w:trPr>
        <w:tc>
          <w:tcPr>
            <w:tcW w:w="680" w:type="pct"/>
            <w:vMerge/>
            <w:shd w:val="clear" w:color="auto" w:fill="auto"/>
            <w:vAlign w:val="center"/>
          </w:tcPr>
          <w:p w14:paraId="0C5D388E" w14:textId="77777777" w:rsidR="008F3CB7" w:rsidRPr="005A1CD7" w:rsidRDefault="008F3CB7" w:rsidP="005A1CD7">
            <w:pPr>
              <w:spacing w:beforeLines="10" w:before="31" w:afterLines="20" w:after="62" w:line="300" w:lineRule="auto"/>
              <w:ind w:firstLineChars="0" w:firstLine="0"/>
              <w:rPr>
                <w:rFonts w:eastAsia="宋体" w:hint="eastAsia"/>
                <w:bCs/>
                <w:kern w:val="0"/>
              </w:rPr>
            </w:pPr>
          </w:p>
        </w:tc>
        <w:tc>
          <w:tcPr>
            <w:tcW w:w="4320" w:type="pct"/>
            <w:shd w:val="clear" w:color="auto" w:fill="auto"/>
            <w:vAlign w:val="center"/>
          </w:tcPr>
          <w:p w14:paraId="6F4F529C"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标签和说明书：不得涉及疾病预防、治疗功能，内容应当真实，与注册或者备</w:t>
            </w:r>
            <w:r w:rsidRPr="005A1CD7">
              <w:rPr>
                <w:rFonts w:eastAsia="宋体" w:hint="eastAsia"/>
                <w:kern w:val="0"/>
              </w:rPr>
              <w:lastRenderedPageBreak/>
              <w:t>案的内容相一致，载明适宜人群、不适宜人群、功效成分或者标志性成分及其含量等，并声明“本品不能代替药物”</w:t>
            </w:r>
          </w:p>
        </w:tc>
      </w:tr>
      <w:tr w:rsidR="008F3CB7" w:rsidRPr="005A1CD7" w14:paraId="2CBD82B3" w14:textId="77777777" w:rsidTr="00394DDA">
        <w:trPr>
          <w:trHeight w:val="20"/>
          <w:jc w:val="center"/>
        </w:trPr>
        <w:tc>
          <w:tcPr>
            <w:tcW w:w="680" w:type="pct"/>
            <w:vMerge/>
            <w:shd w:val="clear" w:color="auto" w:fill="auto"/>
            <w:vAlign w:val="center"/>
          </w:tcPr>
          <w:p w14:paraId="7EB91917" w14:textId="77777777" w:rsidR="008F3CB7" w:rsidRPr="005A1CD7" w:rsidRDefault="008F3CB7" w:rsidP="005A1CD7">
            <w:pPr>
              <w:spacing w:beforeLines="10" w:before="31" w:afterLines="20" w:after="62" w:line="300" w:lineRule="auto"/>
              <w:ind w:firstLineChars="0" w:firstLine="0"/>
              <w:rPr>
                <w:rFonts w:eastAsia="宋体" w:hint="eastAsia"/>
                <w:bCs/>
                <w:kern w:val="0"/>
              </w:rPr>
            </w:pPr>
          </w:p>
        </w:tc>
        <w:tc>
          <w:tcPr>
            <w:tcW w:w="4320" w:type="pct"/>
            <w:shd w:val="clear" w:color="auto" w:fill="auto"/>
            <w:vAlign w:val="center"/>
          </w:tcPr>
          <w:p w14:paraId="1E0479B3"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广告：保健食品广告应当声明“本品不能代替药物”；其内容应当经生产企业所在地省、自治区、直辖市食品安全监督管理部门审查批准。省、自治区、直辖市食品安全监督管理部门应当公布并及时更新已经批准的保健食品广告目录以及批准的广告内容</w:t>
            </w:r>
          </w:p>
        </w:tc>
      </w:tr>
      <w:tr w:rsidR="008F3CB7" w:rsidRPr="005A1CD7" w14:paraId="524E80A9" w14:textId="77777777" w:rsidTr="00394DDA">
        <w:trPr>
          <w:trHeight w:val="20"/>
          <w:jc w:val="center"/>
        </w:trPr>
        <w:tc>
          <w:tcPr>
            <w:tcW w:w="680" w:type="pct"/>
            <w:vMerge w:val="restart"/>
            <w:shd w:val="clear" w:color="auto" w:fill="auto"/>
            <w:vAlign w:val="center"/>
          </w:tcPr>
          <w:p w14:paraId="7D4BC91E"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婴幼儿配方食品</w:t>
            </w:r>
          </w:p>
        </w:tc>
        <w:tc>
          <w:tcPr>
            <w:tcW w:w="4320" w:type="pct"/>
            <w:shd w:val="clear" w:color="auto" w:fill="auto"/>
            <w:vAlign w:val="center"/>
          </w:tcPr>
          <w:p w14:paraId="5F6F77A9"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质量控制：婴幼儿配方食品生产企业应当实施从原料进厂到成品出厂的全过程质量控制，对出厂的婴幼儿配方食品实施逐批检验，保证食品安全</w:t>
            </w:r>
          </w:p>
        </w:tc>
      </w:tr>
      <w:tr w:rsidR="008F3CB7" w:rsidRPr="005A1CD7" w14:paraId="1FC646E0" w14:textId="77777777" w:rsidTr="00394DDA">
        <w:trPr>
          <w:trHeight w:val="20"/>
          <w:jc w:val="center"/>
        </w:trPr>
        <w:tc>
          <w:tcPr>
            <w:tcW w:w="680" w:type="pct"/>
            <w:vMerge/>
            <w:shd w:val="clear" w:color="auto" w:fill="auto"/>
            <w:vAlign w:val="center"/>
          </w:tcPr>
          <w:p w14:paraId="28AAAD4F" w14:textId="77777777" w:rsidR="008F3CB7" w:rsidRPr="005A1CD7" w:rsidRDefault="008F3CB7" w:rsidP="005A1CD7">
            <w:pPr>
              <w:spacing w:beforeLines="10" w:before="31" w:afterLines="20" w:after="62" w:line="300" w:lineRule="auto"/>
              <w:ind w:firstLineChars="0" w:firstLine="0"/>
              <w:rPr>
                <w:rFonts w:eastAsia="宋体" w:hint="eastAsia"/>
                <w:bCs/>
                <w:kern w:val="0"/>
              </w:rPr>
            </w:pPr>
          </w:p>
        </w:tc>
        <w:tc>
          <w:tcPr>
            <w:tcW w:w="4320" w:type="pct"/>
            <w:shd w:val="clear" w:color="auto" w:fill="auto"/>
            <w:vAlign w:val="center"/>
          </w:tcPr>
          <w:p w14:paraId="36C78857"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备案制：婴幼儿配方食品生产企业应当将食品原料、食品添加剂、产品配方及标签等事项向省、自治区、直辖市食品安全监督管理部门备案</w:t>
            </w:r>
          </w:p>
        </w:tc>
      </w:tr>
      <w:tr w:rsidR="008F3CB7" w:rsidRPr="005A1CD7" w14:paraId="1DC4A876" w14:textId="77777777" w:rsidTr="00394DDA">
        <w:trPr>
          <w:trHeight w:val="20"/>
          <w:jc w:val="center"/>
        </w:trPr>
        <w:tc>
          <w:tcPr>
            <w:tcW w:w="680" w:type="pct"/>
            <w:vMerge/>
            <w:shd w:val="clear" w:color="auto" w:fill="auto"/>
            <w:vAlign w:val="center"/>
          </w:tcPr>
          <w:p w14:paraId="1499CDFA" w14:textId="77777777" w:rsidR="008F3CB7" w:rsidRPr="005A1CD7" w:rsidRDefault="008F3CB7" w:rsidP="005A1CD7">
            <w:pPr>
              <w:spacing w:beforeLines="10" w:before="31" w:afterLines="20" w:after="62" w:line="300" w:lineRule="auto"/>
              <w:ind w:firstLineChars="0" w:firstLine="0"/>
              <w:rPr>
                <w:rFonts w:eastAsia="宋体" w:hint="eastAsia"/>
                <w:bCs/>
                <w:kern w:val="0"/>
              </w:rPr>
            </w:pPr>
          </w:p>
        </w:tc>
        <w:tc>
          <w:tcPr>
            <w:tcW w:w="4320" w:type="pct"/>
            <w:shd w:val="clear" w:color="auto" w:fill="auto"/>
            <w:vAlign w:val="center"/>
          </w:tcPr>
          <w:p w14:paraId="6B7FB80D"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奶粉：婴幼儿配方乳粉的产品配方应当经国务院食品安全监督管理部门</w:t>
            </w:r>
            <w:r w:rsidRPr="005A1CD7">
              <w:rPr>
                <w:rFonts w:eastAsia="宋体" w:cs="楷体" w:hint="eastAsia"/>
                <w:color w:val="FF0000"/>
                <w:kern w:val="0"/>
              </w:rPr>
              <w:t>注册</w:t>
            </w:r>
            <w:r w:rsidRPr="005A1CD7">
              <w:rPr>
                <w:rFonts w:eastAsia="宋体" w:hint="eastAsia"/>
                <w:kern w:val="0"/>
              </w:rPr>
              <w:t>。不得以分装方式生产婴幼儿配方乳粉，同一企业不得用同一配方生产不同品牌的婴幼儿配方乳粉</w:t>
            </w:r>
          </w:p>
        </w:tc>
      </w:tr>
      <w:tr w:rsidR="008F3CB7" w:rsidRPr="005A1CD7" w14:paraId="080BA6DA" w14:textId="77777777" w:rsidTr="00394DDA">
        <w:trPr>
          <w:trHeight w:val="20"/>
          <w:jc w:val="center"/>
        </w:trPr>
        <w:tc>
          <w:tcPr>
            <w:tcW w:w="680" w:type="pct"/>
            <w:shd w:val="clear" w:color="auto" w:fill="auto"/>
            <w:vAlign w:val="center"/>
          </w:tcPr>
          <w:p w14:paraId="1C7F7356"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医用食品</w:t>
            </w:r>
          </w:p>
        </w:tc>
        <w:tc>
          <w:tcPr>
            <w:tcW w:w="4320" w:type="pct"/>
            <w:shd w:val="clear" w:color="auto" w:fill="auto"/>
            <w:vAlign w:val="center"/>
          </w:tcPr>
          <w:p w14:paraId="6078741F"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特殊医学用途配方食品应当经国务院食品安全监督管理部门</w:t>
            </w:r>
            <w:r w:rsidRPr="005A1CD7">
              <w:rPr>
                <w:rFonts w:eastAsia="宋体" w:cs="楷体" w:hint="eastAsia"/>
                <w:color w:val="FF0000"/>
                <w:kern w:val="0"/>
              </w:rPr>
              <w:t>注册</w:t>
            </w:r>
            <w:r w:rsidRPr="005A1CD7">
              <w:rPr>
                <w:rFonts w:eastAsia="宋体" w:hint="eastAsia"/>
                <w:kern w:val="0"/>
              </w:rPr>
              <w:t>。特殊医学用途配方食品广告适用《广告法》和其他法律、行政法规关于药品广告管理的规定</w:t>
            </w:r>
          </w:p>
        </w:tc>
      </w:tr>
    </w:tbl>
    <w:p w14:paraId="7A887CD1" w14:textId="40FA3DD9" w:rsidR="008F3CB7" w:rsidRPr="005A1CD7" w:rsidRDefault="00000000" w:rsidP="005A1CD7">
      <w:pPr>
        <w:pStyle w:val="4"/>
        <w:spacing w:line="300" w:lineRule="auto"/>
        <w:ind w:firstLineChars="120" w:firstLine="252"/>
        <w:jc w:val="both"/>
        <w:rPr>
          <w:rFonts w:ascii="宋体" w:eastAsia="宋体" w:hAnsi="宋体" w:hint="eastAsia"/>
          <w:sz w:val="21"/>
          <w:szCs w:val="21"/>
        </w:rPr>
      </w:pPr>
      <w:r w:rsidRPr="001F7F39">
        <w:rPr>
          <w:rFonts w:ascii="宋体" w:eastAsia="宋体" w:hAnsi="宋体" w:hint="eastAsia"/>
          <w:sz w:val="21"/>
          <w:szCs w:val="21"/>
          <w:highlight w:val="yellow"/>
        </w:rPr>
        <w:t>（五）民事责任</w:t>
      </w:r>
      <w:r w:rsidR="001F7F39">
        <w:rPr>
          <w:rFonts w:ascii="宋体" w:eastAsia="宋体" w:hAnsi="宋体" w:hint="eastAsia"/>
          <w:sz w:val="21"/>
          <w:szCs w:val="21"/>
          <w:highlight w:val="yellow"/>
        </w:rPr>
        <w:t>【重中之重】</w:t>
      </w:r>
    </w:p>
    <w:tbl>
      <w:tblPr>
        <w:tblStyle w:val="a4"/>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007"/>
        <w:gridCol w:w="7498"/>
      </w:tblGrid>
      <w:tr w:rsidR="008F3CB7" w:rsidRPr="005A1CD7" w14:paraId="00E1FB2E" w14:textId="77777777" w:rsidTr="00394DDA">
        <w:trPr>
          <w:trHeight w:val="20"/>
          <w:jc w:val="center"/>
        </w:trPr>
        <w:tc>
          <w:tcPr>
            <w:tcW w:w="592" w:type="pct"/>
            <w:shd w:val="clear" w:color="auto" w:fill="auto"/>
            <w:vAlign w:val="center"/>
          </w:tcPr>
          <w:p w14:paraId="0C1DFD87"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首负</w:t>
            </w:r>
          </w:p>
          <w:p w14:paraId="7593DD23"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责任制</w:t>
            </w:r>
          </w:p>
        </w:tc>
        <w:tc>
          <w:tcPr>
            <w:tcW w:w="4408" w:type="pct"/>
            <w:shd w:val="clear" w:color="auto" w:fill="auto"/>
            <w:vAlign w:val="center"/>
          </w:tcPr>
          <w:p w14:paraId="4497714A"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消费者因不符合食品安全标准的食品受到损害的，可以向经营者要求赔偿损失，也可以向生产者要求赔偿损失。接到消费者赔偿要求的生产经营者，应当实行首负责任制，先行赔付，不得推诿；属于生产者责任的，经营者赔偿后有权向生产者追偿；属于经营者责任的，生产者赔偿后有权向经营者追偿</w:t>
            </w:r>
          </w:p>
        </w:tc>
      </w:tr>
      <w:tr w:rsidR="008F3CB7" w:rsidRPr="005A1CD7" w14:paraId="51EAD324" w14:textId="77777777" w:rsidTr="00394DDA">
        <w:trPr>
          <w:trHeight w:val="20"/>
          <w:jc w:val="center"/>
        </w:trPr>
        <w:tc>
          <w:tcPr>
            <w:tcW w:w="592" w:type="pct"/>
            <w:shd w:val="clear" w:color="auto" w:fill="auto"/>
            <w:vAlign w:val="center"/>
          </w:tcPr>
          <w:p w14:paraId="786DB846"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惩罚性</w:t>
            </w:r>
          </w:p>
          <w:p w14:paraId="244347D9"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赔偿</w:t>
            </w:r>
          </w:p>
        </w:tc>
        <w:tc>
          <w:tcPr>
            <w:tcW w:w="4408" w:type="pct"/>
            <w:shd w:val="clear" w:color="auto" w:fill="auto"/>
            <w:vAlign w:val="center"/>
          </w:tcPr>
          <w:p w14:paraId="44281CEF" w14:textId="77777777" w:rsidR="008F3CB7" w:rsidRPr="005A1CD7" w:rsidRDefault="00000000" w:rsidP="005A1CD7">
            <w:pPr>
              <w:spacing w:beforeLines="10" w:before="31" w:afterLines="20" w:after="62" w:line="300" w:lineRule="auto"/>
              <w:ind w:firstLineChars="0" w:firstLine="0"/>
              <w:rPr>
                <w:rFonts w:eastAsia="宋体" w:hint="eastAsia"/>
                <w:b/>
                <w:kern w:val="0"/>
                <w:shd w:val="clear" w:color="FFFFFF" w:fill="D9D9D9"/>
              </w:rPr>
            </w:pPr>
            <w:r w:rsidRPr="005A1CD7">
              <w:rPr>
                <w:rFonts w:eastAsia="宋体" w:hint="eastAsia"/>
                <w:kern w:val="0"/>
              </w:rPr>
              <w:t>生产不符合食品安全标准的食品或者经营明知是不符合食品安全标准的食品，消费者除要求赔偿损失外，还可以向生产者或者经营者要求支付</w:t>
            </w:r>
            <w:r w:rsidRPr="005A1CD7">
              <w:rPr>
                <w:rFonts w:eastAsia="宋体" w:cs="楷体" w:hint="eastAsia"/>
                <w:color w:val="FF0000"/>
                <w:kern w:val="0"/>
              </w:rPr>
              <w:t>价款10倍或者损失3倍的赔偿金；增加赔偿的金额不足1000的，为1000元</w:t>
            </w:r>
            <w:r w:rsidRPr="005A1CD7">
              <w:rPr>
                <w:rFonts w:eastAsia="宋体" w:hint="eastAsia"/>
                <w:kern w:val="0"/>
              </w:rPr>
              <w:t>。但是，</w:t>
            </w:r>
            <w:r w:rsidRPr="005A1CD7">
              <w:rPr>
                <w:rFonts w:eastAsia="宋体" w:cs="楷体" w:hint="eastAsia"/>
                <w:color w:val="FF0000"/>
                <w:kern w:val="0"/>
              </w:rPr>
              <w:t>食品的标签、说明书存在不影响食品安全且不会对消费者造成误导的瑕疵的除外</w:t>
            </w:r>
          </w:p>
        </w:tc>
      </w:tr>
      <w:tr w:rsidR="008F3CB7" w:rsidRPr="005A1CD7" w14:paraId="702F3FC8" w14:textId="77777777" w:rsidTr="00394DDA">
        <w:trPr>
          <w:trHeight w:val="20"/>
          <w:jc w:val="center"/>
        </w:trPr>
        <w:tc>
          <w:tcPr>
            <w:tcW w:w="592" w:type="pct"/>
            <w:shd w:val="clear" w:color="auto" w:fill="auto"/>
            <w:vAlign w:val="center"/>
          </w:tcPr>
          <w:p w14:paraId="38B2EF82"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诉讼</w:t>
            </w:r>
          </w:p>
          <w:p w14:paraId="439B297D" w14:textId="77777777" w:rsidR="008F3CB7" w:rsidRPr="005A1CD7" w:rsidRDefault="00000000" w:rsidP="005A1CD7">
            <w:pPr>
              <w:spacing w:beforeLines="10" w:before="31" w:afterLines="20" w:after="62" w:line="300" w:lineRule="auto"/>
              <w:ind w:firstLineChars="0" w:firstLine="0"/>
              <w:rPr>
                <w:rFonts w:eastAsia="宋体" w:hint="eastAsia"/>
                <w:bCs/>
                <w:kern w:val="0"/>
              </w:rPr>
            </w:pPr>
            <w:r w:rsidRPr="005A1CD7">
              <w:rPr>
                <w:rFonts w:eastAsia="宋体" w:hint="eastAsia"/>
                <w:bCs/>
                <w:kern w:val="0"/>
              </w:rPr>
              <w:t>规则</w:t>
            </w:r>
          </w:p>
        </w:tc>
        <w:tc>
          <w:tcPr>
            <w:tcW w:w="4408" w:type="pct"/>
            <w:shd w:val="clear" w:color="auto" w:fill="auto"/>
            <w:vAlign w:val="center"/>
          </w:tcPr>
          <w:p w14:paraId="32938364"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（1）消费者可以分别起诉或者同时起诉销售者和生产者。消费者仅起诉销售者或者生产者的，必要时法院可以追加相关当事人参加诉讼</w:t>
            </w:r>
          </w:p>
          <w:p w14:paraId="60246B24" w14:textId="77777777" w:rsidR="008F3CB7" w:rsidRPr="005A1CD7" w:rsidRDefault="00000000" w:rsidP="005A1CD7">
            <w:pPr>
              <w:spacing w:beforeLines="10" w:before="31" w:afterLines="20" w:after="62" w:line="300" w:lineRule="auto"/>
              <w:ind w:firstLineChars="0" w:firstLine="0"/>
              <w:rPr>
                <w:rFonts w:eastAsia="宋体" w:hint="eastAsia"/>
                <w:kern w:val="0"/>
              </w:rPr>
            </w:pPr>
            <w:r w:rsidRPr="005A1CD7">
              <w:rPr>
                <w:rFonts w:eastAsia="宋体" w:hint="eastAsia"/>
                <w:kern w:val="0"/>
              </w:rPr>
              <w:t>（2）生产者、销售者以购买者明知食品、药品存在质量问题而仍然购买为由进行抗辩的；以消费者未对赠品支付对价为由进行免责抗辩的；虽在销售前取得检验合格证明，且食用或者使用时尚在保质期内，但经检验确认产品不合格，生产者或者销售者以该食品、药品具有检验合格证明为由进行抗辩的，法院不予支持</w:t>
            </w:r>
          </w:p>
        </w:tc>
      </w:tr>
    </w:tbl>
    <w:p w14:paraId="5191801D" w14:textId="77777777" w:rsidR="008F3CB7" w:rsidRPr="005A1CD7" w:rsidRDefault="00000000" w:rsidP="005A1CD7">
      <w:pPr>
        <w:pStyle w:val="4"/>
        <w:spacing w:line="300" w:lineRule="auto"/>
        <w:ind w:firstLineChars="120" w:firstLine="252"/>
        <w:jc w:val="both"/>
        <w:rPr>
          <w:rFonts w:ascii="宋体" w:eastAsia="宋体" w:hAnsi="宋体" w:hint="eastAsia"/>
          <w:sz w:val="21"/>
          <w:szCs w:val="21"/>
        </w:rPr>
      </w:pPr>
      <w:r w:rsidRPr="005A1CD7">
        <w:rPr>
          <w:rFonts w:ascii="宋体" w:eastAsia="宋体" w:hAnsi="宋体" w:hint="eastAsia"/>
          <w:sz w:val="21"/>
          <w:szCs w:val="21"/>
        </w:rPr>
        <w:t>（六）行业禁入</w:t>
      </w:r>
    </w:p>
    <w:p w14:paraId="55ECC495" w14:textId="77777777" w:rsidR="008F3CB7" w:rsidRDefault="00000000" w:rsidP="005A1CD7">
      <w:pPr>
        <w:spacing w:line="300" w:lineRule="auto"/>
        <w:ind w:firstLine="420"/>
        <w:rPr>
          <w:rFonts w:eastAsia="宋体" w:hint="eastAsia"/>
          <w:kern w:val="0"/>
        </w:rPr>
      </w:pPr>
      <w:r w:rsidRPr="005A1CD7">
        <w:rPr>
          <w:rFonts w:eastAsia="宋体" w:hint="eastAsia"/>
          <w:kern w:val="0"/>
        </w:rPr>
        <w:t>被吊销许可证的食品生产经营者及其法定代表人、直接负责的主管人员和其他直接责任</w:t>
      </w:r>
      <w:r w:rsidRPr="005A1CD7">
        <w:rPr>
          <w:rFonts w:eastAsia="宋体" w:hint="eastAsia"/>
          <w:kern w:val="0"/>
        </w:rPr>
        <w:lastRenderedPageBreak/>
        <w:t>人员自处罚决定作出之日起五年内不得申请食品生产经营许可，或者从事食品生产经营管理工作、担任食品生产经营企业食品安全管理人员。因食品安全犯罪被判处有期徒刑以上刑罚的，终身不得从事食品生产经营管理工作，也不得担任食品生产经营企业食品安全管理人员。食品生产经营者聘用人员违反前两款规定的，由县级以上人民政府食品安全监督管理部门吊销许可证。</w:t>
      </w:r>
    </w:p>
    <w:p w14:paraId="63D5CD61" w14:textId="45374011" w:rsidR="00F43421" w:rsidRPr="00F43421" w:rsidRDefault="00000000" w:rsidP="00F43421">
      <w:pPr>
        <w:pStyle w:val="1"/>
        <w:spacing w:before="0" w:line="300" w:lineRule="auto"/>
        <w:rPr>
          <w:rFonts w:ascii="宋体" w:eastAsia="宋体" w:hAnsi="宋体" w:hint="eastAsia"/>
          <w:b/>
          <w:bCs w:val="0"/>
          <w:color w:val="auto"/>
          <w:sz w:val="21"/>
          <w:szCs w:val="21"/>
        </w:rPr>
      </w:pPr>
      <w:bookmarkStart w:id="2" w:name="_Toc841691059"/>
      <w:bookmarkStart w:id="3" w:name="_Toc193726287"/>
      <w:r w:rsidRPr="00F43421">
        <w:rPr>
          <w:rFonts w:ascii="宋体" w:eastAsia="宋体" w:hAnsi="宋体" w:hint="eastAsia"/>
          <w:b/>
          <w:bCs w:val="0"/>
          <w:color w:val="auto"/>
          <w:sz w:val="21"/>
          <w:szCs w:val="21"/>
        </w:rPr>
        <w:t>考点3  银行业法</w:t>
      </w:r>
      <w:bookmarkEnd w:id="2"/>
      <w:bookmarkEnd w:id="3"/>
      <w:r w:rsidR="00F43421" w:rsidRPr="00F43421">
        <w:rPr>
          <w:rFonts w:ascii="宋体" w:eastAsia="宋体" w:hAnsi="宋体" w:hint="eastAsia"/>
          <w:b/>
          <w:bCs w:val="0"/>
          <w:color w:val="auto"/>
          <w:sz w:val="21"/>
          <w:szCs w:val="21"/>
        </w:rPr>
        <w:t>（2</w:t>
      </w:r>
      <w:r w:rsidR="00C05383">
        <w:rPr>
          <w:rFonts w:ascii="宋体" w:eastAsia="宋体" w:hAnsi="宋体" w:hint="eastAsia"/>
          <w:b/>
          <w:bCs w:val="0"/>
          <w:color w:val="auto"/>
          <w:sz w:val="21"/>
          <w:szCs w:val="21"/>
        </w:rPr>
        <w:t>2</w:t>
      </w:r>
      <w:r w:rsidR="00F43421" w:rsidRPr="00F43421">
        <w:rPr>
          <w:rFonts w:ascii="宋体" w:eastAsia="宋体" w:hAnsi="宋体" w:hint="eastAsia"/>
          <w:b/>
          <w:bCs w:val="0"/>
          <w:color w:val="auto"/>
          <w:sz w:val="21"/>
          <w:szCs w:val="21"/>
        </w:rPr>
        <w:t>:</w:t>
      </w:r>
      <w:r w:rsidR="00C05383">
        <w:rPr>
          <w:rFonts w:ascii="宋体" w:eastAsia="宋体" w:hAnsi="宋体" w:hint="eastAsia"/>
          <w:b/>
          <w:bCs w:val="0"/>
          <w:color w:val="auto"/>
          <w:sz w:val="21"/>
          <w:szCs w:val="21"/>
        </w:rPr>
        <w:t>2</w:t>
      </w:r>
      <w:r w:rsidR="00F43421" w:rsidRPr="00F43421">
        <w:rPr>
          <w:rFonts w:ascii="宋体" w:eastAsia="宋体" w:hAnsi="宋体" w:hint="eastAsia"/>
          <w:b/>
          <w:bCs w:val="0"/>
          <w:color w:val="auto"/>
          <w:sz w:val="21"/>
          <w:szCs w:val="21"/>
        </w:rPr>
        <w:t>1:00-</w:t>
      </w:r>
      <w:r w:rsidR="00592A3C">
        <w:rPr>
          <w:rFonts w:ascii="宋体" w:eastAsia="宋体" w:hAnsi="宋体" w:hint="eastAsia"/>
          <w:b/>
          <w:bCs w:val="0"/>
          <w:color w:val="auto"/>
          <w:sz w:val="21"/>
          <w:szCs w:val="21"/>
        </w:rPr>
        <w:t>22</w:t>
      </w:r>
      <w:r w:rsidR="00F43421" w:rsidRPr="00F43421">
        <w:rPr>
          <w:rFonts w:ascii="宋体" w:eastAsia="宋体" w:hAnsi="宋体" w:hint="eastAsia"/>
          <w:b/>
          <w:bCs w:val="0"/>
          <w:color w:val="auto"/>
          <w:sz w:val="21"/>
          <w:szCs w:val="21"/>
        </w:rPr>
        <w:t>:3</w:t>
      </w:r>
      <w:r w:rsidR="00592A3C">
        <w:rPr>
          <w:rFonts w:ascii="宋体" w:eastAsia="宋体" w:hAnsi="宋体" w:hint="eastAsia"/>
          <w:b/>
          <w:bCs w:val="0"/>
          <w:color w:val="auto"/>
          <w:sz w:val="21"/>
          <w:szCs w:val="21"/>
        </w:rPr>
        <w:t>3:00</w:t>
      </w:r>
      <w:r w:rsidR="00F43421" w:rsidRPr="00F43421">
        <w:rPr>
          <w:rFonts w:ascii="宋体" w:eastAsia="宋体" w:hAnsi="宋体" w:hint="eastAsia"/>
          <w:b/>
          <w:bCs w:val="0"/>
          <w:color w:val="auto"/>
          <w:sz w:val="21"/>
          <w:szCs w:val="21"/>
        </w:rPr>
        <w:t>）</w:t>
      </w:r>
    </w:p>
    <w:p w14:paraId="3F340EA3" w14:textId="77777777" w:rsidR="008F3CB7" w:rsidRPr="005A1CD7" w:rsidRDefault="00000000" w:rsidP="005A1CD7">
      <w:pPr>
        <w:tabs>
          <w:tab w:val="clear" w:pos="420"/>
        </w:tabs>
        <w:autoSpaceDE w:val="0"/>
        <w:autoSpaceDN w:val="0"/>
        <w:adjustRightInd w:val="0"/>
        <w:spacing w:line="300" w:lineRule="auto"/>
        <w:ind w:firstLineChars="0" w:firstLine="0"/>
        <w:textAlignment w:val="center"/>
        <w:rPr>
          <w:rFonts w:eastAsia="宋体" w:cs="汉仪粗宋简" w:hint="eastAsia"/>
          <w:color w:val="000000"/>
          <w:kern w:val="0"/>
          <w:position w:val="4"/>
          <w:lang w:val="zh-CN"/>
        </w:rPr>
      </w:pPr>
      <w:r w:rsidRPr="005A1CD7">
        <w:rPr>
          <w:rFonts w:eastAsia="宋体" w:cs="汉仪粗宋简" w:hint="eastAsia"/>
          <w:color w:val="000000"/>
          <w:kern w:val="0"/>
          <w:position w:val="4"/>
          <w:lang w:val="zh-CN"/>
        </w:rPr>
        <w:t>一、</w:t>
      </w:r>
      <w:r w:rsidRPr="00C05383">
        <w:rPr>
          <w:rFonts w:eastAsia="宋体" w:cs="汉仪粗宋简" w:hint="eastAsia"/>
          <w:color w:val="EE0000"/>
          <w:kern w:val="0"/>
          <w:position w:val="4"/>
          <w:lang w:val="zh-CN"/>
        </w:rPr>
        <w:t>商业银行的业务</w:t>
      </w:r>
    </w:p>
    <w:tbl>
      <w:tblPr>
        <w:tblStyle w:val="a4"/>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267"/>
        <w:gridCol w:w="7238"/>
      </w:tblGrid>
      <w:tr w:rsidR="008F3CB7" w:rsidRPr="005A1CD7" w14:paraId="2C21482D" w14:textId="77777777" w:rsidTr="00F43421">
        <w:trPr>
          <w:trHeight w:val="20"/>
          <w:jc w:val="center"/>
        </w:trPr>
        <w:tc>
          <w:tcPr>
            <w:tcW w:w="745" w:type="pct"/>
            <w:vMerge w:val="restart"/>
            <w:shd w:val="clear" w:color="auto" w:fill="auto"/>
            <w:vAlign w:val="center"/>
          </w:tcPr>
          <w:p w14:paraId="7E506B2A" w14:textId="77777777" w:rsidR="008F3CB7" w:rsidRPr="005A1CD7" w:rsidRDefault="00000000" w:rsidP="005A1CD7">
            <w:pPr>
              <w:spacing w:beforeLines="10" w:before="31" w:afterLines="10" w:after="31" w:line="300" w:lineRule="auto"/>
              <w:ind w:firstLineChars="0" w:firstLine="0"/>
              <w:rPr>
                <w:rFonts w:eastAsia="宋体" w:hint="eastAsia"/>
                <w:bCs/>
                <w:kern w:val="0"/>
              </w:rPr>
            </w:pPr>
            <w:r w:rsidRPr="005A1CD7">
              <w:rPr>
                <w:rFonts w:eastAsia="宋体" w:hint="eastAsia"/>
                <w:bCs/>
                <w:kern w:val="0"/>
              </w:rPr>
              <w:t>业务范围</w:t>
            </w:r>
          </w:p>
        </w:tc>
        <w:tc>
          <w:tcPr>
            <w:tcW w:w="4255" w:type="pct"/>
            <w:shd w:val="clear" w:color="auto" w:fill="auto"/>
            <w:vAlign w:val="center"/>
          </w:tcPr>
          <w:p w14:paraId="6E2C14A7" w14:textId="77777777" w:rsidR="008F3CB7" w:rsidRPr="005A1CD7" w:rsidRDefault="00000000" w:rsidP="005A1CD7">
            <w:pPr>
              <w:spacing w:beforeLines="10" w:before="31" w:afterLines="10" w:after="31" w:line="300" w:lineRule="auto"/>
              <w:ind w:firstLineChars="0" w:firstLine="0"/>
              <w:rPr>
                <w:rFonts w:eastAsia="宋体" w:hint="eastAsia"/>
                <w:kern w:val="0"/>
              </w:rPr>
            </w:pPr>
            <w:r w:rsidRPr="005A1CD7">
              <w:rPr>
                <w:rFonts w:eastAsia="宋体" w:hint="eastAsia"/>
                <w:kern w:val="0"/>
              </w:rPr>
              <w:t>经营范围由商业银行章程规定，报国务院银行业监督管理机构批准。银行业金融机构业务范围内的业务品种，应当按照规定经国务院银行业监督管理机构审查批准或者备案</w:t>
            </w:r>
          </w:p>
        </w:tc>
      </w:tr>
      <w:tr w:rsidR="008F3CB7" w:rsidRPr="005A1CD7" w14:paraId="56AA0C8C" w14:textId="77777777" w:rsidTr="00F43421">
        <w:trPr>
          <w:trHeight w:val="20"/>
          <w:jc w:val="center"/>
        </w:trPr>
        <w:tc>
          <w:tcPr>
            <w:tcW w:w="745" w:type="pct"/>
            <w:vMerge/>
            <w:shd w:val="clear" w:color="auto" w:fill="auto"/>
            <w:vAlign w:val="center"/>
          </w:tcPr>
          <w:p w14:paraId="13DAA36B" w14:textId="77777777" w:rsidR="008F3CB7" w:rsidRPr="005A1CD7" w:rsidRDefault="008F3CB7" w:rsidP="005A1CD7">
            <w:pPr>
              <w:spacing w:beforeLines="10" w:before="31" w:afterLines="10" w:after="31" w:line="300" w:lineRule="auto"/>
              <w:ind w:firstLineChars="0" w:firstLine="0"/>
              <w:rPr>
                <w:rFonts w:eastAsia="宋体" w:hint="eastAsia"/>
                <w:bCs/>
                <w:kern w:val="0"/>
              </w:rPr>
            </w:pPr>
          </w:p>
        </w:tc>
        <w:tc>
          <w:tcPr>
            <w:tcW w:w="4255" w:type="pct"/>
            <w:shd w:val="clear" w:color="auto" w:fill="auto"/>
            <w:vAlign w:val="center"/>
          </w:tcPr>
          <w:p w14:paraId="45BBF4C5" w14:textId="77777777" w:rsidR="008F3CB7" w:rsidRPr="005A1CD7" w:rsidRDefault="00000000" w:rsidP="005A1CD7">
            <w:pPr>
              <w:spacing w:beforeLines="10" w:before="31" w:afterLines="10" w:after="31" w:line="300" w:lineRule="auto"/>
              <w:ind w:firstLineChars="0" w:firstLine="0"/>
              <w:rPr>
                <w:rFonts w:eastAsia="宋体" w:hint="eastAsia"/>
                <w:kern w:val="0"/>
              </w:rPr>
            </w:pPr>
            <w:r w:rsidRPr="005A1CD7">
              <w:rPr>
                <w:rFonts w:eastAsia="宋体" w:hint="eastAsia"/>
                <w:kern w:val="0"/>
              </w:rPr>
              <w:t>不得从事信托投资和证券经营业务，不得向非自用不动产投资或者向非银行金融机构和企业投资，但国家另有规定的除外。商业银行因行使抵押权、质权而取得的不动产或股权，应当</w:t>
            </w:r>
            <w:r w:rsidRPr="005A1CD7">
              <w:rPr>
                <w:rFonts w:eastAsia="宋体" w:cs="楷体" w:hint="eastAsia"/>
                <w:color w:val="FF0000"/>
                <w:kern w:val="0"/>
              </w:rPr>
              <w:t>自取得之日起2年内</w:t>
            </w:r>
            <w:r w:rsidRPr="005A1CD7">
              <w:rPr>
                <w:rFonts w:eastAsia="宋体" w:hint="eastAsia"/>
                <w:kern w:val="0"/>
              </w:rPr>
              <w:t>予以处分</w:t>
            </w:r>
          </w:p>
        </w:tc>
      </w:tr>
      <w:tr w:rsidR="008F3CB7" w:rsidRPr="005A1CD7" w14:paraId="1B3EC55F" w14:textId="77777777" w:rsidTr="00F43421">
        <w:trPr>
          <w:trHeight w:val="20"/>
          <w:jc w:val="center"/>
        </w:trPr>
        <w:tc>
          <w:tcPr>
            <w:tcW w:w="745" w:type="pct"/>
            <w:vMerge w:val="restart"/>
            <w:shd w:val="clear" w:color="auto" w:fill="auto"/>
            <w:vAlign w:val="center"/>
          </w:tcPr>
          <w:p w14:paraId="54B02EAD" w14:textId="77777777" w:rsidR="008F3CB7" w:rsidRPr="005A1CD7" w:rsidRDefault="00000000" w:rsidP="005A1CD7">
            <w:pPr>
              <w:spacing w:beforeLines="10" w:before="31" w:afterLines="10" w:after="31" w:line="300" w:lineRule="auto"/>
              <w:ind w:firstLineChars="0" w:firstLine="0"/>
              <w:rPr>
                <w:rFonts w:eastAsia="宋体" w:hint="eastAsia"/>
                <w:bCs/>
                <w:kern w:val="0"/>
              </w:rPr>
            </w:pPr>
            <w:r w:rsidRPr="005A1CD7">
              <w:rPr>
                <w:rFonts w:eastAsia="宋体" w:hint="eastAsia"/>
                <w:bCs/>
                <w:kern w:val="0"/>
              </w:rPr>
              <w:t>贷款业务</w:t>
            </w:r>
          </w:p>
        </w:tc>
        <w:tc>
          <w:tcPr>
            <w:tcW w:w="4255" w:type="pct"/>
            <w:shd w:val="clear" w:color="auto" w:fill="auto"/>
            <w:vAlign w:val="center"/>
          </w:tcPr>
          <w:p w14:paraId="05FB7832" w14:textId="77777777" w:rsidR="008F3CB7" w:rsidRPr="005A1CD7" w:rsidRDefault="00000000" w:rsidP="005A1CD7">
            <w:pPr>
              <w:spacing w:beforeLines="10" w:before="31" w:afterLines="10" w:after="31" w:line="300" w:lineRule="auto"/>
              <w:ind w:firstLineChars="0" w:firstLine="0"/>
              <w:rPr>
                <w:rFonts w:eastAsia="宋体" w:hint="eastAsia"/>
                <w:kern w:val="0"/>
              </w:rPr>
            </w:pPr>
            <w:r w:rsidRPr="005A1CD7">
              <w:rPr>
                <w:rFonts w:eastAsia="宋体" w:hint="eastAsia"/>
                <w:kern w:val="0"/>
              </w:rPr>
              <w:t>审批：商业银行贷款，应当与借款人订立书面合同，对借款人的借款用途、偿还能力、还款方式等情况进行严格审查，实行审贷分离、分级审批的制度。任何单位和个人不得强令商业银行发放贷款或者提供担保</w:t>
            </w:r>
          </w:p>
        </w:tc>
      </w:tr>
      <w:tr w:rsidR="008F3CB7" w:rsidRPr="005A1CD7" w14:paraId="121D7040" w14:textId="77777777" w:rsidTr="00F43421">
        <w:trPr>
          <w:trHeight w:val="20"/>
          <w:jc w:val="center"/>
        </w:trPr>
        <w:tc>
          <w:tcPr>
            <w:tcW w:w="745" w:type="pct"/>
            <w:vMerge/>
            <w:shd w:val="clear" w:color="auto" w:fill="auto"/>
            <w:vAlign w:val="center"/>
          </w:tcPr>
          <w:p w14:paraId="5226919F" w14:textId="77777777" w:rsidR="008F3CB7" w:rsidRPr="005A1CD7" w:rsidRDefault="008F3CB7" w:rsidP="005A1CD7">
            <w:pPr>
              <w:spacing w:beforeLines="10" w:before="31" w:afterLines="10" w:after="31" w:line="300" w:lineRule="auto"/>
              <w:ind w:firstLineChars="0" w:firstLine="0"/>
              <w:rPr>
                <w:rFonts w:eastAsia="宋体" w:hint="eastAsia"/>
                <w:kern w:val="0"/>
              </w:rPr>
            </w:pPr>
          </w:p>
        </w:tc>
        <w:tc>
          <w:tcPr>
            <w:tcW w:w="4255" w:type="pct"/>
            <w:shd w:val="clear" w:color="auto" w:fill="auto"/>
            <w:vAlign w:val="center"/>
          </w:tcPr>
          <w:p w14:paraId="2CAD5EE0" w14:textId="77777777" w:rsidR="008F3CB7" w:rsidRPr="005A1CD7" w:rsidRDefault="00000000" w:rsidP="005A1CD7">
            <w:pPr>
              <w:spacing w:beforeLines="10" w:before="31" w:afterLines="10" w:after="31" w:line="300" w:lineRule="auto"/>
              <w:ind w:firstLineChars="0" w:firstLine="0"/>
              <w:rPr>
                <w:rFonts w:eastAsia="宋体" w:hint="eastAsia"/>
                <w:kern w:val="0"/>
              </w:rPr>
            </w:pPr>
            <w:r w:rsidRPr="005A1CD7">
              <w:rPr>
                <w:rFonts w:eastAsia="宋体" w:hint="eastAsia"/>
                <w:kern w:val="0"/>
              </w:rPr>
              <w:t>种类：担保贷款和信用贷款。担保贷款是原则，信用贷款是例外</w:t>
            </w:r>
          </w:p>
        </w:tc>
      </w:tr>
      <w:tr w:rsidR="008F3CB7" w:rsidRPr="005A1CD7" w14:paraId="635F3075" w14:textId="77777777" w:rsidTr="00F43421">
        <w:trPr>
          <w:trHeight w:val="20"/>
          <w:jc w:val="center"/>
        </w:trPr>
        <w:tc>
          <w:tcPr>
            <w:tcW w:w="745" w:type="pct"/>
            <w:vMerge/>
            <w:shd w:val="clear" w:color="auto" w:fill="auto"/>
            <w:vAlign w:val="center"/>
          </w:tcPr>
          <w:p w14:paraId="0E67F58F" w14:textId="77777777" w:rsidR="008F3CB7" w:rsidRPr="005A1CD7" w:rsidRDefault="008F3CB7" w:rsidP="005A1CD7">
            <w:pPr>
              <w:spacing w:beforeLines="10" w:before="31" w:afterLines="10" w:after="31" w:line="300" w:lineRule="auto"/>
              <w:ind w:firstLineChars="0" w:firstLine="0"/>
              <w:rPr>
                <w:rFonts w:eastAsia="宋体" w:hint="eastAsia"/>
                <w:kern w:val="0"/>
              </w:rPr>
            </w:pPr>
          </w:p>
        </w:tc>
        <w:tc>
          <w:tcPr>
            <w:tcW w:w="4255" w:type="pct"/>
            <w:shd w:val="clear" w:color="auto" w:fill="auto"/>
            <w:vAlign w:val="center"/>
          </w:tcPr>
          <w:p w14:paraId="45442C2A" w14:textId="77777777" w:rsidR="008F3CB7" w:rsidRPr="005A1CD7" w:rsidRDefault="00000000" w:rsidP="005A1CD7">
            <w:pPr>
              <w:spacing w:beforeLines="10" w:before="31" w:afterLines="10" w:after="31" w:line="300" w:lineRule="auto"/>
              <w:ind w:firstLineChars="0" w:firstLine="0"/>
              <w:rPr>
                <w:rFonts w:eastAsia="宋体" w:hint="eastAsia"/>
                <w:kern w:val="0"/>
              </w:rPr>
            </w:pPr>
            <w:r w:rsidRPr="005A1CD7">
              <w:rPr>
                <w:rFonts w:eastAsia="宋体" w:hint="eastAsia"/>
                <w:kern w:val="0"/>
              </w:rPr>
              <w:t>比例：（1）资本充足率不得低于8%；（2）流动性资产余额与流动性负债余额的比例不得低于25%；（3）对同一借款人的贷款余额与商业银行资本余额的比例不得超过10%</w:t>
            </w:r>
          </w:p>
        </w:tc>
      </w:tr>
      <w:tr w:rsidR="008F3CB7" w:rsidRPr="005A1CD7" w14:paraId="309BA2A8" w14:textId="77777777" w:rsidTr="00F43421">
        <w:trPr>
          <w:trHeight w:val="20"/>
          <w:jc w:val="center"/>
        </w:trPr>
        <w:tc>
          <w:tcPr>
            <w:tcW w:w="745" w:type="pct"/>
            <w:vMerge/>
            <w:shd w:val="clear" w:color="auto" w:fill="auto"/>
            <w:vAlign w:val="center"/>
          </w:tcPr>
          <w:p w14:paraId="55D2D33E" w14:textId="77777777" w:rsidR="008F3CB7" w:rsidRPr="005A1CD7" w:rsidRDefault="008F3CB7" w:rsidP="005A1CD7">
            <w:pPr>
              <w:spacing w:beforeLines="10" w:before="31" w:afterLines="10" w:after="31" w:line="300" w:lineRule="auto"/>
              <w:ind w:firstLineChars="0" w:firstLine="0"/>
              <w:rPr>
                <w:rFonts w:eastAsia="宋体" w:hint="eastAsia"/>
                <w:kern w:val="0"/>
              </w:rPr>
            </w:pPr>
          </w:p>
        </w:tc>
        <w:tc>
          <w:tcPr>
            <w:tcW w:w="4255" w:type="pct"/>
            <w:shd w:val="clear" w:color="auto" w:fill="auto"/>
            <w:vAlign w:val="center"/>
          </w:tcPr>
          <w:p w14:paraId="13FECA17" w14:textId="77777777" w:rsidR="008F3CB7" w:rsidRPr="005A1CD7" w:rsidRDefault="00000000" w:rsidP="005A1CD7">
            <w:pPr>
              <w:spacing w:beforeLines="10" w:before="31" w:afterLines="10" w:after="31" w:line="300" w:lineRule="auto"/>
              <w:ind w:firstLineChars="0" w:firstLine="0"/>
              <w:rPr>
                <w:rFonts w:eastAsia="宋体" w:hint="eastAsia"/>
                <w:kern w:val="0"/>
              </w:rPr>
            </w:pPr>
            <w:r w:rsidRPr="00C05383">
              <w:rPr>
                <w:rFonts w:eastAsia="宋体" w:hint="eastAsia"/>
                <w:color w:val="EE0000"/>
                <w:kern w:val="0"/>
              </w:rPr>
              <w:t>关系人贷款</w:t>
            </w:r>
            <w:r w:rsidRPr="005A1CD7">
              <w:rPr>
                <w:rFonts w:eastAsia="宋体" w:hint="eastAsia"/>
                <w:kern w:val="0"/>
              </w:rPr>
              <w:t>：关系人是指商业银行的董事、监事、管理人员、信贷业务人员及其近亲属；上述人员投资或者担任高级管理职务的公司、企业和其他经济组织。商业银行不得向关系人发放</w:t>
            </w:r>
            <w:r w:rsidRPr="005A1CD7">
              <w:rPr>
                <w:rFonts w:eastAsia="宋体" w:cs="楷体" w:hint="eastAsia"/>
                <w:color w:val="FF0000"/>
                <w:kern w:val="0"/>
              </w:rPr>
              <w:t>信用贷款</w:t>
            </w:r>
            <w:r w:rsidRPr="005A1CD7">
              <w:rPr>
                <w:rFonts w:eastAsia="宋体" w:hint="eastAsia"/>
                <w:kern w:val="0"/>
              </w:rPr>
              <w:t>；向关系人发放担保贷款的条件不得优于其他借款人同类贷款的条件</w:t>
            </w:r>
          </w:p>
        </w:tc>
      </w:tr>
      <w:tr w:rsidR="008F3CB7" w:rsidRPr="005A1CD7" w14:paraId="360E1358" w14:textId="77777777" w:rsidTr="00F43421">
        <w:trPr>
          <w:trHeight w:val="20"/>
          <w:jc w:val="center"/>
        </w:trPr>
        <w:tc>
          <w:tcPr>
            <w:tcW w:w="745" w:type="pct"/>
            <w:vMerge/>
            <w:shd w:val="clear" w:color="auto" w:fill="auto"/>
            <w:vAlign w:val="center"/>
          </w:tcPr>
          <w:p w14:paraId="050214B2" w14:textId="77777777" w:rsidR="008F3CB7" w:rsidRPr="005A1CD7" w:rsidRDefault="008F3CB7" w:rsidP="005A1CD7">
            <w:pPr>
              <w:spacing w:beforeLines="10" w:before="31" w:afterLines="10" w:after="31" w:line="300" w:lineRule="auto"/>
              <w:ind w:firstLineChars="0" w:firstLine="0"/>
              <w:rPr>
                <w:rFonts w:eastAsia="宋体" w:hint="eastAsia"/>
                <w:bCs/>
                <w:kern w:val="0"/>
              </w:rPr>
            </w:pPr>
          </w:p>
        </w:tc>
        <w:tc>
          <w:tcPr>
            <w:tcW w:w="4255" w:type="pct"/>
            <w:shd w:val="clear" w:color="auto" w:fill="auto"/>
            <w:vAlign w:val="center"/>
          </w:tcPr>
          <w:p w14:paraId="3BE0B1B4" w14:textId="77777777" w:rsidR="008F3CB7" w:rsidRPr="005A1CD7" w:rsidRDefault="00000000" w:rsidP="005A1CD7">
            <w:pPr>
              <w:spacing w:beforeLines="10" w:before="31" w:afterLines="10" w:after="31" w:line="300" w:lineRule="auto"/>
              <w:ind w:firstLineChars="0" w:firstLine="0"/>
              <w:rPr>
                <w:rFonts w:eastAsia="宋体" w:hint="eastAsia"/>
                <w:kern w:val="0"/>
              </w:rPr>
            </w:pPr>
            <w:r w:rsidRPr="005A1CD7">
              <w:rPr>
                <w:rFonts w:eastAsia="宋体" w:hint="eastAsia"/>
                <w:kern w:val="0"/>
              </w:rPr>
              <w:t>账户：企业事业单位可以自主选择一家商业银行的营业场所开立一个办理日常转账结算和现金收付的基本账户，不得开立两个以上基本账户。任何单位和个人不得将单位的资金以个人名义开立账户存储</w:t>
            </w:r>
          </w:p>
        </w:tc>
      </w:tr>
      <w:tr w:rsidR="008F3CB7" w:rsidRPr="005A1CD7" w14:paraId="0AFD11E1" w14:textId="77777777" w:rsidTr="00F43421">
        <w:trPr>
          <w:trHeight w:val="20"/>
          <w:jc w:val="center"/>
        </w:trPr>
        <w:tc>
          <w:tcPr>
            <w:tcW w:w="745" w:type="pct"/>
            <w:shd w:val="clear" w:color="auto" w:fill="auto"/>
            <w:vAlign w:val="center"/>
          </w:tcPr>
          <w:p w14:paraId="5508DF59" w14:textId="77777777" w:rsidR="008F3CB7" w:rsidRPr="005A1CD7" w:rsidRDefault="00000000" w:rsidP="005A1CD7">
            <w:pPr>
              <w:spacing w:beforeLines="10" w:before="31" w:afterLines="10" w:after="31" w:line="300" w:lineRule="auto"/>
              <w:ind w:firstLineChars="0" w:firstLine="0"/>
              <w:rPr>
                <w:rFonts w:eastAsia="宋体" w:hint="eastAsia"/>
                <w:bCs/>
                <w:kern w:val="0"/>
              </w:rPr>
            </w:pPr>
            <w:r w:rsidRPr="005A1CD7">
              <w:rPr>
                <w:rFonts w:eastAsia="宋体" w:hint="eastAsia"/>
                <w:bCs/>
                <w:kern w:val="0"/>
              </w:rPr>
              <w:t>同业拆借</w:t>
            </w:r>
          </w:p>
        </w:tc>
        <w:tc>
          <w:tcPr>
            <w:tcW w:w="4255" w:type="pct"/>
            <w:shd w:val="clear" w:color="auto" w:fill="auto"/>
            <w:vAlign w:val="center"/>
          </w:tcPr>
          <w:p w14:paraId="506D4501" w14:textId="77777777" w:rsidR="008F3CB7" w:rsidRPr="005A1CD7" w:rsidRDefault="00000000" w:rsidP="005A1CD7">
            <w:pPr>
              <w:spacing w:beforeLines="10" w:before="31" w:afterLines="10" w:after="31" w:line="300" w:lineRule="auto"/>
              <w:ind w:firstLineChars="0" w:firstLine="0"/>
              <w:rPr>
                <w:rFonts w:eastAsia="宋体" w:hint="eastAsia"/>
                <w:kern w:val="0"/>
              </w:rPr>
            </w:pPr>
            <w:r w:rsidRPr="005A1CD7">
              <w:rPr>
                <w:rFonts w:eastAsia="宋体" w:hint="eastAsia"/>
                <w:kern w:val="0"/>
              </w:rPr>
              <w:t>禁止利用拆入资金发放</w:t>
            </w:r>
            <w:r w:rsidRPr="005A1CD7">
              <w:rPr>
                <w:rFonts w:eastAsia="宋体" w:cs="楷体" w:hint="eastAsia"/>
                <w:color w:val="FF0000"/>
                <w:kern w:val="0"/>
              </w:rPr>
              <w:t>固定资产贷款或者用于投资</w:t>
            </w:r>
            <w:r w:rsidRPr="005A1CD7">
              <w:rPr>
                <w:rFonts w:eastAsia="宋体" w:hint="eastAsia"/>
                <w:kern w:val="0"/>
              </w:rPr>
              <w:t>。拆出资金限于交足存款准备金、留足备付金和归还中国人民银行到期贷款之后的闲置资金。拆入资金用于弥补票据结算、联行汇差头寸的不足和解决临时性周转资金的需要</w:t>
            </w:r>
          </w:p>
        </w:tc>
      </w:tr>
      <w:tr w:rsidR="008F3CB7" w:rsidRPr="005A1CD7" w14:paraId="7E1A0370" w14:textId="77777777" w:rsidTr="00F43421">
        <w:trPr>
          <w:trHeight w:val="20"/>
          <w:jc w:val="center"/>
        </w:trPr>
        <w:tc>
          <w:tcPr>
            <w:tcW w:w="745" w:type="pct"/>
            <w:shd w:val="clear" w:color="auto" w:fill="auto"/>
            <w:vAlign w:val="center"/>
          </w:tcPr>
          <w:p w14:paraId="29A3A866" w14:textId="77777777" w:rsidR="008F3CB7" w:rsidRPr="005A1CD7" w:rsidRDefault="00000000" w:rsidP="005A1CD7">
            <w:pPr>
              <w:spacing w:beforeLines="10" w:before="31" w:afterLines="10" w:after="31" w:line="300" w:lineRule="auto"/>
              <w:ind w:firstLineChars="0" w:firstLine="0"/>
              <w:rPr>
                <w:rFonts w:eastAsia="宋体" w:hint="eastAsia"/>
                <w:bCs/>
                <w:kern w:val="0"/>
              </w:rPr>
            </w:pPr>
            <w:r w:rsidRPr="005A1CD7">
              <w:rPr>
                <w:rFonts w:eastAsia="宋体" w:hint="eastAsia"/>
                <w:bCs/>
                <w:kern w:val="0"/>
              </w:rPr>
              <w:t>经营原则</w:t>
            </w:r>
          </w:p>
        </w:tc>
        <w:tc>
          <w:tcPr>
            <w:tcW w:w="4255" w:type="pct"/>
            <w:shd w:val="clear" w:color="auto" w:fill="auto"/>
            <w:vAlign w:val="center"/>
          </w:tcPr>
          <w:p w14:paraId="06802BB9" w14:textId="77777777" w:rsidR="008F3CB7" w:rsidRPr="005A1CD7" w:rsidRDefault="00000000" w:rsidP="005A1CD7">
            <w:pPr>
              <w:spacing w:beforeLines="10" w:before="31" w:afterLines="10" w:after="31" w:line="300" w:lineRule="auto"/>
              <w:ind w:firstLineChars="0" w:firstLine="0"/>
              <w:rPr>
                <w:rFonts w:eastAsia="宋体" w:hint="eastAsia"/>
                <w:kern w:val="0"/>
              </w:rPr>
            </w:pPr>
            <w:r w:rsidRPr="005A1CD7">
              <w:rPr>
                <w:rFonts w:eastAsia="宋体" w:hint="eastAsia"/>
                <w:kern w:val="0"/>
              </w:rPr>
              <w:t>商业银行以</w:t>
            </w:r>
            <w:r w:rsidRPr="00262507">
              <w:rPr>
                <w:rFonts w:eastAsia="宋体" w:hint="eastAsia"/>
                <w:color w:val="EE0000"/>
                <w:kern w:val="0"/>
              </w:rPr>
              <w:t>安全性、流动性、效益性</w:t>
            </w:r>
            <w:r w:rsidRPr="005A1CD7">
              <w:rPr>
                <w:rFonts w:eastAsia="宋体" w:hint="eastAsia"/>
                <w:kern w:val="0"/>
              </w:rPr>
              <w:t>为经营原则。但是，这三个原则之间是有一定冲突的。通常，安全性与效益性是冲突（成反比）的，比如，购买国债非常安全，但是收益较低；投资股市风险很大，但是可能有高收益。安全性与流</w:t>
            </w:r>
            <w:r w:rsidRPr="005A1CD7">
              <w:rPr>
                <w:rFonts w:eastAsia="宋体" w:hint="eastAsia"/>
                <w:kern w:val="0"/>
              </w:rPr>
              <w:lastRenderedPageBreak/>
              <w:t>动性是统一（成正比）的，资产流动性越强，其安全性越高，比如活期存款的流动性很强，也非常安全</w:t>
            </w:r>
          </w:p>
        </w:tc>
      </w:tr>
    </w:tbl>
    <w:p w14:paraId="1F336D45" w14:textId="4CADBBD9" w:rsidR="008F3CB7" w:rsidRPr="005A1CD7" w:rsidRDefault="008F3CB7" w:rsidP="00592A3C">
      <w:pPr>
        <w:pStyle w:val="3"/>
        <w:spacing w:line="300" w:lineRule="auto"/>
        <w:jc w:val="both"/>
        <w:rPr>
          <w:rFonts w:eastAsia="宋体" w:hint="eastAsia"/>
        </w:rPr>
      </w:pPr>
    </w:p>
    <w:sectPr w:rsidR="008F3CB7" w:rsidRPr="005A1CD7">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6A418D" w14:textId="77777777" w:rsidR="00B32B49" w:rsidRDefault="00B32B49">
      <w:pPr>
        <w:spacing w:line="240" w:lineRule="auto"/>
        <w:ind w:firstLine="420"/>
        <w:rPr>
          <w:rFonts w:hint="eastAsia"/>
        </w:rPr>
      </w:pPr>
      <w:r>
        <w:separator/>
      </w:r>
    </w:p>
  </w:endnote>
  <w:endnote w:type="continuationSeparator" w:id="0">
    <w:p w14:paraId="0691E9CC" w14:textId="77777777" w:rsidR="00B32B49" w:rsidRDefault="00B32B49">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embedRegular r:id="rId1" w:fontKey="{6FF6C2D0-9708-44A5-B620-707E006F24E9}"/>
  </w:font>
  <w:font w:name="宋体">
    <w:altName w:val="SimSun"/>
    <w:panose1 w:val="02010600030101010101"/>
    <w:charset w:val="86"/>
    <w:family w:val="auto"/>
    <w:pitch w:val="variable"/>
    <w:sig w:usb0="00000203" w:usb1="288F0000" w:usb2="00000016" w:usb3="00000000" w:csb0="00040001" w:csb1="00000000"/>
    <w:embedRegular r:id="rId2" w:subsetted="1" w:fontKey="{80072661-B642-40F6-8437-04B935A694A5}"/>
    <w:embedBold r:id="rId3" w:subsetted="1" w:fontKey="{B5FDC323-8625-433D-8F50-FC91D9B8C6BD}"/>
  </w:font>
  <w:font w:name="Times New Roman">
    <w:panose1 w:val="02020603050405020304"/>
    <w:charset w:val="00"/>
    <w:family w:val="roman"/>
    <w:pitch w:val="variable"/>
    <w:sig w:usb0="E0002EFF" w:usb1="C000785B" w:usb2="00000009" w:usb3="00000000" w:csb0="000001FF" w:csb1="00000000"/>
    <w:embedRegular r:id="rId4" w:fontKey="{995586FA-45E9-4439-830E-24270CE846CB}"/>
    <w:embedBold r:id="rId5" w:fontKey="{D675ADAD-F861-4D02-A0D4-E9024FBF502C}"/>
  </w:font>
  <w:font w:name="汉仪书宋二简">
    <w:altName w:val="微软雅黑"/>
    <w:charset w:val="86"/>
    <w:family w:val="modern"/>
    <w:pitch w:val="default"/>
    <w:sig w:usb0="00000000" w:usb1="00000000" w:usb2="00000012" w:usb3="00000000" w:csb0="00040000" w:csb1="00000000"/>
  </w:font>
  <w:font w:name="汉仪大宋简">
    <w:altName w:val="微软雅黑"/>
    <w:charset w:val="86"/>
    <w:family w:val="modern"/>
    <w:pitch w:val="default"/>
    <w:sig w:usb0="00000000" w:usb1="00000000" w:usb2="00000012" w:usb3="00000000" w:csb0="00040000" w:csb1="00000000"/>
  </w:font>
  <w:font w:name="Calibri Light">
    <w:panose1 w:val="020F0302020204030204"/>
    <w:charset w:val="00"/>
    <w:family w:val="swiss"/>
    <w:pitch w:val="variable"/>
    <w:sig w:usb0="E4002EFF" w:usb1="C200247B" w:usb2="00000009" w:usb3="00000000" w:csb0="000001FF" w:csb1="00000000"/>
    <w:embedRegular r:id="rId6" w:fontKey="{AE1924C2-EC58-46AA-BD2F-A100E6E19BE0}"/>
  </w:font>
  <w:font w:name="汉仪粗宋简">
    <w:altName w:val="微软雅黑"/>
    <w:charset w:val="86"/>
    <w:family w:val="modern"/>
    <w:pitch w:val="default"/>
    <w:sig w:usb0="00000000" w:usb1="00000000" w:usb2="00000012" w:usb3="00000000" w:csb0="00040000"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76E45" w14:textId="77777777" w:rsidR="00FD59A9" w:rsidRDefault="00FD59A9">
    <w:pPr>
      <w:pStyle w:val="a7"/>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882CF2" w14:textId="77777777" w:rsidR="00FD59A9" w:rsidRDefault="00FD59A9">
    <w:pPr>
      <w:pStyle w:val="a7"/>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378099" w14:textId="77777777" w:rsidR="00FD59A9" w:rsidRDefault="00FD59A9">
    <w:pPr>
      <w:pStyle w:val="a7"/>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8C718A" w14:textId="77777777" w:rsidR="00B32B49" w:rsidRDefault="00B32B49">
      <w:pPr>
        <w:spacing w:line="240" w:lineRule="auto"/>
        <w:ind w:firstLine="420"/>
        <w:rPr>
          <w:rFonts w:hint="eastAsia"/>
        </w:rPr>
      </w:pPr>
      <w:r>
        <w:separator/>
      </w:r>
    </w:p>
  </w:footnote>
  <w:footnote w:type="continuationSeparator" w:id="0">
    <w:p w14:paraId="2D46D8AE" w14:textId="77777777" w:rsidR="00B32B49" w:rsidRDefault="00B32B49">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96204" w14:textId="77777777" w:rsidR="00FD59A9" w:rsidRDefault="00FD59A9">
    <w:pPr>
      <w:pStyle w:val="a5"/>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681FEB" w14:textId="77777777" w:rsidR="00FD59A9" w:rsidRDefault="00FD59A9">
    <w:pPr>
      <w:pStyle w:val="a5"/>
      <w:ind w:firstLine="360"/>
      <w:rPr>
        <w:rFonts w:hint="eastAs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B1EDDA" w14:textId="77777777" w:rsidR="00FD59A9" w:rsidRDefault="00FD59A9">
    <w:pPr>
      <w:pStyle w:val="a5"/>
      <w:ind w:firstLine="360"/>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TrueTypeFonts/>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3CB7"/>
    <w:rsid w:val="0007786C"/>
    <w:rsid w:val="000B305A"/>
    <w:rsid w:val="000E5ECF"/>
    <w:rsid w:val="001F7F39"/>
    <w:rsid w:val="0020512E"/>
    <w:rsid w:val="002465AF"/>
    <w:rsid w:val="00260D07"/>
    <w:rsid w:val="00262507"/>
    <w:rsid w:val="00394DDA"/>
    <w:rsid w:val="003F4B43"/>
    <w:rsid w:val="005512AC"/>
    <w:rsid w:val="00592A3C"/>
    <w:rsid w:val="005A1CD7"/>
    <w:rsid w:val="00631470"/>
    <w:rsid w:val="006B4802"/>
    <w:rsid w:val="007F5D09"/>
    <w:rsid w:val="008F3CB7"/>
    <w:rsid w:val="008F7FBC"/>
    <w:rsid w:val="009C3693"/>
    <w:rsid w:val="00A01EFE"/>
    <w:rsid w:val="00AF078F"/>
    <w:rsid w:val="00B219AB"/>
    <w:rsid w:val="00B32B49"/>
    <w:rsid w:val="00B520DF"/>
    <w:rsid w:val="00B963F1"/>
    <w:rsid w:val="00BA31AA"/>
    <w:rsid w:val="00BE60E7"/>
    <w:rsid w:val="00C05383"/>
    <w:rsid w:val="00C23290"/>
    <w:rsid w:val="00D77B0C"/>
    <w:rsid w:val="00E23DD2"/>
    <w:rsid w:val="00E32397"/>
    <w:rsid w:val="00E8439A"/>
    <w:rsid w:val="00EB7F81"/>
    <w:rsid w:val="00F4244E"/>
    <w:rsid w:val="00F43421"/>
    <w:rsid w:val="00F65C49"/>
    <w:rsid w:val="00FD59A9"/>
    <w:rsid w:val="776B7C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ACD437"/>
  <w15:docId w15:val="{92706A1E-3750-41AA-AA0E-F396A38F3B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uiPriority="9" w:unhideWhenUsed="1" w:qFormat="1"/>
    <w:lsdException w:name="heading 4"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tabs>
        <w:tab w:val="left" w:pos="420"/>
      </w:tabs>
      <w:spacing w:line="384" w:lineRule="exact"/>
      <w:ind w:firstLineChars="200" w:firstLine="721"/>
      <w:jc w:val="both"/>
    </w:pPr>
    <w:rPr>
      <w:rFonts w:ascii="宋体" w:eastAsia="汉仪书宋二简" w:hAnsi="宋体" w:cs="宋体"/>
      <w:color w:val="000000" w:themeColor="text1"/>
      <w:kern w:val="2"/>
      <w:sz w:val="21"/>
      <w:szCs w:val="21"/>
    </w:rPr>
  </w:style>
  <w:style w:type="paragraph" w:styleId="1">
    <w:name w:val="heading 1"/>
    <w:basedOn w:val="a"/>
    <w:next w:val="a"/>
    <w:link w:val="10"/>
    <w:uiPriority w:val="9"/>
    <w:qFormat/>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3">
    <w:name w:val="heading 3"/>
    <w:basedOn w:val="a"/>
    <w:next w:val="a"/>
    <w:uiPriority w:val="9"/>
    <w:unhideWhenUsed/>
    <w:qFormat/>
    <w:pPr>
      <w:keepNext/>
      <w:keepLines/>
      <w:ind w:firstLineChars="0" w:firstLine="0"/>
      <w:jc w:val="left"/>
      <w:outlineLvl w:val="2"/>
    </w:pPr>
    <w:rPr>
      <w:rFonts w:eastAsia="汉仪大宋简"/>
      <w:sz w:val="26"/>
    </w:rPr>
  </w:style>
  <w:style w:type="paragraph" w:styleId="4">
    <w:name w:val="heading 4"/>
    <w:basedOn w:val="a"/>
    <w:next w:val="a"/>
    <w:uiPriority w:val="9"/>
    <w:unhideWhenUsed/>
    <w:qFormat/>
    <w:pPr>
      <w:keepNext/>
      <w:keepLines/>
      <w:ind w:firstLineChars="0" w:firstLine="0"/>
      <w:jc w:val="left"/>
      <w:outlineLvl w:val="3"/>
    </w:pPr>
    <w:rPr>
      <w:rFonts w:asciiTheme="majorHAnsi" w:eastAsia="汉仪大宋简" w:hAnsiTheme="majorHAnsi" w:cstheme="majorBidi"/>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unhideWhenUsed/>
    <w:qFormat/>
    <w:pPr>
      <w:snapToGrid w:val="0"/>
      <w:jc w:val="left"/>
    </w:pPr>
    <w:rPr>
      <w:sz w:val="18"/>
      <w:szCs w:val="18"/>
    </w:rPr>
  </w:style>
  <w:style w:type="table" w:styleId="a4">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rsid w:val="00FD59A9"/>
    <w:pPr>
      <w:tabs>
        <w:tab w:val="clear" w:pos="420"/>
        <w:tab w:val="center" w:pos="4153"/>
        <w:tab w:val="right" w:pos="8306"/>
      </w:tabs>
      <w:snapToGrid w:val="0"/>
      <w:spacing w:line="240" w:lineRule="atLeast"/>
      <w:jc w:val="center"/>
    </w:pPr>
    <w:rPr>
      <w:sz w:val="18"/>
      <w:szCs w:val="18"/>
    </w:rPr>
  </w:style>
  <w:style w:type="character" w:customStyle="1" w:styleId="a6">
    <w:name w:val="页眉 字符"/>
    <w:basedOn w:val="a0"/>
    <w:link w:val="a5"/>
    <w:rsid w:val="00FD59A9"/>
    <w:rPr>
      <w:rFonts w:ascii="宋体" w:eastAsia="汉仪书宋二简" w:hAnsi="宋体" w:cs="宋体"/>
      <w:color w:val="000000" w:themeColor="text1"/>
      <w:kern w:val="2"/>
      <w:sz w:val="18"/>
      <w:szCs w:val="18"/>
    </w:rPr>
  </w:style>
  <w:style w:type="paragraph" w:styleId="a7">
    <w:name w:val="footer"/>
    <w:basedOn w:val="a"/>
    <w:link w:val="a8"/>
    <w:rsid w:val="00FD59A9"/>
    <w:pPr>
      <w:tabs>
        <w:tab w:val="clear" w:pos="420"/>
        <w:tab w:val="center" w:pos="4153"/>
        <w:tab w:val="right" w:pos="8306"/>
      </w:tabs>
      <w:snapToGrid w:val="0"/>
      <w:spacing w:line="240" w:lineRule="atLeast"/>
      <w:jc w:val="left"/>
    </w:pPr>
    <w:rPr>
      <w:sz w:val="18"/>
      <w:szCs w:val="18"/>
    </w:rPr>
  </w:style>
  <w:style w:type="character" w:customStyle="1" w:styleId="a8">
    <w:name w:val="页脚 字符"/>
    <w:basedOn w:val="a0"/>
    <w:link w:val="a7"/>
    <w:rsid w:val="00FD59A9"/>
    <w:rPr>
      <w:rFonts w:ascii="宋体" w:eastAsia="汉仪书宋二简" w:hAnsi="宋体" w:cs="宋体"/>
      <w:color w:val="000000" w:themeColor="text1"/>
      <w:kern w:val="2"/>
      <w:sz w:val="18"/>
      <w:szCs w:val="18"/>
    </w:rPr>
  </w:style>
  <w:style w:type="character" w:customStyle="1" w:styleId="10">
    <w:name w:val="标题 1 字符"/>
    <w:basedOn w:val="a0"/>
    <w:link w:val="1"/>
    <w:uiPriority w:val="9"/>
    <w:rsid w:val="00F43421"/>
    <w:rPr>
      <w:rFonts w:ascii="汉仪大宋简" w:eastAsia="汉仪大宋简" w:hAnsi="汉仪大宋简" w:cs="宋体"/>
      <w:bCs/>
      <w:color w:val="000000" w:themeColor="text1"/>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8</Pages>
  <Words>3468</Words>
  <Characters>3469</Characters>
  <Application>Microsoft Office Word</Application>
  <DocSecurity>0</DocSecurity>
  <Lines>165</Lines>
  <Paragraphs>144</Paragraphs>
  <ScaleCrop>false</ScaleCrop>
  <Company/>
  <LinksUpToDate>false</LinksUpToDate>
  <CharactersWithSpaces>6793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31220</dc:creator>
  <cp:lastModifiedBy>文琦 刘</cp:lastModifiedBy>
  <cp:revision>27</cp:revision>
  <dcterms:created xsi:type="dcterms:W3CDTF">2025-05-26T11:37:00Z</dcterms:created>
  <dcterms:modified xsi:type="dcterms:W3CDTF">2025-05-26T14:34:00Z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eyJoZGlkIjoiNzczMDlkZWIzYTk4ZWIzMTQwZjBhMGM2OGRjNDgwYTkiLCJ1c2VySWQiOiI5MzYzODA4MzMifQ==</vt:lpwstr>
  </property>
  <property fmtid="{D5CDD505-2E9C-101B-9397-08002B2CF9AE}" pid="4" name="ICV">
    <vt:lpwstr>00E78AB0328F46E690304E0B34A97227_12</vt:lpwstr>
  </property>
</Properties>
</file>