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media/image2.svg" ContentType="image/sv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9C23445">
      <w:pPr>
        <w:pStyle w:val="2"/>
        <w:spacing w:before="0" w:line="480" w:lineRule="exact"/>
        <w:rPr>
          <w:rFonts w:hint="eastAsia" w:ascii="汉仪粗宋简" w:hAnsi="Times New Roman" w:eastAsia="汉仪大宋简" w:cs="汉仪粗宋简"/>
          <w:bCs w:val="0"/>
          <w:color w:val="000000"/>
          <w:kern w:val="0"/>
          <w:position w:val="4"/>
          <w:sz w:val="26"/>
          <w:szCs w:val="26"/>
          <w:lang w:val="zh-CN" w:eastAsia="zh-CN" w:bidi="ar-SA"/>
        </w:rPr>
      </w:pPr>
      <w:bookmarkStart w:id="0" w:name="_GoBack"/>
      <w:r>
        <w:rPr>
          <w:rFonts w:hint="eastAsia" w:ascii="汉仪粗宋简" w:hAnsi="Times New Roman" w:eastAsia="汉仪大宋简" w:cs="汉仪粗宋简"/>
          <w:bCs w:val="0"/>
          <w:color w:val="000000"/>
          <w:kern w:val="0"/>
          <w:position w:val="4"/>
          <w:sz w:val="26"/>
          <w:szCs w:val="26"/>
          <w:lang w:val="zh-CN" w:eastAsia="zh-CN" w:bidi="ar-SA"/>
        </w:rPr>
        <w:t xml:space="preserve">考点1  </w:t>
      </w:r>
      <w:r>
        <w:rPr>
          <w:rFonts w:hint="eastAsia" w:ascii="汉仪粗宋简" w:hAnsi="Times New Roman" w:eastAsia="汉仪大宋简" w:cs="汉仪粗宋简"/>
          <w:bCs w:val="0"/>
          <w:color w:val="000000"/>
          <w:kern w:val="0"/>
          <w:position w:val="4"/>
          <w:sz w:val="26"/>
          <w:szCs w:val="26"/>
          <w:lang w:val="zh-CN" w:eastAsia="zh-CN" w:bidi="ar-SA"/>
        </w:rPr>
        <w:t>竞争法</w:t>
      </w:r>
    </w:p>
    <w:bookmarkEnd w:id="0"/>
    <w:p w14:paraId="28177C94">
      <w:pPr>
        <w:tabs>
          <w:tab w:val="clear" w:pos="420"/>
        </w:tabs>
        <w:autoSpaceDE w:val="0"/>
        <w:autoSpaceDN w:val="0"/>
        <w:adjustRightInd w:val="0"/>
        <w:spacing w:line="300" w:lineRule="exact"/>
        <w:ind w:firstLine="425" w:firstLineChars="0"/>
        <w:textAlignment w:val="center"/>
        <w:rPr>
          <w:rFonts w:hint="eastAsia" w:ascii="汉仪书宋二简"/>
        </w:rPr>
      </w:pPr>
    </w:p>
    <w:p w14:paraId="3064EAA4">
      <w:pPr>
        <w:tabs>
          <w:tab w:val="clear" w:pos="420"/>
        </w:tabs>
        <w:autoSpaceDE w:val="0"/>
        <w:autoSpaceDN w:val="0"/>
        <w:adjustRightInd w:val="0"/>
        <w:ind w:firstLine="0" w:firstLineChars="0"/>
        <w:jc w:val="left"/>
        <w:textAlignment w:val="center"/>
        <w:rPr>
          <w:rFonts w:hint="eastAsia" w:ascii="汉仪粗宋简" w:hAnsi="Times New Roman" w:eastAsia="汉仪大宋简" w:cs="汉仪粗宋简"/>
          <w:color w:val="000000"/>
          <w:kern w:val="0"/>
          <w:position w:val="4"/>
          <w:sz w:val="26"/>
          <w:szCs w:val="26"/>
          <w:lang w:val="zh-CN"/>
        </w:rPr>
      </w:pPr>
      <w:r>
        <w:rPr>
          <w:rFonts w:hint="eastAsia" w:ascii="汉仪粗宋简" w:hAnsi="Times New Roman" w:eastAsia="汉仪大宋简" w:cs="汉仪粗宋简"/>
          <w:color w:val="000000"/>
          <w:kern w:val="0"/>
          <w:position w:val="4"/>
          <w:sz w:val="26"/>
          <w:szCs w:val="26"/>
          <w:lang w:val="zh-CN"/>
        </w:rPr>
        <w:t>一、垄断协议</w:t>
      </w:r>
    </w:p>
    <w:p w14:paraId="5C5E6E6D">
      <w:pPr>
        <w:tabs>
          <w:tab w:val="clear" w:pos="420"/>
        </w:tabs>
        <w:autoSpaceDE w:val="0"/>
        <w:autoSpaceDN w:val="0"/>
        <w:adjustRightInd w:val="0"/>
        <w:ind w:firstLine="0" w:firstLineChars="0"/>
        <w:jc w:val="left"/>
        <w:textAlignment w:val="center"/>
        <w:rPr>
          <w:rFonts w:hint="default" w:ascii="汉仪粗宋简" w:hAnsi="Times New Roman" w:eastAsia="汉仪大宋简" w:cs="汉仪粗宋简"/>
          <w:color w:val="FF0000"/>
          <w:kern w:val="0"/>
          <w:position w:val="4"/>
          <w:sz w:val="26"/>
          <w:szCs w:val="26"/>
          <w:lang w:val="en-US" w:eastAsia="zh-CN"/>
        </w:rPr>
      </w:pPr>
      <w:r>
        <w:rPr>
          <w:rFonts w:hint="eastAsia" w:ascii="汉仪粗宋简" w:hAnsi="Times New Roman" w:eastAsia="汉仪大宋简" w:cs="汉仪粗宋简"/>
          <w:color w:val="FF0000"/>
          <w:kern w:val="0"/>
          <w:position w:val="4"/>
          <w:sz w:val="26"/>
          <w:szCs w:val="26"/>
          <w:lang w:val="en-US" w:eastAsia="zh-CN"/>
        </w:rPr>
        <w:t>垄断指的是</w:t>
      </w:r>
      <w:r>
        <w:rPr>
          <w:rFonts w:hint="eastAsia" w:ascii="汉仪粗宋简" w:hAnsi="Times New Roman" w:eastAsia="汉仪大宋简" w:cs="汉仪粗宋简"/>
          <w:color w:val="FF0000"/>
          <w:kern w:val="0"/>
          <w:position w:val="4"/>
          <w:sz w:val="26"/>
          <w:szCs w:val="26"/>
          <w:lang w:val="zh-CN"/>
        </w:rPr>
        <w:t>排除或限制竞争，</w:t>
      </w:r>
      <w:r>
        <w:rPr>
          <w:rFonts w:hint="eastAsia" w:ascii="汉仪粗宋简" w:hAnsi="Times New Roman" w:eastAsia="汉仪大宋简" w:cs="汉仪粗宋简"/>
          <w:color w:val="FF0000"/>
          <w:kern w:val="0"/>
          <w:position w:val="4"/>
          <w:sz w:val="26"/>
          <w:szCs w:val="26"/>
          <w:lang w:val="en-US" w:eastAsia="zh-CN"/>
        </w:rPr>
        <w:t>起点是不当联合</w:t>
      </w:r>
    </w:p>
    <w:p w14:paraId="7E6E1848">
      <w:pPr>
        <w:spacing w:before="31" w:beforeLines="10" w:after="31" w:afterLines="10" w:line="280" w:lineRule="exact"/>
        <w:ind w:firstLine="0" w:firstLineChars="0"/>
        <w:rPr>
          <w:rFonts w:hint="eastAsia" w:ascii="汉仪书宋一简" w:eastAsia="汉仪书宋一简"/>
          <w:color w:val="FF0000"/>
          <w:kern w:val="0"/>
          <w:sz w:val="20"/>
          <w:lang w:val="en-US" w:eastAsia="zh-CN"/>
        </w:rPr>
      </w:pPr>
      <w:r>
        <w:rPr>
          <w:rFonts w:hint="eastAsia" w:ascii="汉仪书宋一简" w:eastAsia="汉仪书宋一简"/>
          <w:color w:val="FF0000"/>
          <w:kern w:val="0"/>
          <w:sz w:val="20"/>
          <w:lang w:val="en-US" w:eastAsia="zh-CN"/>
        </w:rPr>
        <w:t>垄断协议是经营者达成的排除或限制竞争的协议、决定（如行业协会章程）或者其他协同行为。</w:t>
      </w:r>
    </w:p>
    <w:p w14:paraId="3D7D52CA">
      <w:pPr>
        <w:spacing w:before="31" w:beforeLines="10" w:after="31" w:afterLines="10" w:line="280" w:lineRule="exact"/>
        <w:ind w:firstLine="0" w:firstLineChars="0"/>
        <w:rPr>
          <w:rFonts w:hint="eastAsia" w:ascii="汉仪书宋一简" w:eastAsia="汉仪书宋一简"/>
          <w:color w:val="FF0000"/>
          <w:kern w:val="0"/>
          <w:sz w:val="20"/>
        </w:rPr>
      </w:pPr>
      <w:r>
        <w:rPr>
          <w:rFonts w:hint="default" w:ascii="汉仪书宋一简" w:eastAsia="汉仪书宋一简"/>
          <w:color w:val="FF0000"/>
          <w:kern w:val="0"/>
          <w:sz w:val="20"/>
        </w:rPr>
        <w:t>人民法院认定反垄断法第十六条规定的其他协同行为，应当综合考虑下列因素：</w:t>
      </w:r>
    </w:p>
    <w:p w14:paraId="677F8E93">
      <w:pPr>
        <w:spacing w:before="31" w:beforeLines="10" w:after="31" w:afterLines="10" w:line="280" w:lineRule="exact"/>
        <w:ind w:firstLine="0" w:firstLineChars="0"/>
        <w:rPr>
          <w:rFonts w:hint="default" w:ascii="汉仪书宋一简" w:eastAsia="汉仪书宋一简"/>
          <w:color w:val="FF0000"/>
          <w:kern w:val="0"/>
          <w:sz w:val="20"/>
        </w:rPr>
      </w:pPr>
      <w:r>
        <w:rPr>
          <w:rFonts w:hint="default" w:ascii="汉仪书宋一简" w:eastAsia="汉仪书宋一简"/>
          <w:color w:val="FF0000"/>
          <w:kern w:val="0"/>
          <w:sz w:val="20"/>
        </w:rPr>
        <w:t>　　（一）经营者的市场行为是否具有一致性；</w:t>
      </w:r>
    </w:p>
    <w:p w14:paraId="67E065A4">
      <w:pPr>
        <w:spacing w:before="31" w:beforeLines="10" w:after="31" w:afterLines="10" w:line="280" w:lineRule="exact"/>
        <w:ind w:firstLine="0" w:firstLineChars="0"/>
        <w:rPr>
          <w:rFonts w:hint="default" w:ascii="汉仪书宋一简" w:eastAsia="汉仪书宋一简"/>
          <w:color w:val="FF0000"/>
          <w:kern w:val="0"/>
          <w:sz w:val="20"/>
        </w:rPr>
      </w:pPr>
      <w:r>
        <w:rPr>
          <w:rFonts w:hint="default" w:ascii="汉仪书宋一简" w:eastAsia="汉仪书宋一简"/>
          <w:color w:val="FF0000"/>
          <w:kern w:val="0"/>
          <w:sz w:val="20"/>
        </w:rPr>
        <w:t>　　（二）经营者之间是否进行过意思联络、信息交流或者传递；</w:t>
      </w:r>
    </w:p>
    <w:p w14:paraId="11EE2A6C">
      <w:pPr>
        <w:spacing w:before="31" w:beforeLines="10" w:after="31" w:afterLines="10" w:line="280" w:lineRule="exact"/>
        <w:ind w:firstLine="0" w:firstLineChars="0"/>
        <w:rPr>
          <w:rFonts w:hint="default" w:ascii="汉仪书宋一简" w:eastAsia="汉仪书宋一简"/>
          <w:color w:val="FF0000"/>
          <w:kern w:val="0"/>
          <w:sz w:val="20"/>
        </w:rPr>
      </w:pPr>
      <w:r>
        <w:rPr>
          <w:rFonts w:hint="default" w:ascii="汉仪书宋一简" w:eastAsia="汉仪书宋一简"/>
          <w:color w:val="FF0000"/>
          <w:kern w:val="0"/>
          <w:sz w:val="20"/>
        </w:rPr>
        <w:t>　　（三）相关市场的市场结构、竞争状况、市场变化等情况；</w:t>
      </w:r>
    </w:p>
    <w:p w14:paraId="065FAA76">
      <w:pPr>
        <w:spacing w:before="31" w:beforeLines="10" w:after="31" w:afterLines="10" w:line="280" w:lineRule="exact"/>
        <w:ind w:firstLine="0" w:firstLineChars="0"/>
        <w:rPr>
          <w:rFonts w:hint="default" w:ascii="汉仪书宋一简" w:eastAsia="汉仪书宋一简"/>
          <w:color w:val="FF0000"/>
          <w:kern w:val="0"/>
          <w:sz w:val="20"/>
        </w:rPr>
      </w:pPr>
      <w:r>
        <w:rPr>
          <w:rFonts w:hint="default" w:ascii="汉仪书宋一简" w:eastAsia="汉仪书宋一简"/>
          <w:color w:val="FF0000"/>
          <w:kern w:val="0"/>
          <w:sz w:val="20"/>
        </w:rPr>
        <w:t>　　（四）经营者能否对行为一致性作出合理解释。</w:t>
      </w:r>
    </w:p>
    <w:p w14:paraId="794C8DB9">
      <w:pPr>
        <w:tabs>
          <w:tab w:val="clear" w:pos="420"/>
        </w:tabs>
        <w:autoSpaceDE w:val="0"/>
        <w:autoSpaceDN w:val="0"/>
        <w:adjustRightInd w:val="0"/>
        <w:spacing w:line="300" w:lineRule="exact"/>
        <w:ind w:firstLine="425" w:firstLineChars="0"/>
        <w:textAlignment w:val="center"/>
        <w:rPr>
          <w:rFonts w:hint="default" w:ascii="汉仪书宋二简"/>
          <w:b/>
          <w:sz w:val="24"/>
          <w:szCs w:val="24"/>
          <w:lang w:val="en-US" w:eastAsia="zh-CN"/>
        </w:rPr>
      </w:pPr>
    </w:p>
    <w:tbl>
      <w:tblPr>
        <w:tblStyle w:val="8"/>
        <w:tblW w:w="8505" w:type="dxa"/>
        <w:jc w:val="center"/>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Layout w:type="autofit"/>
        <w:tblCellMar>
          <w:top w:w="0" w:type="dxa"/>
          <w:left w:w="108" w:type="dxa"/>
          <w:bottom w:w="0" w:type="dxa"/>
          <w:right w:w="108" w:type="dxa"/>
        </w:tblCellMar>
      </w:tblPr>
      <w:tblGrid>
        <w:gridCol w:w="862"/>
        <w:gridCol w:w="2813"/>
        <w:gridCol w:w="3041"/>
        <w:gridCol w:w="1789"/>
      </w:tblGrid>
      <w:tr w14:paraId="786420F3">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507" w:type="pct"/>
            <w:shd w:val="clear" w:color="auto" w:fill="auto"/>
            <w:vAlign w:val="center"/>
          </w:tcPr>
          <w:p w14:paraId="2A8A68E6">
            <w:pPr>
              <w:spacing w:before="31" w:beforeLines="10" w:after="31" w:afterLines="10" w:line="280" w:lineRule="exact"/>
              <w:ind w:firstLine="0" w:firstLineChars="0"/>
              <w:jc w:val="center"/>
              <w:rPr>
                <w:rFonts w:hint="eastAsia" w:ascii="汉仪中黑简" w:eastAsia="汉仪中黑简"/>
                <w:bCs/>
                <w:kern w:val="0"/>
                <w:sz w:val="20"/>
              </w:rPr>
            </w:pPr>
          </w:p>
        </w:tc>
        <w:tc>
          <w:tcPr>
            <w:tcW w:w="1654" w:type="pct"/>
            <w:shd w:val="clear" w:color="auto" w:fill="auto"/>
            <w:vAlign w:val="center"/>
          </w:tcPr>
          <w:p w14:paraId="1AE718CC">
            <w:pPr>
              <w:spacing w:before="31" w:beforeLines="10" w:after="31" w:afterLines="1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横向垄断协议</w:t>
            </w:r>
          </w:p>
        </w:tc>
        <w:tc>
          <w:tcPr>
            <w:tcW w:w="1788" w:type="pct"/>
            <w:shd w:val="clear" w:color="auto" w:fill="auto"/>
            <w:vAlign w:val="center"/>
          </w:tcPr>
          <w:p w14:paraId="2EAF0A66">
            <w:pPr>
              <w:spacing w:before="31" w:beforeLines="10" w:after="31" w:afterLines="1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纵向垄断协议</w:t>
            </w:r>
          </w:p>
        </w:tc>
        <w:tc>
          <w:tcPr>
            <w:tcW w:w="1051" w:type="pct"/>
            <w:shd w:val="clear" w:color="auto" w:fill="auto"/>
            <w:vAlign w:val="center"/>
          </w:tcPr>
          <w:p w14:paraId="0C2EBF0E">
            <w:pPr>
              <w:spacing w:before="31" w:beforeLines="10" w:after="31" w:afterLines="1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轴辐合谋</w:t>
            </w:r>
          </w:p>
        </w:tc>
      </w:tr>
      <w:tr w14:paraId="265116C4">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507" w:type="pct"/>
            <w:shd w:val="clear" w:color="auto" w:fill="auto"/>
            <w:vAlign w:val="center"/>
          </w:tcPr>
          <w:p w14:paraId="3450F234">
            <w:pPr>
              <w:spacing w:before="31" w:beforeLines="10" w:after="31" w:afterLines="1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主体</w:t>
            </w:r>
          </w:p>
        </w:tc>
        <w:tc>
          <w:tcPr>
            <w:tcW w:w="1654" w:type="pct"/>
            <w:shd w:val="clear" w:color="auto" w:fill="auto"/>
            <w:vAlign w:val="center"/>
          </w:tcPr>
          <w:p w14:paraId="20688C56">
            <w:pPr>
              <w:spacing w:before="31" w:beforeLines="10" w:after="31" w:afterLines="10" w:line="280" w:lineRule="exact"/>
              <w:ind w:firstLine="0" w:firstLineChars="0"/>
              <w:jc w:val="center"/>
              <w:rPr>
                <w:rFonts w:hint="eastAsia" w:ascii="汉仪书宋一简" w:hAnsi="楷体" w:eastAsia="汉仪中黑简" w:cs="楷体"/>
                <w:color w:val="FF0000"/>
                <w:kern w:val="0"/>
                <w:sz w:val="20"/>
              </w:rPr>
            </w:pPr>
            <w:r>
              <w:rPr>
                <w:rFonts w:hint="eastAsia" w:ascii="汉仪书宋一简" w:eastAsia="汉仪书宋一简"/>
                <w:kern w:val="0"/>
                <w:sz w:val="20"/>
              </w:rPr>
              <w:t>经营者与</w:t>
            </w:r>
            <w:r>
              <w:rPr>
                <w:rFonts w:hint="eastAsia" w:ascii="汉仪书宋一简" w:hAnsi="楷体" w:eastAsia="汉仪中黑简" w:cs="楷体"/>
                <w:color w:val="FF0000"/>
                <w:kern w:val="0"/>
                <w:sz w:val="20"/>
              </w:rPr>
              <w:t>竞争对手</w:t>
            </w:r>
          </w:p>
          <w:p w14:paraId="7E3F05A4">
            <w:pPr>
              <w:spacing w:before="31" w:beforeLines="10" w:after="31" w:afterLines="10" w:line="280" w:lineRule="exact"/>
              <w:ind w:firstLine="0" w:firstLineChars="0"/>
              <w:jc w:val="center"/>
              <w:rPr>
                <w:rFonts w:hint="eastAsia" w:ascii="汉仪书宋一简" w:hAnsi="楷体" w:eastAsia="汉仪中黑简" w:cs="楷体"/>
                <w:color w:val="FF0000"/>
                <w:kern w:val="0"/>
                <w:sz w:val="20"/>
              </w:rPr>
            </w:pPr>
            <w:r>
              <w:rPr>
                <w:rFonts w:hint="eastAsia" w:ascii="汉仪书宋一简" w:hAnsi="楷体" w:eastAsia="汉仪中黑简" w:cs="楷体"/>
                <w:color w:val="FF0000"/>
                <w:kern w:val="0"/>
                <w:sz w:val="20"/>
              </w:rPr>
              <w:t>具有竞争关系的经营者，是指在商品生产经营过程中处于同一阶段、提供具有较为紧密替代关系的商品、独立经营决策并承担法律责任的两个以上的实际经营者或者可能进入同一相关市场进行竞争的潜在经营者。</w:t>
            </w:r>
          </w:p>
        </w:tc>
        <w:tc>
          <w:tcPr>
            <w:tcW w:w="1788" w:type="pct"/>
            <w:shd w:val="clear" w:color="auto" w:fill="auto"/>
            <w:vAlign w:val="center"/>
          </w:tcPr>
          <w:p w14:paraId="65DC71BE">
            <w:pPr>
              <w:spacing w:before="31" w:beforeLines="10" w:after="31" w:afterLines="10" w:line="280" w:lineRule="exact"/>
              <w:ind w:firstLine="0" w:firstLineChars="0"/>
              <w:jc w:val="center"/>
              <w:rPr>
                <w:rFonts w:hint="eastAsia" w:ascii="汉仪书宋一简" w:hAnsi="楷体" w:eastAsia="汉仪中黑简" w:cs="楷体"/>
                <w:color w:val="FF0000"/>
                <w:kern w:val="0"/>
                <w:sz w:val="20"/>
              </w:rPr>
            </w:pPr>
            <w:r>
              <w:rPr>
                <w:rFonts w:hint="eastAsia" w:ascii="汉仪书宋一简" w:eastAsia="汉仪书宋一简"/>
                <w:kern w:val="0"/>
                <w:sz w:val="20"/>
              </w:rPr>
              <w:t>经营者与</w:t>
            </w:r>
            <w:r>
              <w:rPr>
                <w:rFonts w:hint="eastAsia" w:ascii="汉仪书宋一简" w:hAnsi="楷体" w:eastAsia="汉仪中黑简" w:cs="楷体"/>
                <w:color w:val="FF0000"/>
                <w:kern w:val="0"/>
                <w:sz w:val="20"/>
              </w:rPr>
              <w:t>交易相对人</w:t>
            </w:r>
          </w:p>
          <w:p w14:paraId="3BBE5D5A">
            <w:pPr>
              <w:spacing w:before="31" w:beforeLines="10" w:after="31" w:afterLines="10" w:line="280" w:lineRule="exact"/>
              <w:ind w:firstLine="0" w:firstLineChars="0"/>
              <w:jc w:val="center"/>
              <w:rPr>
                <w:rFonts w:hint="default" w:ascii="汉仪书宋一简" w:hAnsi="楷体" w:eastAsia="汉仪中黑简" w:cs="楷体"/>
                <w:color w:val="FF0000"/>
                <w:kern w:val="0"/>
                <w:sz w:val="20"/>
                <w:lang w:val="en-US" w:eastAsia="zh-CN"/>
              </w:rPr>
            </w:pPr>
            <w:r>
              <w:rPr>
                <w:rFonts w:hint="eastAsia" w:ascii="汉仪书宋一简" w:hAnsi="楷体" w:eastAsia="汉仪中黑简" w:cs="楷体"/>
                <w:color w:val="FF0000"/>
                <w:kern w:val="0"/>
                <w:sz w:val="20"/>
                <w:lang w:val="en-US" w:eastAsia="zh-CN"/>
              </w:rPr>
              <w:t>产业链上下游</w:t>
            </w:r>
          </w:p>
        </w:tc>
        <w:tc>
          <w:tcPr>
            <w:tcW w:w="1051" w:type="pct"/>
            <w:shd w:val="clear" w:color="auto" w:fill="auto"/>
            <w:vAlign w:val="center"/>
          </w:tcPr>
          <w:p w14:paraId="55047032">
            <w:pPr>
              <w:spacing w:before="31" w:beforeLines="10" w:after="31" w:afterLines="10" w:line="280" w:lineRule="exact"/>
              <w:ind w:firstLine="0" w:firstLineChars="0"/>
              <w:jc w:val="center"/>
              <w:rPr>
                <w:rFonts w:hint="eastAsia" w:ascii="汉仪书宋一简" w:eastAsia="汉仪书宋一简"/>
                <w:kern w:val="0"/>
                <w:sz w:val="20"/>
              </w:rPr>
            </w:pPr>
            <w:r>
              <w:rPr>
                <w:rFonts w:hint="eastAsia" w:ascii="汉仪书宋一简" w:eastAsia="汉仪书宋一简"/>
                <w:kern w:val="0"/>
                <w:sz w:val="20"/>
              </w:rPr>
              <w:t>经营者</w:t>
            </w:r>
          </w:p>
        </w:tc>
      </w:tr>
      <w:tr w14:paraId="40A09680">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507" w:type="pct"/>
            <w:shd w:val="clear" w:color="auto" w:fill="auto"/>
            <w:vAlign w:val="center"/>
          </w:tcPr>
          <w:p w14:paraId="0FE32690">
            <w:pPr>
              <w:spacing w:before="31" w:beforeLines="10" w:after="31" w:afterLines="1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行为</w:t>
            </w:r>
          </w:p>
        </w:tc>
        <w:tc>
          <w:tcPr>
            <w:tcW w:w="1654" w:type="pct"/>
            <w:shd w:val="clear" w:color="auto" w:fill="auto"/>
            <w:vAlign w:val="center"/>
          </w:tcPr>
          <w:p w14:paraId="184B0F1F">
            <w:pPr>
              <w:spacing w:before="31" w:beforeLines="10" w:after="31" w:afterLines="10" w:line="280" w:lineRule="exact"/>
              <w:ind w:firstLine="0" w:firstLineChars="0"/>
              <w:rPr>
                <w:rFonts w:hint="eastAsia" w:ascii="汉仪书宋一简" w:eastAsia="汉仪书宋一简"/>
                <w:kern w:val="0"/>
                <w:sz w:val="20"/>
                <w:lang w:eastAsia="zh-CN"/>
              </w:rPr>
            </w:pPr>
            <w:r>
              <w:rPr>
                <w:rFonts w:hint="eastAsia" w:ascii="汉仪书宋一简" w:eastAsia="汉仪书宋一简"/>
                <w:kern w:val="0"/>
                <w:sz w:val="20"/>
              </w:rPr>
              <w:t>（1）固定或变更商品价格；（2）限制商品的生产数量或销售数量；（3）分割销售市场或原材料采购市场</w:t>
            </w:r>
            <w:r>
              <w:rPr>
                <w:rFonts w:hint="eastAsia" w:ascii="汉仪书宋一简" w:eastAsia="汉仪书宋一简"/>
                <w:kern w:val="0"/>
                <w:sz w:val="20"/>
                <w:lang w:eastAsia="zh-CN"/>
              </w:rPr>
              <w:t>（</w:t>
            </w:r>
            <w:r>
              <w:rPr>
                <w:rFonts w:hint="eastAsia" w:ascii="汉仪书宋一简" w:eastAsia="汉仪书宋一简"/>
                <w:color w:val="FF0000"/>
                <w:kern w:val="0"/>
                <w:sz w:val="20"/>
                <w:lang w:val="en-US" w:eastAsia="zh-CN"/>
              </w:rPr>
              <w:t>地域分割、产品类别分割等</w:t>
            </w:r>
            <w:r>
              <w:rPr>
                <w:rFonts w:hint="eastAsia" w:ascii="汉仪书宋一简" w:eastAsia="汉仪书宋一简"/>
                <w:kern w:val="0"/>
                <w:sz w:val="20"/>
                <w:lang w:eastAsia="zh-CN"/>
              </w:rPr>
              <w:t>）</w:t>
            </w:r>
            <w:r>
              <w:rPr>
                <w:rFonts w:hint="eastAsia" w:ascii="汉仪书宋一简" w:eastAsia="汉仪书宋一简"/>
                <w:kern w:val="0"/>
                <w:sz w:val="20"/>
              </w:rPr>
              <w:t>；（4）限制购买新技术、新设备或限制开发新技术、新产品；（5）联合抵制交易</w:t>
            </w:r>
            <w:r>
              <w:rPr>
                <w:rFonts w:hint="eastAsia" w:ascii="汉仪书宋一简" w:eastAsia="汉仪书宋一简"/>
                <w:kern w:val="0"/>
                <w:sz w:val="20"/>
                <w:lang w:eastAsia="zh-CN"/>
              </w:rPr>
              <w:t>（</w:t>
            </w:r>
            <w:r>
              <w:rPr>
                <w:rFonts w:hint="eastAsia" w:ascii="汉仪书宋一简" w:eastAsia="汉仪书宋一简"/>
                <w:color w:val="FF0000"/>
                <w:kern w:val="0"/>
                <w:sz w:val="20"/>
                <w:lang w:val="en-US" w:eastAsia="zh-CN"/>
              </w:rPr>
              <w:t>如航空公司串联都不去携程卖机票</w:t>
            </w:r>
            <w:r>
              <w:rPr>
                <w:rFonts w:hint="eastAsia" w:ascii="汉仪书宋一简" w:eastAsia="汉仪书宋一简"/>
                <w:kern w:val="0"/>
                <w:sz w:val="20"/>
                <w:lang w:eastAsia="zh-CN"/>
              </w:rPr>
              <w:t>）</w:t>
            </w:r>
          </w:p>
        </w:tc>
        <w:tc>
          <w:tcPr>
            <w:tcW w:w="1788" w:type="pct"/>
            <w:shd w:val="clear" w:color="auto" w:fill="auto"/>
            <w:vAlign w:val="center"/>
          </w:tcPr>
          <w:p w14:paraId="128FE391">
            <w:pPr>
              <w:spacing w:before="31" w:beforeLines="10" w:after="31" w:afterLines="1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（1）固定向第三人转售商品的价格；（2）限定向第三人转售商品的最低价格。</w:t>
            </w:r>
            <w:r>
              <w:rPr>
                <w:rFonts w:hint="eastAsia" w:ascii="汉仪书宋一简" w:eastAsia="汉仪书宋一简"/>
                <w:color w:val="FF0000"/>
                <w:kern w:val="0"/>
                <w:sz w:val="20"/>
                <w:lang w:eastAsia="zh-CN"/>
              </w:rPr>
              <w:t>（</w:t>
            </w:r>
            <w:r>
              <w:rPr>
                <w:rFonts w:hint="eastAsia" w:ascii="汉仪书宋一简" w:eastAsia="汉仪书宋一简"/>
                <w:color w:val="FF0000"/>
                <w:kern w:val="0"/>
                <w:sz w:val="20"/>
                <w:lang w:val="en-US" w:eastAsia="zh-CN"/>
              </w:rPr>
              <w:t>仅限于商品价格</w:t>
            </w:r>
            <w:r>
              <w:rPr>
                <w:rFonts w:hint="eastAsia" w:ascii="汉仪书宋一简" w:eastAsia="汉仪书宋一简"/>
                <w:color w:val="FF0000"/>
                <w:kern w:val="0"/>
                <w:sz w:val="20"/>
                <w:lang w:eastAsia="zh-CN"/>
              </w:rPr>
              <w:t>）</w:t>
            </w:r>
            <w:r>
              <w:rPr>
                <w:rFonts w:hint="eastAsia" w:ascii="汉仪书宋一简" w:eastAsia="汉仪书宋一简"/>
                <w:color w:val="FF0000"/>
                <w:kern w:val="0"/>
                <w:sz w:val="20"/>
                <w:lang w:val="en-US" w:eastAsia="zh-CN"/>
              </w:rPr>
              <w:t>工时费不算</w:t>
            </w:r>
            <w:r>
              <w:rPr>
                <w:rFonts w:hint="eastAsia" w:ascii="汉仪书宋一简" w:eastAsia="汉仪书宋一简"/>
                <w:kern w:val="0"/>
                <w:sz w:val="20"/>
              </w:rPr>
              <w:t>（3）安全港：经营者能够证明其不具有排除、限制竞争效果的，或者经营者能够证明其在相关市场的市场份额低于规定的标准并符合规定的其他条件的，不予禁止</w:t>
            </w:r>
          </w:p>
        </w:tc>
        <w:tc>
          <w:tcPr>
            <w:tcW w:w="1051" w:type="pct"/>
            <w:shd w:val="clear" w:color="auto" w:fill="auto"/>
            <w:vAlign w:val="center"/>
          </w:tcPr>
          <w:p w14:paraId="3519FA35">
            <w:pPr>
              <w:spacing w:before="31" w:beforeLines="10" w:after="31" w:afterLines="1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经营者不得组织其他经营者达成垄断协议或者为其他经营者达成垄断协议提供实质性帮助</w:t>
            </w:r>
          </w:p>
        </w:tc>
      </w:tr>
      <w:tr w14:paraId="0C977B4E">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507" w:type="pct"/>
            <w:shd w:val="clear" w:color="auto" w:fill="auto"/>
            <w:vAlign w:val="center"/>
          </w:tcPr>
          <w:p w14:paraId="6BBA7EC5">
            <w:pPr>
              <w:spacing w:before="31" w:beforeLines="10" w:after="31" w:afterLines="1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豁免</w:t>
            </w:r>
          </w:p>
        </w:tc>
        <w:tc>
          <w:tcPr>
            <w:tcW w:w="4493" w:type="pct"/>
            <w:gridSpan w:val="3"/>
            <w:shd w:val="clear" w:color="auto" w:fill="auto"/>
            <w:vAlign w:val="center"/>
          </w:tcPr>
          <w:p w14:paraId="6C9E3656">
            <w:pPr>
              <w:spacing w:before="31" w:beforeLines="10" w:after="31" w:afterLines="10" w:line="280" w:lineRule="exact"/>
              <w:ind w:firstLine="0" w:firstLineChars="0"/>
              <w:rPr>
                <w:rFonts w:hint="eastAsia" w:ascii="汉仪书宋一简" w:eastAsia="汉仪书宋一简"/>
                <w:kern w:val="0"/>
                <w:sz w:val="20"/>
                <w:lang w:eastAsia="zh-CN"/>
              </w:rPr>
            </w:pPr>
            <w:r>
              <w:rPr>
                <w:rFonts w:hint="eastAsia" w:ascii="汉仪书宋一简" w:eastAsia="汉仪书宋一简"/>
                <w:kern w:val="0"/>
                <w:sz w:val="20"/>
              </w:rPr>
              <w:t>下列情形不予禁止：（1）为改进技术、研究开发新产品的；（2）为提高产品质量、降低成本、增进效率，统一产品规格、标准或者实行专业化分工的；（3）为提高中小经营者经营效率，增强中小经营者竞争力的；（4）为实现节约能源、保护环境、救灾救助等社会公共利益的；（5）因经济不景气，为缓解销售量严重下降或者生产明显过剩的；（6）为保障对外贸易和对外经济合作中的正当利益的。对于（1）—（5）项，经营者还应当证明所达成的协议不会严重限制相关市场的竞争，并且能够使消费者分享由此产生的利益</w:t>
            </w:r>
            <w:r>
              <w:rPr>
                <w:rFonts w:hint="eastAsia" w:ascii="汉仪书宋一简" w:eastAsia="汉仪书宋一简"/>
                <w:kern w:val="0"/>
                <w:sz w:val="20"/>
                <w:lang w:eastAsia="zh-CN"/>
              </w:rPr>
              <w:t>（</w:t>
            </w:r>
            <w:r>
              <w:rPr>
                <w:rFonts w:hint="eastAsia" w:ascii="汉仪书宋一简" w:eastAsia="汉仪书宋一简"/>
                <w:color w:val="FF0000"/>
                <w:kern w:val="0"/>
                <w:sz w:val="20"/>
                <w:lang w:val="en-US" w:eastAsia="zh-CN"/>
              </w:rPr>
              <w:t>了解即可</w:t>
            </w:r>
            <w:r>
              <w:rPr>
                <w:rFonts w:hint="eastAsia" w:ascii="汉仪书宋一简" w:eastAsia="汉仪书宋一简"/>
                <w:kern w:val="0"/>
                <w:sz w:val="20"/>
                <w:lang w:eastAsia="zh-CN"/>
              </w:rPr>
              <w:t>）</w:t>
            </w:r>
          </w:p>
        </w:tc>
      </w:tr>
      <w:tr w14:paraId="5B0E8C17">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507" w:type="pct"/>
            <w:vMerge w:val="restart"/>
            <w:shd w:val="clear" w:color="auto" w:fill="auto"/>
            <w:vAlign w:val="center"/>
          </w:tcPr>
          <w:p w14:paraId="040AD13F">
            <w:pPr>
              <w:spacing w:before="31" w:beforeLines="10" w:after="31" w:afterLines="1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法律</w:t>
            </w:r>
          </w:p>
          <w:p w14:paraId="2A620EC4">
            <w:pPr>
              <w:spacing w:before="31" w:beforeLines="10" w:after="31" w:afterLines="1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责任</w:t>
            </w:r>
          </w:p>
        </w:tc>
        <w:tc>
          <w:tcPr>
            <w:tcW w:w="4493" w:type="pct"/>
            <w:gridSpan w:val="3"/>
            <w:shd w:val="clear" w:color="auto" w:fill="auto"/>
            <w:vAlign w:val="center"/>
          </w:tcPr>
          <w:p w14:paraId="0EDD4E39">
            <w:pPr>
              <w:spacing w:before="31" w:beforeLines="10" w:after="31" w:afterLines="10" w:line="280" w:lineRule="exact"/>
              <w:ind w:firstLine="0" w:firstLineChars="0"/>
              <w:rPr>
                <w:rFonts w:hint="eastAsia" w:ascii="汉仪书宋一简" w:eastAsia="汉仪书宋一简"/>
                <w:kern w:val="0"/>
                <w:sz w:val="20"/>
                <w:lang w:eastAsia="zh-CN"/>
              </w:rPr>
            </w:pPr>
            <w:r>
              <w:rPr>
                <w:rFonts w:hint="eastAsia" w:ascii="汉仪书宋一简" w:eastAsia="汉仪书宋一简"/>
                <w:kern w:val="0"/>
                <w:sz w:val="20"/>
              </w:rPr>
              <w:t>民事责任：（1）垄断协议全部无效或部分无效</w:t>
            </w:r>
            <w:r>
              <w:rPr>
                <w:rFonts w:hint="eastAsia" w:ascii="汉仪书宋一简" w:eastAsia="汉仪书宋一简"/>
                <w:kern w:val="0"/>
                <w:sz w:val="20"/>
                <w:lang w:eastAsia="zh-CN"/>
              </w:rPr>
              <w:t>（</w:t>
            </w:r>
            <w:r>
              <w:rPr>
                <w:rFonts w:hint="eastAsia" w:ascii="汉仪书宋一简" w:eastAsia="汉仪书宋一简"/>
                <w:color w:val="FF0000"/>
                <w:kern w:val="0"/>
                <w:sz w:val="20"/>
                <w:lang w:val="en-US" w:eastAsia="zh-CN"/>
              </w:rPr>
              <w:t>横向全部无效，纵向价格条款无效</w:t>
            </w:r>
            <w:r>
              <w:rPr>
                <w:rFonts w:hint="eastAsia" w:ascii="汉仪书宋一简" w:eastAsia="汉仪书宋一简"/>
                <w:kern w:val="0"/>
                <w:sz w:val="20"/>
                <w:lang w:eastAsia="zh-CN"/>
              </w:rPr>
              <w:t>）</w:t>
            </w:r>
            <w:r>
              <w:rPr>
                <w:rFonts w:hint="eastAsia" w:ascii="汉仪书宋一简" w:eastAsia="汉仪书宋一简"/>
                <w:color w:val="FF0000"/>
                <w:kern w:val="0"/>
                <w:sz w:val="20"/>
              </w:rPr>
              <w:t>。</w:t>
            </w:r>
            <w:r>
              <w:rPr>
                <w:rFonts w:hint="eastAsia" w:ascii="汉仪书宋一简" w:eastAsia="汉仪书宋一简"/>
                <w:color w:val="FF0000"/>
                <w:kern w:val="0"/>
                <w:sz w:val="20"/>
                <w:lang w:eastAsia="zh-CN"/>
              </w:rPr>
              <w:t>（</w:t>
            </w:r>
            <w:r>
              <w:rPr>
                <w:rFonts w:hint="eastAsia" w:ascii="汉仪书宋一简" w:eastAsia="汉仪书宋一简"/>
                <w:color w:val="FF0000"/>
                <w:kern w:val="0"/>
                <w:sz w:val="20"/>
                <w:lang w:val="en-US" w:eastAsia="zh-CN"/>
              </w:rPr>
              <w:t>不能追究违约责任</w:t>
            </w:r>
            <w:r>
              <w:rPr>
                <w:rFonts w:hint="eastAsia" w:ascii="汉仪书宋一简" w:eastAsia="汉仪书宋一简"/>
                <w:color w:val="FF0000"/>
                <w:kern w:val="0"/>
                <w:sz w:val="20"/>
                <w:lang w:eastAsia="zh-CN"/>
              </w:rPr>
              <w:t>）</w:t>
            </w:r>
            <w:r>
              <w:rPr>
                <w:rFonts w:hint="eastAsia" w:ascii="汉仪书宋一简" w:eastAsia="汉仪书宋一简"/>
                <w:kern w:val="0"/>
                <w:sz w:val="20"/>
              </w:rPr>
              <w:t>（2）</w:t>
            </w:r>
            <w:r>
              <w:rPr>
                <w:rFonts w:hint="eastAsia" w:ascii="汉仪书宋一简" w:eastAsia="汉仪书宋一简"/>
                <w:color w:val="FF0000"/>
                <w:kern w:val="0"/>
                <w:sz w:val="20"/>
              </w:rPr>
              <w:t>给他人</w:t>
            </w:r>
            <w:r>
              <w:rPr>
                <w:rFonts w:hint="eastAsia" w:ascii="汉仪书宋一简" w:eastAsia="汉仪书宋一简"/>
                <w:color w:val="FF0000"/>
                <w:kern w:val="0"/>
                <w:sz w:val="20"/>
                <w:lang w:eastAsia="zh-CN"/>
              </w:rPr>
              <w:t>（</w:t>
            </w:r>
            <w:r>
              <w:rPr>
                <w:rFonts w:hint="eastAsia" w:ascii="汉仪书宋一简" w:eastAsia="汉仪书宋一简"/>
                <w:color w:val="FF0000"/>
                <w:kern w:val="0"/>
                <w:sz w:val="20"/>
                <w:lang w:val="en-US" w:eastAsia="zh-CN"/>
              </w:rPr>
              <w:t>不包括横向垄断协议主体</w:t>
            </w:r>
            <w:r>
              <w:rPr>
                <w:rFonts w:hint="eastAsia" w:ascii="汉仪书宋一简" w:eastAsia="汉仪书宋一简"/>
                <w:color w:val="FF0000"/>
                <w:kern w:val="0"/>
                <w:sz w:val="20"/>
                <w:lang w:eastAsia="zh-CN"/>
              </w:rPr>
              <w:t>）</w:t>
            </w:r>
            <w:r>
              <w:rPr>
                <w:rFonts w:hint="eastAsia" w:ascii="汉仪书宋一简" w:eastAsia="汉仪书宋一简"/>
                <w:color w:val="FF0000"/>
                <w:kern w:val="0"/>
                <w:sz w:val="20"/>
              </w:rPr>
              <w:t>造成损失的，依法承担民事责任</w:t>
            </w:r>
            <w:r>
              <w:rPr>
                <w:rFonts w:hint="eastAsia" w:ascii="汉仪书宋一简" w:eastAsia="汉仪书宋一简"/>
                <w:color w:val="FF0000"/>
                <w:kern w:val="0"/>
                <w:sz w:val="20"/>
                <w:lang w:eastAsia="zh-CN"/>
              </w:rPr>
              <w:t>（</w:t>
            </w:r>
            <w:r>
              <w:rPr>
                <w:rFonts w:hint="eastAsia" w:ascii="汉仪书宋一简" w:eastAsia="汉仪书宋一简"/>
                <w:color w:val="FF0000"/>
                <w:kern w:val="0"/>
                <w:sz w:val="20"/>
                <w:lang w:val="en-US" w:eastAsia="zh-CN"/>
              </w:rPr>
              <w:t>纵向垄断协议，上游对下游按协议进行惩罚构成侵权，应当赔偿</w:t>
            </w:r>
            <w:r>
              <w:rPr>
                <w:rFonts w:hint="eastAsia" w:ascii="汉仪书宋一简" w:eastAsia="汉仪书宋一简"/>
                <w:color w:val="FF0000"/>
                <w:kern w:val="0"/>
                <w:sz w:val="20"/>
                <w:lang w:eastAsia="zh-CN"/>
              </w:rPr>
              <w:t>）</w:t>
            </w:r>
          </w:p>
        </w:tc>
      </w:tr>
      <w:tr w14:paraId="73C6029E">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507" w:type="pct"/>
            <w:vMerge w:val="continue"/>
            <w:shd w:val="clear" w:color="auto" w:fill="auto"/>
            <w:vAlign w:val="center"/>
          </w:tcPr>
          <w:p w14:paraId="58212EB6">
            <w:pPr>
              <w:spacing w:before="31" w:beforeLines="10" w:after="31" w:afterLines="10" w:line="280" w:lineRule="exact"/>
              <w:ind w:firstLine="0" w:firstLineChars="0"/>
              <w:rPr>
                <w:rFonts w:hint="eastAsia" w:ascii="汉仪书宋一简" w:eastAsia="汉仪书宋一简"/>
                <w:sz w:val="20"/>
              </w:rPr>
            </w:pPr>
          </w:p>
        </w:tc>
        <w:tc>
          <w:tcPr>
            <w:tcW w:w="4493" w:type="pct"/>
            <w:gridSpan w:val="3"/>
            <w:shd w:val="clear" w:color="auto" w:fill="auto"/>
            <w:vAlign w:val="center"/>
          </w:tcPr>
          <w:p w14:paraId="0C09EC97">
            <w:pPr>
              <w:spacing w:before="31" w:beforeLines="10" w:after="31" w:afterLines="1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行政责任：（1）经营者</w:t>
            </w:r>
            <w:r>
              <w:rPr>
                <w:rFonts w:hint="eastAsia" w:ascii="汉仪书宋一简" w:hAnsi="楷体" w:eastAsia="汉仪中黑简" w:cs="楷体"/>
                <w:color w:val="FF0000"/>
                <w:kern w:val="0"/>
                <w:sz w:val="20"/>
              </w:rPr>
              <w:t>达成并实施</w:t>
            </w:r>
            <w:r>
              <w:rPr>
                <w:rFonts w:hint="eastAsia" w:ascii="汉仪书宋一简" w:eastAsia="汉仪书宋一简"/>
                <w:kern w:val="0"/>
                <w:sz w:val="20"/>
              </w:rPr>
              <w:t>垄断协议的，责令停止违法行为，没收违法所得，并处罚款；</w:t>
            </w:r>
            <w:r>
              <w:rPr>
                <w:rFonts w:hint="eastAsia" w:ascii="汉仪书宋一简" w:hAnsi="楷体" w:eastAsia="汉仪中黑简" w:cs="楷体"/>
                <w:color w:val="FF0000"/>
                <w:kern w:val="0"/>
                <w:sz w:val="20"/>
              </w:rPr>
              <w:t>达成但尚未实施</w:t>
            </w:r>
            <w:r>
              <w:rPr>
                <w:rFonts w:hint="eastAsia" w:ascii="汉仪书宋一简" w:eastAsia="汉仪书宋一简"/>
                <w:kern w:val="0"/>
                <w:sz w:val="20"/>
              </w:rPr>
              <w:t>的，可以处罚款；</w:t>
            </w:r>
            <w:r>
              <w:rPr>
                <w:rFonts w:hint="eastAsia" w:ascii="汉仪书宋一简" w:eastAsia="汉仪书宋一简" w:hAnsiTheme="minorEastAsia"/>
                <w:kern w:val="0"/>
                <w:sz w:val="20"/>
              </w:rPr>
              <w:t>经营者组织其他经营者达成垄断协议或者为其他经营者达成垄断协议提供实质性帮助的，适用前述规定</w:t>
            </w:r>
            <w:r>
              <w:rPr>
                <w:rFonts w:hint="eastAsia" w:ascii="汉仪书宋一简" w:eastAsia="汉仪书宋一简"/>
                <w:kern w:val="0"/>
                <w:sz w:val="20"/>
              </w:rPr>
              <w:t>。（2）对行业协会，可以处罚款；情节严重的，社会团体登记管理部门可以撤销登记。（3）</w:t>
            </w:r>
            <w:r>
              <w:rPr>
                <w:rFonts w:hint="eastAsia" w:ascii="汉仪书宋一简" w:eastAsia="汉仪书宋一简" w:hAnsiTheme="minorEastAsia"/>
                <w:kern w:val="0"/>
                <w:sz w:val="20"/>
              </w:rPr>
              <w:t>经营者的法定代表人、主要负责人和直接责任人员对达成垄断协议负有个人责任的，可以处罚款。（</w:t>
            </w:r>
            <w:r>
              <w:rPr>
                <w:rFonts w:hint="eastAsia" w:ascii="汉仪书宋一简" w:eastAsia="汉仪书宋一简"/>
                <w:kern w:val="0"/>
                <w:sz w:val="20"/>
              </w:rPr>
              <w:t>4</w:t>
            </w:r>
            <w:r>
              <w:rPr>
                <w:rFonts w:hint="eastAsia" w:ascii="汉仪书宋一简" w:eastAsia="汉仪书宋一简" w:hAnsiTheme="minorEastAsia"/>
                <w:kern w:val="0"/>
                <w:sz w:val="20"/>
              </w:rPr>
              <w:t>）</w:t>
            </w:r>
            <w:r>
              <w:rPr>
                <w:rFonts w:hint="eastAsia" w:ascii="汉仪书宋一简" w:eastAsia="汉仪书宋一简"/>
                <w:kern w:val="0"/>
                <w:sz w:val="20"/>
              </w:rPr>
              <w:t>经营者主动向反垄断执法机构报告达成垄断协议的有关情况并提供重要证据的，可以酌情</w:t>
            </w:r>
            <w:r>
              <w:rPr>
                <w:rFonts w:hint="eastAsia" w:ascii="汉仪书宋一简" w:hAnsi="楷体" w:eastAsia="汉仪中黑简" w:cs="楷体"/>
                <w:color w:val="FF0000"/>
                <w:kern w:val="0"/>
                <w:sz w:val="20"/>
              </w:rPr>
              <w:t>减轻或免除</w:t>
            </w:r>
            <w:r>
              <w:rPr>
                <w:rFonts w:hint="eastAsia" w:ascii="汉仪书宋一简" w:eastAsia="汉仪书宋一简"/>
                <w:kern w:val="0"/>
                <w:sz w:val="20"/>
              </w:rPr>
              <w:t>对该经营者的处罚</w:t>
            </w:r>
          </w:p>
        </w:tc>
      </w:tr>
    </w:tbl>
    <w:p w14:paraId="0E5F5639">
      <w:pPr>
        <w:tabs>
          <w:tab w:val="clear" w:pos="420"/>
        </w:tabs>
        <w:autoSpaceDE w:val="0"/>
        <w:autoSpaceDN w:val="0"/>
        <w:adjustRightInd w:val="0"/>
        <w:ind w:firstLine="425" w:firstLineChars="0"/>
        <w:textAlignment w:val="center"/>
        <w:rPr>
          <w:rFonts w:ascii="汉仪书宋二简" w:hAnsi="Times New Roman" w:cs="汉仪书宋二简"/>
          <w:color w:val="000000"/>
          <w:kern w:val="0"/>
          <w:lang w:val="zh-CN"/>
        </w:rPr>
      </w:pPr>
    </w:p>
    <w:p w14:paraId="27A95612">
      <w:pPr>
        <w:tabs>
          <w:tab w:val="clear" w:pos="420"/>
        </w:tabs>
        <w:autoSpaceDE w:val="0"/>
        <w:autoSpaceDN w:val="0"/>
        <w:adjustRightInd w:val="0"/>
        <w:ind w:firstLine="0" w:firstLineChars="0"/>
        <w:jc w:val="left"/>
        <w:textAlignment w:val="center"/>
        <w:rPr>
          <w:rFonts w:ascii="汉仪粗宋简" w:hAnsi="Times New Roman" w:eastAsia="汉仪大宋简" w:cs="汉仪粗宋简"/>
          <w:color w:val="000000"/>
          <w:kern w:val="0"/>
          <w:position w:val="4"/>
          <w:sz w:val="26"/>
          <w:szCs w:val="26"/>
          <w:lang w:val="zh-CN"/>
        </w:rPr>
      </w:pPr>
      <w:r>
        <w:rPr>
          <w:rFonts w:hint="eastAsia" w:ascii="汉仪粗宋简" w:hAnsi="Times New Roman" w:eastAsia="汉仪大宋简" w:cs="汉仪粗宋简"/>
          <w:color w:val="000000"/>
          <w:kern w:val="0"/>
          <w:position w:val="4"/>
          <w:sz w:val="26"/>
          <w:szCs w:val="26"/>
          <w:lang w:val="zh-CN"/>
        </w:rPr>
        <w:t>二、滥用市场支配地位</w:t>
      </w:r>
    </w:p>
    <w:p w14:paraId="7F31FAD3">
      <w:pPr>
        <w:tabs>
          <w:tab w:val="clear" w:pos="420"/>
        </w:tabs>
        <w:autoSpaceDE w:val="0"/>
        <w:autoSpaceDN w:val="0"/>
        <w:adjustRightInd w:val="0"/>
        <w:ind w:firstLine="425" w:firstLineChars="0"/>
        <w:textAlignment w:val="center"/>
        <w:rPr>
          <w:rFonts w:ascii="汉仪书宋二简" w:hAnsi="Times New Roman" w:cs="汉仪书宋二简"/>
          <w:color w:val="000000"/>
          <w:kern w:val="0"/>
          <w:lang w:val="zh-CN"/>
        </w:rPr>
      </w:pPr>
    </w:p>
    <w:tbl>
      <w:tblPr>
        <w:tblStyle w:val="8"/>
        <w:tblW w:w="8505" w:type="dxa"/>
        <w:jc w:val="center"/>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Layout w:type="autofit"/>
        <w:tblCellMar>
          <w:top w:w="0" w:type="dxa"/>
          <w:left w:w="108" w:type="dxa"/>
          <w:bottom w:w="0" w:type="dxa"/>
          <w:right w:w="108" w:type="dxa"/>
        </w:tblCellMar>
      </w:tblPr>
      <w:tblGrid>
        <w:gridCol w:w="709"/>
        <w:gridCol w:w="7796"/>
      </w:tblGrid>
      <w:tr w14:paraId="4636754C">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417" w:type="pct"/>
            <w:shd w:val="clear" w:color="auto" w:fill="auto"/>
            <w:vAlign w:val="center"/>
          </w:tcPr>
          <w:p w14:paraId="2657C2AA">
            <w:pPr>
              <w:spacing w:before="31" w:beforeLines="10" w:after="62" w:afterLines="2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认定标准</w:t>
            </w:r>
          </w:p>
        </w:tc>
        <w:tc>
          <w:tcPr>
            <w:tcW w:w="4583" w:type="pct"/>
            <w:shd w:val="clear" w:color="auto" w:fill="auto"/>
            <w:vAlign w:val="center"/>
          </w:tcPr>
          <w:p w14:paraId="0FD3AA3C">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认定经营者具有市场支配地位，应当首先界定其所在的</w:t>
            </w:r>
            <w:r>
              <w:rPr>
                <w:rFonts w:hint="eastAsia" w:ascii="汉仪书宋一简" w:hAnsi="楷体" w:eastAsia="汉仪中黑简" w:cs="楷体"/>
                <w:color w:val="FF0000"/>
                <w:kern w:val="0"/>
                <w:sz w:val="20"/>
              </w:rPr>
              <w:t>相关市场</w:t>
            </w:r>
            <w:r>
              <w:rPr>
                <w:rFonts w:hint="eastAsia" w:ascii="汉仪书宋一简" w:eastAsia="汉仪书宋一简"/>
                <w:kern w:val="0"/>
                <w:sz w:val="20"/>
              </w:rPr>
              <w:t>（包括商品范围和地域范围），然后依据下列因素认定市场支配地位：（1）该经营者在相关市场的市场份额，以及相关市场的竞争状况；（2）该经营者控制销售市场或原材料采购市场的能力；（3）该经营者的财力和技术条件；（4）其他经营者对该经营者在交易上的依赖程度；（5）其他经营者进入相关市场的难易程度；（6）与认定该经营者市场支配地位有关的其他因素</w:t>
            </w:r>
          </w:p>
        </w:tc>
      </w:tr>
      <w:tr w14:paraId="29E04BD0">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417" w:type="pct"/>
            <w:shd w:val="clear" w:color="auto" w:fill="auto"/>
            <w:vAlign w:val="center"/>
          </w:tcPr>
          <w:p w14:paraId="323EB29C">
            <w:pPr>
              <w:spacing w:before="31" w:beforeLines="10" w:after="62" w:afterLines="2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推定标准</w:t>
            </w:r>
          </w:p>
        </w:tc>
        <w:tc>
          <w:tcPr>
            <w:tcW w:w="4583" w:type="pct"/>
            <w:shd w:val="clear" w:color="auto" w:fill="auto"/>
            <w:vAlign w:val="center"/>
          </w:tcPr>
          <w:p w14:paraId="2A56E7E2">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有下列情形之一的，可以</w:t>
            </w:r>
            <w:r>
              <w:rPr>
                <w:rFonts w:hint="eastAsia" w:ascii="汉仪书宋一简" w:hAnsi="楷体" w:eastAsia="汉仪中黑简" w:cs="楷体"/>
                <w:color w:val="FF0000"/>
                <w:kern w:val="0"/>
                <w:sz w:val="20"/>
              </w:rPr>
              <w:t>推定</w:t>
            </w:r>
            <w:r>
              <w:rPr>
                <w:rFonts w:hint="eastAsia" w:ascii="汉仪书宋一简" w:eastAsia="汉仪书宋一简"/>
                <w:kern w:val="0"/>
                <w:sz w:val="20"/>
              </w:rPr>
              <w:t>经营者具有市场支配地位：（1）一个经营者在相关市场的市场份额达到1/2的；（2）两个经营者在相关市场的市场份额合计达到2/3的；（3）三个经营者在相关市场的市场份额合计达到3/4的。</w:t>
            </w:r>
          </w:p>
          <w:p w14:paraId="630AA171">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其中有的经营者市场份额不足1/10的，不应当推定具有市场支配地位。被推定具有市场支配地位的经营者，</w:t>
            </w:r>
            <w:r>
              <w:rPr>
                <w:rFonts w:hint="eastAsia" w:ascii="汉仪书宋一简" w:eastAsia="汉仪书宋一简"/>
                <w:color w:val="FF0000"/>
                <w:kern w:val="0"/>
                <w:sz w:val="20"/>
              </w:rPr>
              <w:t>有证据证明不具有市场支配地位的</w:t>
            </w:r>
            <w:r>
              <w:rPr>
                <w:rFonts w:hint="eastAsia" w:ascii="汉仪书宋一简" w:eastAsia="汉仪书宋一简"/>
                <w:kern w:val="0"/>
                <w:sz w:val="20"/>
              </w:rPr>
              <w:t>，不应当认定其具有市场支配地位</w:t>
            </w:r>
          </w:p>
          <w:p w14:paraId="2271F352">
            <w:pPr>
              <w:spacing w:before="31" w:beforeLines="10" w:after="62" w:afterLines="20" w:line="280" w:lineRule="exact"/>
              <w:ind w:firstLine="0" w:firstLineChars="0"/>
              <w:rPr>
                <w:rFonts w:hint="default" w:ascii="汉仪书宋一简" w:eastAsia="汉仪书宋一简"/>
                <w:kern w:val="0"/>
                <w:sz w:val="20"/>
                <w:lang w:val="en-US" w:eastAsia="zh-CN"/>
              </w:rPr>
            </w:pPr>
            <w:r>
              <w:rPr>
                <w:rFonts w:hint="eastAsia" w:ascii="汉仪书宋一简" w:eastAsia="汉仪书宋一简"/>
                <w:color w:val="FF0000"/>
                <w:kern w:val="0"/>
                <w:sz w:val="20"/>
                <w:lang w:val="en-US" w:eastAsia="zh-CN"/>
              </w:rPr>
              <w:t>决定性因素是市场份额</w:t>
            </w:r>
          </w:p>
        </w:tc>
      </w:tr>
    </w:tbl>
    <w:p w14:paraId="3794984E">
      <w:pPr>
        <w:ind w:firstLine="420"/>
        <w:rPr>
          <w:rFonts w:hint="eastAsia"/>
        </w:rPr>
      </w:pPr>
    </w:p>
    <w:p w14:paraId="5620D83F">
      <w:pPr>
        <w:ind w:firstLine="420"/>
        <w:rPr>
          <w:rFonts w:hint="eastAsia"/>
        </w:rPr>
      </w:pPr>
    </w:p>
    <w:p w14:paraId="475FB82D">
      <w:pPr>
        <w:ind w:firstLine="420"/>
        <w:rPr>
          <w:rFonts w:hint="eastAsia"/>
        </w:rPr>
      </w:pPr>
    </w:p>
    <w:tbl>
      <w:tblPr>
        <w:tblStyle w:val="8"/>
        <w:tblW w:w="8505" w:type="dxa"/>
        <w:jc w:val="center"/>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Layout w:type="autofit"/>
        <w:tblCellMar>
          <w:top w:w="0" w:type="dxa"/>
          <w:left w:w="108" w:type="dxa"/>
          <w:bottom w:w="0" w:type="dxa"/>
          <w:right w:w="108" w:type="dxa"/>
        </w:tblCellMar>
      </w:tblPr>
      <w:tblGrid>
        <w:gridCol w:w="709"/>
        <w:gridCol w:w="7796"/>
      </w:tblGrid>
      <w:tr w14:paraId="2DA17913">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417" w:type="pct"/>
            <w:shd w:val="clear" w:color="auto" w:fill="auto"/>
            <w:vAlign w:val="center"/>
          </w:tcPr>
          <w:p w14:paraId="1CC92349">
            <w:pPr>
              <w:spacing w:before="31" w:beforeLines="10" w:after="62" w:afterLines="2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滥用行为</w:t>
            </w:r>
          </w:p>
        </w:tc>
        <w:tc>
          <w:tcPr>
            <w:tcW w:w="4583" w:type="pct"/>
            <w:shd w:val="clear" w:color="auto" w:fill="auto"/>
            <w:vAlign w:val="center"/>
          </w:tcPr>
          <w:p w14:paraId="6B5B6E40">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市场支配地位本身不为法律所禁止，但是，法律禁止具有市场支配地位的经营者从事下列滥用市场支配地位的行为：（1）以不公平的高价销售商品或以不公平的低价购买商品；（2）没有正当理由，以低于成本的价格销售商品；（3）没有正当理由，拒绝与交易相对人进行交易；（4）没有正当理由，限定交易相对人只能与其进行交易或只能与其指定的经营者进行交易；（5）没有正当理由搭售商品，或在交易时附加其他不合理的交易条件；（6）没有正当理由，对条件相同的交易相对人在交易价格等交易条件上实行差别待遇；（7）国务院反垄断执法机构认定的其他滥用市场支配地位行为。具有市场支配地位的经营者不得利用数据和算法、技术以及平台规则等从事上述滥用市场支配地位的行为</w:t>
            </w:r>
          </w:p>
          <w:p w14:paraId="40AEE2DE">
            <w:pPr>
              <w:spacing w:before="31" w:beforeLines="10" w:after="62" w:afterLines="20" w:line="280" w:lineRule="exact"/>
              <w:ind w:firstLine="0" w:firstLineChars="0"/>
              <w:rPr>
                <w:rFonts w:hint="default" w:ascii="汉仪书宋一简" w:eastAsia="汉仪书宋一简"/>
                <w:kern w:val="0"/>
                <w:sz w:val="20"/>
                <w:lang w:val="en-US" w:eastAsia="zh-CN"/>
              </w:rPr>
            </w:pPr>
            <w:r>
              <w:rPr>
                <w:rFonts w:hint="eastAsia" w:ascii="汉仪书宋一简" w:eastAsia="汉仪书宋一简"/>
                <w:color w:val="FF0000"/>
                <w:kern w:val="0"/>
                <w:sz w:val="20"/>
                <w:lang w:val="en-US" w:eastAsia="zh-CN"/>
              </w:rPr>
              <w:t>支配地位不违法，滥用才违法</w:t>
            </w:r>
          </w:p>
        </w:tc>
      </w:tr>
      <w:tr w14:paraId="64A4D19A">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417" w:type="pct"/>
            <w:shd w:val="clear" w:color="auto" w:fill="auto"/>
            <w:vAlign w:val="center"/>
          </w:tcPr>
          <w:p w14:paraId="26AE9011">
            <w:pPr>
              <w:spacing w:before="31" w:beforeLines="10" w:after="62" w:afterLines="2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法律后果</w:t>
            </w:r>
          </w:p>
        </w:tc>
        <w:tc>
          <w:tcPr>
            <w:tcW w:w="4583" w:type="pct"/>
            <w:shd w:val="clear" w:color="auto" w:fill="auto"/>
            <w:vAlign w:val="center"/>
          </w:tcPr>
          <w:p w14:paraId="11D99E91">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经营者违反本法规定，滥用市场支配地位的，由反垄断执法机构责令停止违法行为，没收违法所得，并处罚款。给他人造成损失的，依法承担民事责任</w:t>
            </w:r>
          </w:p>
        </w:tc>
      </w:tr>
    </w:tbl>
    <w:p w14:paraId="2209F23D">
      <w:pPr>
        <w:ind w:firstLine="420"/>
        <w:rPr>
          <w:rFonts w:hint="eastAsia" w:ascii="汉仪书宋二简"/>
          <w:b/>
          <w:bCs/>
          <w:kern w:val="0"/>
        </w:rPr>
      </w:pPr>
    </w:p>
    <w:p w14:paraId="234535F5">
      <w:pPr>
        <w:ind w:firstLine="420"/>
        <w:rPr>
          <w:rFonts w:hint="eastAsia" w:ascii="汉仪书宋二简"/>
          <w:kern w:val="0"/>
        </w:rPr>
      </w:pPr>
    </w:p>
    <w:p w14:paraId="3133C914">
      <w:pPr>
        <w:pStyle w:val="3"/>
        <w:rPr>
          <w:rFonts w:hint="eastAsia" w:eastAsia="汉仪大宋简"/>
          <w:lang w:eastAsia="zh-CN"/>
        </w:rPr>
      </w:pPr>
      <w:r>
        <w:rPr>
          <w:rFonts w:hint="eastAsia"/>
        </w:rPr>
        <w:t>三、经营者集中</w:t>
      </w:r>
      <w:r>
        <w:rPr>
          <w:rFonts w:hint="eastAsia"/>
          <w:color w:val="FF0000"/>
          <w:lang w:eastAsia="zh-CN"/>
        </w:rPr>
        <w:t>（</w:t>
      </w:r>
      <w:r>
        <w:rPr>
          <w:rFonts w:hint="eastAsia"/>
          <w:color w:val="FF0000"/>
          <w:lang w:val="en-US" w:eastAsia="zh-CN"/>
        </w:rPr>
        <w:t>组织式联合</w:t>
      </w:r>
      <w:r>
        <w:rPr>
          <w:rFonts w:hint="eastAsia"/>
          <w:color w:val="FF0000"/>
          <w:lang w:eastAsia="zh-CN"/>
        </w:rPr>
        <w:t>）</w:t>
      </w:r>
    </w:p>
    <w:p w14:paraId="01B28F41">
      <w:pPr>
        <w:ind w:firstLine="480"/>
        <w:rPr>
          <w:rFonts w:hint="eastAsia" w:ascii="汉仪书宋二简"/>
          <w:b/>
          <w:sz w:val="24"/>
          <w:szCs w:val="24"/>
        </w:rPr>
      </w:pPr>
    </w:p>
    <w:tbl>
      <w:tblPr>
        <w:tblStyle w:val="8"/>
        <w:tblW w:w="8505" w:type="dxa"/>
        <w:jc w:val="center"/>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Layout w:type="fixed"/>
        <w:tblCellMar>
          <w:top w:w="0" w:type="dxa"/>
          <w:left w:w="108" w:type="dxa"/>
          <w:bottom w:w="0" w:type="dxa"/>
          <w:right w:w="108" w:type="dxa"/>
        </w:tblCellMar>
      </w:tblPr>
      <w:tblGrid>
        <w:gridCol w:w="680"/>
        <w:gridCol w:w="820"/>
        <w:gridCol w:w="7005"/>
      </w:tblGrid>
      <w:tr w14:paraId="5B486D18">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400" w:type="pct"/>
            <w:shd w:val="clear" w:color="auto" w:fill="auto"/>
            <w:vAlign w:val="center"/>
          </w:tcPr>
          <w:p w14:paraId="2AB5CC46">
            <w:pPr>
              <w:spacing w:before="31" w:beforeLines="10" w:after="62" w:afterLines="2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包括</w:t>
            </w:r>
          </w:p>
        </w:tc>
        <w:tc>
          <w:tcPr>
            <w:tcW w:w="4599" w:type="pct"/>
            <w:gridSpan w:val="2"/>
            <w:shd w:val="clear" w:color="auto" w:fill="auto"/>
            <w:vAlign w:val="center"/>
          </w:tcPr>
          <w:p w14:paraId="1B6A6243">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（1）经营者合并；（2）经营者通过取得股权或资产的方式取得对其他经营者的控制权；（3）经营者通过合同等方式取得对其他经营者的控制权或能够对其他经营者施加决定性影响</w:t>
            </w:r>
          </w:p>
        </w:tc>
      </w:tr>
      <w:tr w14:paraId="16C80420">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400" w:type="pct"/>
            <w:vMerge w:val="restart"/>
            <w:shd w:val="clear" w:color="auto" w:fill="auto"/>
            <w:vAlign w:val="center"/>
          </w:tcPr>
          <w:p w14:paraId="048E19DF">
            <w:pPr>
              <w:spacing w:before="31" w:beforeLines="10" w:after="62" w:afterLines="2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申报与审查程序</w:t>
            </w:r>
          </w:p>
        </w:tc>
        <w:tc>
          <w:tcPr>
            <w:tcW w:w="482" w:type="pct"/>
            <w:vMerge w:val="restart"/>
            <w:shd w:val="clear" w:color="auto" w:fill="auto"/>
            <w:vAlign w:val="center"/>
          </w:tcPr>
          <w:p w14:paraId="5A8345EB">
            <w:pPr>
              <w:spacing w:before="31" w:beforeLines="10" w:after="62" w:afterLines="20" w:line="280" w:lineRule="exact"/>
              <w:ind w:firstLine="0" w:firstLineChars="0"/>
              <w:jc w:val="center"/>
              <w:rPr>
                <w:rFonts w:hint="eastAsia" w:ascii="汉仪书宋一简" w:eastAsia="汉仪书宋一简"/>
                <w:kern w:val="0"/>
                <w:sz w:val="20"/>
              </w:rPr>
            </w:pPr>
            <w:r>
              <w:rPr>
                <w:rFonts w:hint="eastAsia" w:ascii="汉仪书宋一简" w:eastAsia="汉仪书宋一简"/>
                <w:kern w:val="0"/>
                <w:sz w:val="20"/>
              </w:rPr>
              <w:t>申报</w:t>
            </w:r>
          </w:p>
        </w:tc>
        <w:tc>
          <w:tcPr>
            <w:tcW w:w="4116" w:type="pct"/>
            <w:shd w:val="clear" w:color="auto" w:fill="auto"/>
            <w:vAlign w:val="center"/>
          </w:tcPr>
          <w:p w14:paraId="791E3444">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经营者集中达到国务院规定的申报标准的，经营者</w:t>
            </w:r>
            <w:r>
              <w:rPr>
                <w:rFonts w:hint="eastAsia" w:ascii="汉仪书宋一简" w:eastAsia="汉仪书宋一简"/>
                <w:bCs/>
                <w:kern w:val="0"/>
                <w:sz w:val="20"/>
              </w:rPr>
              <w:t>应当</w:t>
            </w:r>
            <w:r>
              <w:rPr>
                <w:rFonts w:hint="eastAsia" w:ascii="汉仪书宋一简" w:eastAsia="汉仪书宋一简"/>
                <w:kern w:val="0"/>
                <w:sz w:val="20"/>
              </w:rPr>
              <w:t>事先向国务院反垄断执法机构申报。营者集中未达到国务院规定的申报标准，但有证据证明该经营者集中具有或者可能具有排除、限制竞争效果的，国务院反垄断执法机构可以要求经营者申报</w:t>
            </w:r>
          </w:p>
        </w:tc>
      </w:tr>
      <w:tr w14:paraId="41A695A7">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400" w:type="pct"/>
            <w:vMerge w:val="continue"/>
            <w:shd w:val="clear" w:color="auto" w:fill="auto"/>
            <w:vAlign w:val="center"/>
          </w:tcPr>
          <w:p w14:paraId="1252F700">
            <w:pPr>
              <w:spacing w:before="31" w:beforeLines="10" w:after="62" w:afterLines="20" w:line="280" w:lineRule="exact"/>
              <w:ind w:firstLine="0" w:firstLineChars="0"/>
              <w:jc w:val="center"/>
              <w:rPr>
                <w:rFonts w:hint="eastAsia" w:ascii="汉仪中黑简" w:eastAsia="汉仪中黑简"/>
                <w:bCs/>
                <w:kern w:val="0"/>
                <w:sz w:val="20"/>
              </w:rPr>
            </w:pPr>
          </w:p>
        </w:tc>
        <w:tc>
          <w:tcPr>
            <w:tcW w:w="482" w:type="pct"/>
            <w:vMerge w:val="continue"/>
            <w:shd w:val="clear" w:color="auto" w:fill="auto"/>
            <w:vAlign w:val="center"/>
          </w:tcPr>
          <w:p w14:paraId="13DA7765">
            <w:pPr>
              <w:spacing w:before="31" w:beforeLines="10" w:after="62" w:afterLines="20" w:line="280" w:lineRule="exact"/>
              <w:ind w:firstLine="0" w:firstLineChars="0"/>
              <w:jc w:val="center"/>
              <w:rPr>
                <w:rFonts w:hint="eastAsia" w:ascii="汉仪书宋一简" w:eastAsia="汉仪书宋一简"/>
                <w:kern w:val="0"/>
                <w:sz w:val="20"/>
              </w:rPr>
            </w:pPr>
          </w:p>
        </w:tc>
        <w:tc>
          <w:tcPr>
            <w:tcW w:w="4116" w:type="pct"/>
            <w:shd w:val="clear" w:color="auto" w:fill="auto"/>
            <w:vAlign w:val="center"/>
          </w:tcPr>
          <w:p w14:paraId="3F23209A">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下列情形不必申报：（1）参与集中的一个经营者拥有其他每个经营者50%以上有表决权的股份或资产的；（2）参与集中的每个经营者50%以上有表决权的股份或资产被同一个未参与集中的经营者拥有的</w:t>
            </w:r>
          </w:p>
          <w:p w14:paraId="3ED99BAD">
            <w:pPr>
              <w:spacing w:before="31" w:beforeLines="10" w:after="62" w:afterLines="20" w:line="280" w:lineRule="exact"/>
              <w:ind w:firstLine="0" w:firstLineChars="0"/>
              <w:rPr>
                <w:rFonts w:hint="default" w:ascii="汉仪书宋一简" w:eastAsia="汉仪书宋一简"/>
                <w:kern w:val="0"/>
                <w:sz w:val="20"/>
                <w:lang w:val="en-US" w:eastAsia="zh-CN"/>
              </w:rPr>
            </w:pPr>
            <w:r>
              <w:rPr>
                <w:rFonts w:hint="eastAsia" w:ascii="汉仪书宋一简" w:eastAsia="汉仪书宋一简"/>
                <w:color w:val="FF0000"/>
                <w:kern w:val="0"/>
                <w:sz w:val="20"/>
                <w:lang w:val="en-US" w:eastAsia="zh-CN"/>
              </w:rPr>
              <w:t>母子集中、兄弟集中不需要申报 集中之前已经存在控制关系</w:t>
            </w:r>
          </w:p>
        </w:tc>
      </w:tr>
      <w:tr w14:paraId="393A0118">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400" w:type="pct"/>
            <w:vMerge w:val="continue"/>
            <w:shd w:val="clear" w:color="auto" w:fill="auto"/>
            <w:vAlign w:val="center"/>
          </w:tcPr>
          <w:p w14:paraId="2EC7FC1D">
            <w:pPr>
              <w:spacing w:before="31" w:beforeLines="10" w:after="62" w:afterLines="20" w:line="280" w:lineRule="exact"/>
              <w:ind w:firstLine="0" w:firstLineChars="0"/>
              <w:jc w:val="center"/>
              <w:rPr>
                <w:rFonts w:hint="eastAsia" w:ascii="汉仪中黑简" w:eastAsia="汉仪中黑简"/>
                <w:bCs/>
                <w:kern w:val="0"/>
                <w:sz w:val="20"/>
              </w:rPr>
            </w:pPr>
          </w:p>
        </w:tc>
        <w:tc>
          <w:tcPr>
            <w:tcW w:w="482" w:type="pct"/>
            <w:vMerge w:val="restart"/>
            <w:shd w:val="clear" w:color="auto" w:fill="auto"/>
            <w:vAlign w:val="center"/>
          </w:tcPr>
          <w:p w14:paraId="491FB336">
            <w:pPr>
              <w:spacing w:before="31" w:beforeLines="10" w:after="62" w:afterLines="20" w:line="280" w:lineRule="exact"/>
              <w:ind w:firstLine="0" w:firstLineChars="0"/>
              <w:jc w:val="center"/>
              <w:rPr>
                <w:rFonts w:hint="eastAsia" w:ascii="汉仪书宋一简" w:eastAsia="汉仪书宋一简"/>
                <w:kern w:val="0"/>
                <w:sz w:val="20"/>
              </w:rPr>
            </w:pPr>
            <w:r>
              <w:rPr>
                <w:rFonts w:hint="eastAsia" w:ascii="汉仪书宋一简" w:eastAsia="汉仪书宋一简"/>
                <w:kern w:val="0"/>
                <w:sz w:val="20"/>
              </w:rPr>
              <w:t>审查</w:t>
            </w:r>
          </w:p>
        </w:tc>
        <w:tc>
          <w:tcPr>
            <w:tcW w:w="4116" w:type="pct"/>
            <w:shd w:val="clear" w:color="auto" w:fill="auto"/>
            <w:vAlign w:val="center"/>
          </w:tcPr>
          <w:p w14:paraId="602AEDD1">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（1）初步审查 → 进一步审查 → 决定</w:t>
            </w:r>
          </w:p>
          <w:p w14:paraId="69F2448A">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w w:val="90"/>
                <w:kern w:val="0"/>
                <w:sz w:val="20"/>
              </w:rPr>
              <w:t>（2）进一步审查的期限为90天</w:t>
            </w:r>
            <w:r>
              <w:rPr>
                <w:rFonts w:hint="eastAsia" w:ascii="汉仪书宋一简" w:eastAsia="汉仪书宋一简"/>
                <w:kern w:val="0"/>
                <w:sz w:val="20"/>
              </w:rPr>
              <w:t>，特殊情况可延长最多60天：经营者同意延长审查期限的，经营者提交的文件、资料不准确需要进一步核实的，经营者申报后有关情况发生重大变化的</w:t>
            </w:r>
          </w:p>
          <w:p w14:paraId="0E3C4544">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3）停表：有下列情形之一的，国务院反垄断执法机构可以决定中止计算经营者集中的审查期限并书面通知经营者：经营者未按照规定提交文件、资料，导致审查工作无法进行；出现对经营者集中审查具有重大影响的新情况、新事实，不经核实将导致审查工作无法进行；需要对经营者集中附加的限制性条件进一步评估，且经营者提出中止请求。自中止计算审查期限的情形消除之日起，审查期限继续计算，国务院反垄断执法机构应当书面通知经营者</w:t>
            </w:r>
          </w:p>
        </w:tc>
      </w:tr>
      <w:tr w14:paraId="54F0CA63">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400" w:type="pct"/>
            <w:vMerge w:val="continue"/>
            <w:shd w:val="clear" w:color="auto" w:fill="auto"/>
            <w:vAlign w:val="center"/>
          </w:tcPr>
          <w:p w14:paraId="0148C2D3">
            <w:pPr>
              <w:spacing w:before="31" w:beforeLines="10" w:after="62" w:afterLines="20" w:line="280" w:lineRule="exact"/>
              <w:ind w:firstLine="0" w:firstLineChars="0"/>
              <w:jc w:val="center"/>
              <w:rPr>
                <w:rFonts w:hint="eastAsia" w:ascii="汉仪中黑简" w:eastAsia="汉仪中黑简"/>
                <w:bCs/>
                <w:sz w:val="20"/>
              </w:rPr>
            </w:pPr>
          </w:p>
        </w:tc>
        <w:tc>
          <w:tcPr>
            <w:tcW w:w="482" w:type="pct"/>
            <w:vMerge w:val="continue"/>
            <w:shd w:val="clear" w:color="auto" w:fill="auto"/>
            <w:vAlign w:val="center"/>
          </w:tcPr>
          <w:p w14:paraId="5F66C89B">
            <w:pPr>
              <w:spacing w:before="31" w:beforeLines="10" w:after="62" w:afterLines="20" w:line="280" w:lineRule="exact"/>
              <w:ind w:firstLine="0" w:firstLineChars="0"/>
              <w:jc w:val="center"/>
              <w:rPr>
                <w:rFonts w:hint="eastAsia" w:ascii="汉仪书宋一简" w:eastAsia="汉仪书宋一简"/>
                <w:sz w:val="20"/>
              </w:rPr>
            </w:pPr>
          </w:p>
        </w:tc>
        <w:tc>
          <w:tcPr>
            <w:tcW w:w="4116" w:type="pct"/>
            <w:shd w:val="clear" w:color="auto" w:fill="auto"/>
            <w:vAlign w:val="center"/>
          </w:tcPr>
          <w:p w14:paraId="052AC5BE">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对外资并购境内企业或其他方式参与经营者集中，涉及国家安全的，还应进行国家安全审查</w:t>
            </w:r>
          </w:p>
        </w:tc>
      </w:tr>
      <w:tr w14:paraId="392E37AA">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400" w:type="pct"/>
            <w:vMerge w:val="continue"/>
            <w:shd w:val="clear" w:color="auto" w:fill="auto"/>
            <w:vAlign w:val="center"/>
          </w:tcPr>
          <w:p w14:paraId="349112EE">
            <w:pPr>
              <w:spacing w:before="31" w:beforeLines="10" w:after="62" w:afterLines="20" w:line="280" w:lineRule="exact"/>
              <w:ind w:firstLine="0" w:firstLineChars="0"/>
              <w:jc w:val="center"/>
              <w:rPr>
                <w:rFonts w:hint="eastAsia" w:ascii="汉仪中黑简" w:eastAsia="汉仪中黑简"/>
                <w:bCs/>
                <w:kern w:val="0"/>
                <w:sz w:val="20"/>
              </w:rPr>
            </w:pPr>
          </w:p>
        </w:tc>
        <w:tc>
          <w:tcPr>
            <w:tcW w:w="482" w:type="pct"/>
            <w:shd w:val="clear" w:color="auto" w:fill="auto"/>
            <w:vAlign w:val="center"/>
          </w:tcPr>
          <w:p w14:paraId="3C8FFB92">
            <w:pPr>
              <w:spacing w:before="31" w:beforeLines="10" w:after="62" w:afterLines="20" w:line="280" w:lineRule="exact"/>
              <w:ind w:firstLine="0" w:firstLineChars="0"/>
              <w:jc w:val="center"/>
              <w:rPr>
                <w:rFonts w:hint="eastAsia" w:ascii="汉仪书宋一简" w:eastAsia="汉仪书宋一简"/>
                <w:kern w:val="0"/>
                <w:sz w:val="20"/>
              </w:rPr>
            </w:pPr>
            <w:r>
              <w:rPr>
                <w:rFonts w:hint="eastAsia" w:ascii="汉仪书宋一简" w:eastAsia="汉仪书宋一简"/>
                <w:kern w:val="0"/>
                <w:sz w:val="20"/>
              </w:rPr>
              <w:t>因素</w:t>
            </w:r>
          </w:p>
        </w:tc>
        <w:tc>
          <w:tcPr>
            <w:tcW w:w="4116" w:type="pct"/>
            <w:shd w:val="clear" w:color="auto" w:fill="auto"/>
            <w:vAlign w:val="center"/>
          </w:tcPr>
          <w:p w14:paraId="7AB2D1F9">
            <w:pPr>
              <w:tabs>
                <w:tab w:val="left" w:pos="1281"/>
              </w:tabs>
              <w:spacing w:before="31" w:beforeLines="10" w:after="62" w:afterLines="20" w:line="280" w:lineRule="exact"/>
              <w:ind w:firstLine="0" w:firstLineChars="0"/>
              <w:rPr>
                <w:rFonts w:hint="eastAsia" w:ascii="汉仪书宋一简" w:eastAsia="汉仪书宋一简"/>
                <w:w w:val="90"/>
                <w:kern w:val="0"/>
                <w:sz w:val="20"/>
              </w:rPr>
            </w:pPr>
            <w:r>
              <w:rPr>
                <w:rFonts w:hint="eastAsia" w:ascii="汉仪书宋一简" w:eastAsia="汉仪书宋一简"/>
                <w:kern w:val="0"/>
                <w:sz w:val="20"/>
              </w:rPr>
              <w:t>审查时，应当综合考虑下列因素：（1）参与集中的经营者在相关市场的市场份额及其对市场的控制力；（2）相关市场的市场集中度；（3）经营者集中对市场进入、技术进步的影响；（4）经营者集中对消费者和其他有关经营者的影响；（5）经营者集中对国民经济发展的影响</w:t>
            </w:r>
          </w:p>
        </w:tc>
      </w:tr>
      <w:tr w14:paraId="5A27944C">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400" w:type="pct"/>
            <w:shd w:val="clear" w:color="auto" w:fill="auto"/>
            <w:vAlign w:val="center"/>
          </w:tcPr>
          <w:p w14:paraId="3D1A587D">
            <w:pPr>
              <w:spacing w:before="31" w:beforeLines="10" w:after="62" w:afterLines="2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决定</w:t>
            </w:r>
          </w:p>
        </w:tc>
        <w:tc>
          <w:tcPr>
            <w:tcW w:w="4599" w:type="pct"/>
            <w:gridSpan w:val="2"/>
            <w:shd w:val="clear" w:color="auto" w:fill="auto"/>
            <w:vAlign w:val="center"/>
          </w:tcPr>
          <w:p w14:paraId="36C1842F">
            <w:pPr>
              <w:spacing w:before="31" w:beforeLines="10" w:after="62" w:afterLines="20" w:line="280" w:lineRule="exact"/>
              <w:ind w:firstLine="0" w:firstLineChars="0"/>
              <w:rPr>
                <w:rFonts w:hint="eastAsia" w:ascii="汉仪书宋一简" w:eastAsia="汉仪书宋一简"/>
                <w:kern w:val="0"/>
                <w:sz w:val="20"/>
                <w:lang w:eastAsia="zh-CN"/>
              </w:rPr>
            </w:pPr>
            <w:r>
              <w:rPr>
                <w:rFonts w:hint="eastAsia" w:ascii="汉仪书宋一简" w:eastAsia="汉仪书宋一简"/>
                <w:kern w:val="0"/>
                <w:sz w:val="20"/>
              </w:rPr>
              <w:t>（1）经营者能够证明该集中对竞争产生的有利影响明显大于不利影响，或者符合社会公共利益的，国务院反垄断执法机构可以作出对经营者集中</w:t>
            </w:r>
            <w:r>
              <w:rPr>
                <w:rFonts w:hint="eastAsia" w:ascii="汉仪书宋一简" w:hAnsi="楷体" w:eastAsia="汉仪中黑简" w:cs="楷体"/>
                <w:color w:val="FF0000"/>
                <w:kern w:val="0"/>
                <w:sz w:val="20"/>
              </w:rPr>
              <w:t>不予禁止</w:t>
            </w:r>
            <w:r>
              <w:rPr>
                <w:rFonts w:hint="eastAsia" w:ascii="汉仪书宋一简" w:eastAsia="汉仪书宋一简"/>
                <w:kern w:val="0"/>
                <w:sz w:val="20"/>
              </w:rPr>
              <w:t>的决定</w:t>
            </w:r>
          </w:p>
          <w:p w14:paraId="38F8D192">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（2）对不予禁止的经营者集中，国务院反垄断执法机构可以决定</w:t>
            </w:r>
            <w:r>
              <w:rPr>
                <w:rFonts w:hint="eastAsia" w:ascii="汉仪书宋一简" w:hAnsi="楷体" w:eastAsia="汉仪中黑简" w:cs="楷体"/>
                <w:color w:val="FF0000"/>
                <w:kern w:val="0"/>
                <w:sz w:val="20"/>
              </w:rPr>
              <w:t>附加</w:t>
            </w:r>
            <w:r>
              <w:rPr>
                <w:rFonts w:hint="eastAsia" w:ascii="汉仪书宋一简" w:eastAsia="汉仪书宋一简"/>
                <w:kern w:val="0"/>
                <w:sz w:val="20"/>
              </w:rPr>
              <w:t>减少集中对竞争产生不利影响的</w:t>
            </w:r>
            <w:r>
              <w:rPr>
                <w:rFonts w:hint="eastAsia" w:ascii="汉仪书宋一简" w:hAnsi="楷体" w:eastAsia="汉仪中黑简" w:cs="楷体"/>
                <w:color w:val="FF0000"/>
                <w:kern w:val="0"/>
                <w:sz w:val="20"/>
              </w:rPr>
              <w:t>限制性条件</w:t>
            </w:r>
          </w:p>
          <w:p w14:paraId="3C8CA75B">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（3）经营者集中具有或可能具有排除、限制竞争效果的，国务院反垄断执法机构应当作出</w:t>
            </w:r>
            <w:r>
              <w:rPr>
                <w:rFonts w:hint="eastAsia" w:ascii="汉仪书宋一简" w:hAnsi="楷体" w:eastAsia="汉仪中黑简" w:cs="楷体"/>
                <w:color w:val="FF0000"/>
                <w:kern w:val="0"/>
                <w:sz w:val="20"/>
              </w:rPr>
              <w:t>禁止经营者集中</w:t>
            </w:r>
            <w:r>
              <w:rPr>
                <w:rFonts w:hint="eastAsia" w:ascii="汉仪书宋一简" w:eastAsia="汉仪书宋一简"/>
                <w:kern w:val="0"/>
                <w:sz w:val="20"/>
              </w:rPr>
              <w:t>的决定</w:t>
            </w:r>
          </w:p>
          <w:p w14:paraId="7AFD1550">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上述（2）和（3）的决定，应当及时向社会公开</w:t>
            </w:r>
          </w:p>
          <w:p w14:paraId="17422D02">
            <w:pPr>
              <w:spacing w:before="31" w:beforeLines="10" w:after="62" w:afterLines="20" w:line="280" w:lineRule="exact"/>
              <w:ind w:firstLine="0" w:firstLineChars="0"/>
              <w:rPr>
                <w:rFonts w:hint="default" w:ascii="汉仪书宋一简" w:eastAsia="汉仪书宋一简"/>
                <w:kern w:val="0"/>
                <w:sz w:val="20"/>
                <w:lang w:val="en-US" w:eastAsia="zh-CN"/>
              </w:rPr>
            </w:pPr>
            <w:r>
              <w:rPr>
                <w:rFonts w:hint="eastAsia" w:ascii="汉仪书宋一简" w:eastAsia="汉仪书宋一简"/>
                <w:color w:val="FF0000"/>
                <w:kern w:val="0"/>
                <w:sz w:val="20"/>
                <w:lang w:val="en-US" w:eastAsia="zh-CN"/>
              </w:rPr>
              <w:t>绝大多数经营者集中不予禁止</w:t>
            </w:r>
          </w:p>
        </w:tc>
      </w:tr>
      <w:tr w14:paraId="548B9BBE">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400" w:type="pct"/>
            <w:shd w:val="clear" w:color="auto" w:fill="auto"/>
            <w:vAlign w:val="center"/>
          </w:tcPr>
          <w:p w14:paraId="3B7119BA">
            <w:pPr>
              <w:spacing w:before="31" w:beforeLines="10" w:after="62" w:afterLines="2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后果</w:t>
            </w:r>
          </w:p>
        </w:tc>
        <w:tc>
          <w:tcPr>
            <w:tcW w:w="4599" w:type="pct"/>
            <w:gridSpan w:val="2"/>
            <w:shd w:val="clear" w:color="auto" w:fill="auto"/>
            <w:vAlign w:val="center"/>
          </w:tcPr>
          <w:p w14:paraId="7CF4C08B">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hAnsiTheme="minorEastAsia"/>
                <w:kern w:val="0"/>
                <w:sz w:val="20"/>
              </w:rPr>
              <w:t>具有或者可能具有排除、限制竞争效果的，责令停止实施集中、限期处分股份或者资产、限期转让营业以及采取其他必要措施恢复到集中前的状态，处罚款；不具有排除、限制竞争效果的，处罚款</w:t>
            </w:r>
          </w:p>
        </w:tc>
      </w:tr>
    </w:tbl>
    <w:p w14:paraId="5951C118">
      <w:pPr>
        <w:ind w:firstLine="420"/>
        <w:rPr>
          <w:rFonts w:hint="eastAsia" w:ascii="汉仪书宋二简"/>
          <w:b/>
          <w:bCs/>
          <w:kern w:val="0"/>
        </w:rPr>
      </w:pPr>
    </w:p>
    <w:p w14:paraId="0AE29C9F">
      <w:pPr>
        <w:ind w:firstLine="420"/>
        <w:rPr>
          <w:rFonts w:hint="eastAsia" w:ascii="汉仪中黑简" w:eastAsia="汉仪中黑简"/>
          <w:kern w:val="0"/>
        </w:rPr>
      </w:pPr>
      <w:r>
        <w:rPr>
          <w:rFonts w:hint="eastAsia" w:eastAsia="汉仪粗黑简"/>
          <w:color w:val="FF0000"/>
          <w:lang w:val="zh-CN"/>
        </w:rPr>
        <w:drawing>
          <wp:anchor distT="0" distB="0" distL="114300" distR="114300" simplePos="0" relativeHeight="251660288" behindDoc="0" locked="0" layoutInCell="1" allowOverlap="1">
            <wp:simplePos x="0" y="0"/>
            <wp:positionH relativeFrom="column">
              <wp:posOffset>76200</wp:posOffset>
            </wp:positionH>
            <wp:positionV relativeFrom="paragraph">
              <wp:posOffset>66675</wp:posOffset>
            </wp:positionV>
            <wp:extent cx="161925" cy="161925"/>
            <wp:effectExtent l="0" t="0" r="3175" b="3175"/>
            <wp:wrapNone/>
            <wp:docPr id="2146165658" name="图形 2146165658" descr="星形 纯色填充"/>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6165658" name="图形 2146165658" descr="星形 纯色填充"/>
                    <pic:cNvPicPr>
                      <a:picLocks noChangeAspect="1"/>
                    </pic:cNvPicPr>
                  </pic:nvPicPr>
                  <pic:blipFill>
                    <a:blip r:embed="rId6" cstate="print">
                      <a:extLst>
                        <a:ext uri="{28A0092B-C50C-407E-A947-70E740481C1C}">
                          <a14:useLocalDpi xmlns:a14="http://schemas.microsoft.com/office/drawing/2010/main" val="0"/>
                        </a:ext>
                        <a:ext uri="{96DAC541-7B7A-43D3-8B79-37D633B846F1}">
                          <asvg:svgBlip xmlns:asvg="http://schemas.microsoft.com/office/drawing/2016/SVG/main" r:embed="rId7"/>
                        </a:ext>
                      </a:extLst>
                    </a:blip>
                    <a:stretch>
                      <a:fillRect/>
                    </a:stretch>
                  </pic:blipFill>
                  <pic:spPr>
                    <a:xfrm>
                      <a:off x="0" y="0"/>
                      <a:ext cx="162000" cy="162000"/>
                    </a:xfrm>
                    <a:prstGeom prst="rect">
                      <a:avLst/>
                    </a:prstGeom>
                  </pic:spPr>
                </pic:pic>
              </a:graphicData>
            </a:graphic>
          </wp:anchor>
        </w:drawing>
      </w:r>
      <w:r>
        <w:rPr>
          <w:rFonts w:hint="eastAsia" w:ascii="汉仪粗黑简" w:eastAsia="汉仪粗黑简"/>
          <w:color w:val="FF0000"/>
          <w:kern w:val="0"/>
        </w:rPr>
        <w:t>补充：</w:t>
      </w:r>
      <w:r>
        <w:rPr>
          <w:rFonts w:hint="eastAsia" w:ascii="汉仪中黑简" w:eastAsia="汉仪中黑简"/>
          <w:kern w:val="0"/>
        </w:rPr>
        <w:t>《反垄断法》上的罚款数额</w:t>
      </w:r>
    </w:p>
    <w:p w14:paraId="329F3603">
      <w:pPr>
        <w:ind w:firstLine="420"/>
        <w:rPr>
          <w:rFonts w:hint="eastAsia" w:ascii="汉仪书宋二简"/>
          <w:kern w:val="0"/>
        </w:rPr>
      </w:pPr>
      <w:r>
        <w:rPr>
          <w:rFonts w:hint="eastAsia" w:ascii="汉仪书宋二简"/>
          <w:kern w:val="0"/>
        </w:rPr>
        <w:t>对于上述三种市场型垄断行为，即垄断协议、滥用市场支配地位和经营者集中，罚款数额一般是上一年度销售额1%以上10%以下，但是有几个例外：</w:t>
      </w:r>
    </w:p>
    <w:p w14:paraId="20E7D80D">
      <w:pPr>
        <w:ind w:firstLine="420"/>
        <w:rPr>
          <w:rFonts w:hint="eastAsia" w:ascii="汉仪书宋二简"/>
          <w:kern w:val="0"/>
        </w:rPr>
      </w:pPr>
      <w:r>
        <w:rPr>
          <w:rFonts w:hint="eastAsia" w:ascii="汉仪书宋二简"/>
          <w:kern w:val="0"/>
        </w:rPr>
        <w:t>1．经营者违法实施集中，不具有排除、限制竞争效果的，处五百万元以下的罚款；</w:t>
      </w:r>
    </w:p>
    <w:p w14:paraId="79581EB8">
      <w:pPr>
        <w:ind w:firstLine="420"/>
        <w:rPr>
          <w:rFonts w:hint="eastAsia" w:ascii="汉仪书宋二简"/>
          <w:kern w:val="0"/>
        </w:rPr>
      </w:pPr>
      <w:r>
        <w:rPr>
          <w:rFonts w:hint="eastAsia" w:ascii="汉仪书宋二简"/>
          <w:kern w:val="0"/>
        </w:rPr>
        <w:t>2．对于达成并实施垄断协议，上一年度没有销售额的，处500万元以下的罚款；尚未实施所达成的垄断协议的，可以处300万元以下的罚款。经营者的法定代表人、主要负责人和直接责任人员对达成垄断协议负有个人责任的，可以处100万元以下的罚款。行业协会组织本行业的经营者达成垄断协议的，处300万元以下罚款。</w:t>
      </w:r>
    </w:p>
    <w:p w14:paraId="449F7B4B">
      <w:pPr>
        <w:ind w:firstLine="420"/>
        <w:rPr>
          <w:rFonts w:hint="eastAsia" w:ascii="汉仪书宋二简"/>
          <w:kern w:val="0"/>
        </w:rPr>
      </w:pPr>
      <w:r>
        <w:rPr>
          <w:rFonts w:hint="eastAsia" w:ascii="汉仪书宋二简"/>
          <w:kern w:val="0"/>
        </w:rPr>
        <w:t>3．加重处罚：情节特别严重、影响特别恶劣、造成特别严重后果的，可在正常计算的罚款数额的2倍以上5倍以下确定具体罚款数额。</w:t>
      </w:r>
    </w:p>
    <w:p w14:paraId="3549CF3A">
      <w:pPr>
        <w:ind w:firstLine="420"/>
        <w:rPr>
          <w:rFonts w:hint="eastAsia" w:ascii="汉仪书宋二简"/>
          <w:kern w:val="0"/>
        </w:rPr>
      </w:pPr>
    </w:p>
    <w:p w14:paraId="6B9FBBE2">
      <w:pPr>
        <w:pStyle w:val="3"/>
        <w:rPr>
          <w:rFonts w:hint="eastAsia"/>
        </w:rPr>
      </w:pPr>
      <w:r>
        <w:rPr>
          <w:rFonts w:hint="eastAsia"/>
        </w:rPr>
        <w:t>四、行政垄断</w:t>
      </w:r>
    </w:p>
    <w:p w14:paraId="5C92A13E">
      <w:pPr>
        <w:ind w:firstLine="480"/>
        <w:rPr>
          <w:rFonts w:hint="eastAsia" w:ascii="汉仪书宋二简"/>
          <w:b/>
          <w:sz w:val="24"/>
          <w:szCs w:val="24"/>
        </w:rPr>
      </w:pPr>
    </w:p>
    <w:tbl>
      <w:tblPr>
        <w:tblStyle w:val="8"/>
        <w:tblW w:w="8505" w:type="dxa"/>
        <w:jc w:val="center"/>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Layout w:type="autofit"/>
        <w:tblCellMar>
          <w:top w:w="0" w:type="dxa"/>
          <w:left w:w="108" w:type="dxa"/>
          <w:bottom w:w="0" w:type="dxa"/>
          <w:right w:w="108" w:type="dxa"/>
        </w:tblCellMar>
      </w:tblPr>
      <w:tblGrid>
        <w:gridCol w:w="1266"/>
        <w:gridCol w:w="7239"/>
      </w:tblGrid>
      <w:tr w14:paraId="56AB638C">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744" w:type="pct"/>
            <w:shd w:val="clear" w:color="auto" w:fill="auto"/>
            <w:vAlign w:val="center"/>
          </w:tcPr>
          <w:p w14:paraId="69F7C8CE">
            <w:pPr>
              <w:spacing w:before="31" w:beforeLines="10" w:after="62" w:afterLines="2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主体</w:t>
            </w:r>
          </w:p>
        </w:tc>
        <w:tc>
          <w:tcPr>
            <w:tcW w:w="4256" w:type="pct"/>
            <w:shd w:val="clear" w:color="auto" w:fill="auto"/>
            <w:vAlign w:val="center"/>
          </w:tcPr>
          <w:p w14:paraId="61DF82D7">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color w:val="FF0000"/>
                <w:kern w:val="0"/>
                <w:sz w:val="20"/>
              </w:rPr>
              <w:t>行政机关以及法律、法规授权的具有管理公共事务职能的组织</w:t>
            </w:r>
          </w:p>
        </w:tc>
      </w:tr>
      <w:tr w14:paraId="1CE4AE94">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744" w:type="pct"/>
            <w:vMerge w:val="restart"/>
            <w:shd w:val="clear" w:color="auto" w:fill="auto"/>
            <w:vAlign w:val="center"/>
          </w:tcPr>
          <w:p w14:paraId="0816CBDA">
            <w:pPr>
              <w:spacing w:before="31" w:beforeLines="10" w:after="62" w:afterLines="2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行为</w:t>
            </w:r>
          </w:p>
          <w:p w14:paraId="6D972370">
            <w:pPr>
              <w:spacing w:before="31" w:beforeLines="10" w:after="62" w:afterLines="2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（滥用行政权力排除限制竞争）</w:t>
            </w:r>
          </w:p>
        </w:tc>
        <w:tc>
          <w:tcPr>
            <w:tcW w:w="4256" w:type="pct"/>
            <w:shd w:val="clear" w:color="auto" w:fill="auto"/>
            <w:vAlign w:val="center"/>
          </w:tcPr>
          <w:p w14:paraId="5A377732">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强制交易：限定或变相限定单位或个人经营、购买、使用其指定的经营者提供的商品</w:t>
            </w:r>
          </w:p>
        </w:tc>
      </w:tr>
      <w:tr w14:paraId="6D032D3C">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744" w:type="pct"/>
            <w:vMerge w:val="continue"/>
            <w:shd w:val="clear" w:color="auto" w:fill="auto"/>
            <w:vAlign w:val="center"/>
          </w:tcPr>
          <w:p w14:paraId="0C0A2F72">
            <w:pPr>
              <w:spacing w:before="31" w:beforeLines="10" w:after="62" w:afterLines="20" w:line="280" w:lineRule="exact"/>
              <w:ind w:firstLine="0" w:firstLineChars="0"/>
              <w:jc w:val="center"/>
              <w:rPr>
                <w:rFonts w:hint="eastAsia" w:ascii="汉仪中黑简" w:eastAsia="汉仪中黑简"/>
                <w:bCs/>
                <w:kern w:val="0"/>
                <w:sz w:val="20"/>
              </w:rPr>
            </w:pPr>
          </w:p>
        </w:tc>
        <w:tc>
          <w:tcPr>
            <w:tcW w:w="4256" w:type="pct"/>
            <w:shd w:val="clear" w:color="auto" w:fill="auto"/>
            <w:vAlign w:val="center"/>
          </w:tcPr>
          <w:p w14:paraId="7DCAED6B">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地区封锁：（1）妨碍商品在地区之间自由流通；常见手段有：对外地商品设定歧视性收费项目、实行歧视性收费标准，或规定歧视性价格；对外地商品规定与本地同类商品不同的技术要求、检验标准，或对外地商品采取重复检验、重复认证等歧视性技术措施，限制外地商品进入本地市场；采取专门针对外地商品的行政许可，限制外地商品进入本地市场；设置关卡或采取其他手段，阻碍外地商品进入或本地商品运出。（2）排斥或者限制外地经营者参加本地的招投标活动。（3）排斥或者限制外地经营者在本地投资或设立分支机构</w:t>
            </w:r>
          </w:p>
        </w:tc>
      </w:tr>
      <w:tr w14:paraId="4EF24C0E">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744" w:type="pct"/>
            <w:vMerge w:val="continue"/>
            <w:shd w:val="clear" w:color="auto" w:fill="auto"/>
            <w:vAlign w:val="center"/>
          </w:tcPr>
          <w:p w14:paraId="2DEB514E">
            <w:pPr>
              <w:spacing w:before="31" w:beforeLines="10" w:after="62" w:afterLines="20" w:line="280" w:lineRule="exact"/>
              <w:ind w:firstLine="0" w:firstLineChars="0"/>
              <w:jc w:val="center"/>
              <w:rPr>
                <w:rFonts w:hint="eastAsia" w:ascii="汉仪中黑简" w:eastAsia="汉仪中黑简"/>
                <w:bCs/>
                <w:kern w:val="0"/>
                <w:sz w:val="20"/>
              </w:rPr>
            </w:pPr>
          </w:p>
        </w:tc>
        <w:tc>
          <w:tcPr>
            <w:tcW w:w="4256" w:type="pct"/>
            <w:shd w:val="clear" w:color="auto" w:fill="auto"/>
            <w:vAlign w:val="center"/>
          </w:tcPr>
          <w:p w14:paraId="379AF694">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强制经营者实施垄断行为</w:t>
            </w:r>
          </w:p>
        </w:tc>
      </w:tr>
      <w:tr w14:paraId="5E647A7C">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744" w:type="pct"/>
            <w:vMerge w:val="continue"/>
            <w:shd w:val="clear" w:color="auto" w:fill="auto"/>
            <w:vAlign w:val="center"/>
          </w:tcPr>
          <w:p w14:paraId="405C8915">
            <w:pPr>
              <w:spacing w:before="31" w:beforeLines="10" w:after="62" w:afterLines="20" w:line="280" w:lineRule="exact"/>
              <w:ind w:firstLine="0" w:firstLineChars="0"/>
              <w:jc w:val="center"/>
              <w:rPr>
                <w:rFonts w:hint="eastAsia" w:ascii="汉仪中黑简" w:eastAsia="汉仪中黑简"/>
                <w:bCs/>
                <w:kern w:val="0"/>
                <w:sz w:val="20"/>
              </w:rPr>
            </w:pPr>
          </w:p>
        </w:tc>
        <w:tc>
          <w:tcPr>
            <w:tcW w:w="4256" w:type="pct"/>
            <w:shd w:val="clear" w:color="auto" w:fill="auto"/>
            <w:vAlign w:val="center"/>
          </w:tcPr>
          <w:p w14:paraId="3903B5DC">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制定含有排除、限制竞争内容的规定</w:t>
            </w:r>
            <w:r>
              <w:rPr>
                <w:rFonts w:hint="eastAsia" w:ascii="汉仪书宋一简" w:eastAsia="汉仪书宋一简" w:hAnsiTheme="minorEastAsia"/>
                <w:color w:val="FF0000"/>
                <w:kern w:val="0"/>
                <w:sz w:val="20"/>
                <w:lang w:eastAsia="zh-CN"/>
              </w:rPr>
              <w:t>（</w:t>
            </w:r>
            <w:r>
              <w:rPr>
                <w:rFonts w:hint="eastAsia" w:ascii="汉仪书宋一简" w:eastAsia="汉仪书宋一简" w:hAnsiTheme="minorEastAsia"/>
                <w:color w:val="FF0000"/>
                <w:kern w:val="0"/>
                <w:sz w:val="20"/>
                <w:lang w:val="en-US" w:eastAsia="zh-CN"/>
              </w:rPr>
              <w:t>抽象行政行为</w:t>
            </w:r>
            <w:r>
              <w:rPr>
                <w:rFonts w:hint="eastAsia" w:ascii="汉仪书宋一简" w:eastAsia="汉仪书宋一简" w:hAnsiTheme="minorEastAsia"/>
                <w:color w:val="FF0000"/>
                <w:kern w:val="0"/>
                <w:sz w:val="20"/>
                <w:lang w:eastAsia="zh-CN"/>
              </w:rPr>
              <w:t>）</w:t>
            </w:r>
          </w:p>
        </w:tc>
      </w:tr>
      <w:tr w14:paraId="2EEFEFB7">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744" w:type="pct"/>
            <w:vMerge w:val="continue"/>
            <w:shd w:val="clear" w:color="auto" w:fill="auto"/>
            <w:vAlign w:val="center"/>
          </w:tcPr>
          <w:p w14:paraId="4FBBBE6A">
            <w:pPr>
              <w:spacing w:before="31" w:beforeLines="10" w:after="62" w:afterLines="20" w:line="280" w:lineRule="exact"/>
              <w:ind w:firstLine="0" w:firstLineChars="0"/>
              <w:jc w:val="center"/>
              <w:rPr>
                <w:rFonts w:hint="eastAsia" w:ascii="汉仪中黑简" w:eastAsia="汉仪中黑简"/>
                <w:bCs/>
                <w:kern w:val="0"/>
                <w:sz w:val="20"/>
              </w:rPr>
            </w:pPr>
          </w:p>
        </w:tc>
        <w:tc>
          <w:tcPr>
            <w:tcW w:w="4256" w:type="pct"/>
            <w:shd w:val="clear" w:color="auto" w:fill="auto"/>
            <w:vAlign w:val="center"/>
          </w:tcPr>
          <w:p w14:paraId="7084BA67">
            <w:pPr>
              <w:spacing w:before="31" w:beforeLines="10" w:after="62" w:afterLines="20" w:line="280" w:lineRule="exact"/>
              <w:ind w:firstLine="0" w:firstLineChars="0"/>
              <w:rPr>
                <w:rFonts w:hint="eastAsia" w:ascii="汉仪书宋一简" w:eastAsia="汉仪书宋一简"/>
                <w:kern w:val="0"/>
                <w:sz w:val="20"/>
                <w:lang w:eastAsia="zh-CN"/>
              </w:rPr>
            </w:pPr>
            <w:r>
              <w:rPr>
                <w:rFonts w:hint="eastAsia" w:ascii="汉仪书宋一简" w:eastAsia="汉仪书宋一简" w:hAnsiTheme="minorEastAsia"/>
                <w:kern w:val="0"/>
                <w:sz w:val="20"/>
              </w:rPr>
              <w:t>通过与经营者签订合作协议、备忘录等方式，妨碍其他经营者进入相关市场或者对其他经营者实行不平等待遇</w:t>
            </w:r>
          </w:p>
        </w:tc>
      </w:tr>
      <w:tr w14:paraId="77EF9B3E">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744" w:type="pct"/>
            <w:shd w:val="clear" w:color="auto" w:fill="auto"/>
            <w:vAlign w:val="center"/>
          </w:tcPr>
          <w:p w14:paraId="45CC0158">
            <w:pPr>
              <w:spacing w:before="31" w:beforeLines="10" w:after="62" w:afterLines="2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后果</w:t>
            </w:r>
          </w:p>
        </w:tc>
        <w:tc>
          <w:tcPr>
            <w:tcW w:w="4256" w:type="pct"/>
            <w:shd w:val="clear" w:color="auto" w:fill="auto"/>
            <w:vAlign w:val="center"/>
          </w:tcPr>
          <w:p w14:paraId="3E5C59D8">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（1）由</w:t>
            </w:r>
            <w:r>
              <w:rPr>
                <w:rFonts w:hint="eastAsia" w:ascii="汉仪书宋一简" w:hAnsi="楷体" w:eastAsia="汉仪中黑简" w:cs="楷体"/>
                <w:color w:val="FF0000"/>
                <w:kern w:val="0"/>
                <w:sz w:val="20"/>
              </w:rPr>
              <w:t>上级机关</w:t>
            </w:r>
            <w:r>
              <w:rPr>
                <w:rFonts w:hint="eastAsia" w:ascii="汉仪书宋一简" w:eastAsia="汉仪书宋一简"/>
                <w:kern w:val="0"/>
                <w:sz w:val="20"/>
              </w:rPr>
              <w:t>责令改正；对直接负责的主管人员和其他直接责任人员依法给予处分。（2）国务院反垄断执法机构可以向有关上级机关提出依法处理的建议</w:t>
            </w:r>
          </w:p>
        </w:tc>
      </w:tr>
    </w:tbl>
    <w:p w14:paraId="43B9F2F8">
      <w:pPr>
        <w:ind w:left="0" w:leftChars="0" w:firstLine="0" w:firstLineChars="0"/>
        <w:rPr>
          <w:rFonts w:hint="eastAsia" w:ascii="汉仪书宋二简"/>
          <w:kern w:val="0"/>
        </w:rPr>
      </w:pPr>
    </w:p>
    <w:p w14:paraId="4FAAF74C">
      <w:pPr>
        <w:pStyle w:val="3"/>
        <w:rPr>
          <w:rFonts w:hint="eastAsia"/>
        </w:rPr>
      </w:pPr>
      <w:r>
        <w:rPr>
          <w:rFonts w:hint="eastAsia"/>
        </w:rPr>
        <w:t>五、反垄断调查机制</w:t>
      </w:r>
    </w:p>
    <w:p w14:paraId="133AE8CA">
      <w:pPr>
        <w:ind w:firstLine="480"/>
        <w:rPr>
          <w:rFonts w:hint="eastAsia" w:ascii="汉仪书宋二简"/>
          <w:b/>
          <w:sz w:val="24"/>
          <w:szCs w:val="24"/>
        </w:rPr>
      </w:pPr>
    </w:p>
    <w:tbl>
      <w:tblPr>
        <w:tblStyle w:val="8"/>
        <w:tblW w:w="8505" w:type="dxa"/>
        <w:jc w:val="center"/>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Layout w:type="autofit"/>
        <w:tblCellMar>
          <w:top w:w="0" w:type="dxa"/>
          <w:left w:w="108" w:type="dxa"/>
          <w:bottom w:w="0" w:type="dxa"/>
          <w:right w:w="108" w:type="dxa"/>
        </w:tblCellMar>
      </w:tblPr>
      <w:tblGrid>
        <w:gridCol w:w="1266"/>
        <w:gridCol w:w="7239"/>
      </w:tblGrid>
      <w:tr w14:paraId="5AA6C2C3">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744" w:type="pct"/>
            <w:vMerge w:val="restart"/>
            <w:shd w:val="clear" w:color="auto" w:fill="auto"/>
            <w:vAlign w:val="center"/>
          </w:tcPr>
          <w:p w14:paraId="6CDE0B54">
            <w:pPr>
              <w:spacing w:before="31" w:beforeLines="10" w:after="62" w:afterLines="2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机构职权</w:t>
            </w:r>
          </w:p>
        </w:tc>
        <w:tc>
          <w:tcPr>
            <w:tcW w:w="4256" w:type="pct"/>
            <w:shd w:val="clear" w:color="auto" w:fill="auto"/>
            <w:vAlign w:val="center"/>
          </w:tcPr>
          <w:p w14:paraId="1D6584DD">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国务院反垄断委员会负责组织、协调、指导反垄断工作，但不参与具体执法</w:t>
            </w:r>
          </w:p>
        </w:tc>
      </w:tr>
      <w:tr w14:paraId="05BBE84D">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744" w:type="pct"/>
            <w:vMerge w:val="continue"/>
            <w:shd w:val="clear" w:color="auto" w:fill="auto"/>
            <w:vAlign w:val="center"/>
          </w:tcPr>
          <w:p w14:paraId="4A8AA0AF">
            <w:pPr>
              <w:spacing w:before="31" w:beforeLines="10" w:after="62" w:afterLines="20" w:line="280" w:lineRule="exact"/>
              <w:ind w:firstLine="0" w:firstLineChars="0"/>
              <w:jc w:val="center"/>
              <w:rPr>
                <w:rFonts w:hint="eastAsia" w:ascii="汉仪中黑简" w:eastAsia="汉仪中黑简"/>
                <w:bCs/>
                <w:kern w:val="0"/>
                <w:sz w:val="20"/>
              </w:rPr>
            </w:pPr>
          </w:p>
        </w:tc>
        <w:tc>
          <w:tcPr>
            <w:tcW w:w="4256" w:type="pct"/>
            <w:shd w:val="clear" w:color="auto" w:fill="auto"/>
            <w:vAlign w:val="center"/>
          </w:tcPr>
          <w:p w14:paraId="43433E5A">
            <w:pPr>
              <w:spacing w:before="31" w:beforeLines="10" w:after="62" w:afterLines="20" w:line="280" w:lineRule="exact"/>
              <w:ind w:firstLine="0" w:firstLineChars="0"/>
              <w:rPr>
                <w:rFonts w:hint="eastAsia" w:ascii="汉仪书宋一简" w:eastAsia="汉仪书宋一简"/>
                <w:kern w:val="0"/>
                <w:sz w:val="20"/>
                <w:lang w:eastAsia="zh-CN"/>
              </w:rPr>
            </w:pPr>
            <w:r>
              <w:rPr>
                <w:rFonts w:hint="eastAsia" w:ascii="汉仪书宋一简" w:eastAsia="汉仪书宋一简"/>
                <w:kern w:val="0"/>
                <w:sz w:val="20"/>
              </w:rPr>
              <w:t>国务院反垄断执法机构享有执法权，根据需要可以授权省级政府相应机构负责有关反垄断执法工作。目前，国务院反垄断执法机构是指国家市场监督管理总局（由其下设的反垄断局具体负责），各</w:t>
            </w:r>
            <w:r>
              <w:rPr>
                <w:rFonts w:hint="eastAsia" w:ascii="汉仪书宋一简" w:hAnsi="楷体" w:eastAsia="汉仪中黑简" w:cs="楷体"/>
                <w:color w:val="FF0000"/>
                <w:kern w:val="0"/>
                <w:sz w:val="20"/>
              </w:rPr>
              <w:t>省、自治区、直辖市</w:t>
            </w:r>
            <w:r>
              <w:rPr>
                <w:rFonts w:hint="eastAsia" w:ascii="汉仪书宋一简" w:eastAsia="汉仪书宋一简"/>
                <w:kern w:val="0"/>
                <w:sz w:val="20"/>
              </w:rPr>
              <w:t>市场监管部门根据授权负责本行政区域内有关反垄断执法工作</w:t>
            </w:r>
            <w:r>
              <w:rPr>
                <w:rFonts w:hint="eastAsia" w:ascii="汉仪书宋一简" w:eastAsia="汉仪书宋一简"/>
                <w:kern w:val="0"/>
                <w:sz w:val="20"/>
                <w:lang w:eastAsia="zh-CN"/>
              </w:rPr>
              <w:t>（</w:t>
            </w:r>
            <w:r>
              <w:rPr>
                <w:rFonts w:hint="eastAsia" w:ascii="汉仪书宋一简" w:eastAsia="汉仪书宋一简"/>
                <w:color w:val="FF0000"/>
                <w:kern w:val="0"/>
                <w:sz w:val="20"/>
                <w:lang w:val="en-US" w:eastAsia="zh-CN"/>
              </w:rPr>
              <w:t>国省两级，不能往下</w:t>
            </w:r>
            <w:r>
              <w:rPr>
                <w:rFonts w:hint="eastAsia" w:ascii="汉仪书宋一简" w:eastAsia="汉仪书宋一简"/>
                <w:kern w:val="0"/>
                <w:sz w:val="20"/>
                <w:lang w:eastAsia="zh-CN"/>
              </w:rPr>
              <w:t>）</w:t>
            </w:r>
          </w:p>
        </w:tc>
      </w:tr>
      <w:tr w14:paraId="3710C426">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744" w:type="pct"/>
            <w:shd w:val="clear" w:color="auto" w:fill="auto"/>
            <w:vAlign w:val="center"/>
          </w:tcPr>
          <w:p w14:paraId="14CB9124">
            <w:pPr>
              <w:spacing w:before="31" w:beforeLines="10" w:after="62" w:afterLines="2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调查的中止、终止和恢复</w:t>
            </w:r>
          </w:p>
        </w:tc>
        <w:tc>
          <w:tcPr>
            <w:tcW w:w="4256" w:type="pct"/>
            <w:shd w:val="clear" w:color="auto" w:fill="auto"/>
            <w:vAlign w:val="center"/>
          </w:tcPr>
          <w:p w14:paraId="608BCA46">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（1）被调查的经营者承诺在反垄断执法机构认可的期限内采取具体措施消除该行为后果的，可以决定中止调查（决定应当载明承诺的具体内容）</w:t>
            </w:r>
          </w:p>
          <w:p w14:paraId="6DDBC21C">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（2）反垄断执法机构决定中止调查的，应当对经营者履行承诺的情况进行监督。经营者履行承诺的，反垄断执法机构可以决定终止调查</w:t>
            </w:r>
          </w:p>
          <w:p w14:paraId="22B28E7B">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（3）有下列情形之一的，反垄断执法机构应当恢复调查：经营者未履行承诺的；作出中止调查决定所依据的事实发生重大变化的；中止调查的决定是基于经营者提供的不完整或不真实的信息作出的</w:t>
            </w:r>
          </w:p>
        </w:tc>
      </w:tr>
      <w:tr w14:paraId="6539C235">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744" w:type="pct"/>
            <w:shd w:val="clear" w:color="auto" w:fill="auto"/>
            <w:vAlign w:val="center"/>
          </w:tcPr>
          <w:p w14:paraId="1941B9E0">
            <w:pPr>
              <w:spacing w:before="31" w:beforeLines="10" w:after="62" w:afterLines="2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救济</w:t>
            </w:r>
          </w:p>
        </w:tc>
        <w:tc>
          <w:tcPr>
            <w:tcW w:w="4256" w:type="pct"/>
            <w:shd w:val="clear" w:color="auto" w:fill="auto"/>
            <w:vAlign w:val="center"/>
          </w:tcPr>
          <w:p w14:paraId="09849893">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（1）对反垄断执法机构作出的关于经营者集中的决定不服的，复议前置</w:t>
            </w:r>
          </w:p>
          <w:p w14:paraId="3EDDFCD8">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kern w:val="0"/>
                <w:sz w:val="20"/>
              </w:rPr>
              <w:t>（2）对反垄断执法机构作出的其他决定不服的，可以依法申请行政复议或提起行政诉讼</w:t>
            </w:r>
          </w:p>
        </w:tc>
      </w:tr>
      <w:tr w14:paraId="1670038B">
        <w:tblPrEx>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CellMar>
            <w:top w:w="0" w:type="dxa"/>
            <w:left w:w="108" w:type="dxa"/>
            <w:bottom w:w="0" w:type="dxa"/>
            <w:right w:w="108" w:type="dxa"/>
          </w:tblCellMar>
        </w:tblPrEx>
        <w:trPr>
          <w:trHeight w:val="20" w:hRule="atLeast"/>
          <w:jc w:val="center"/>
        </w:trPr>
        <w:tc>
          <w:tcPr>
            <w:tcW w:w="744" w:type="pct"/>
            <w:shd w:val="clear" w:color="auto" w:fill="auto"/>
            <w:vAlign w:val="center"/>
          </w:tcPr>
          <w:p w14:paraId="73DC5FFD">
            <w:pPr>
              <w:spacing w:before="31" w:beforeLines="10" w:after="62" w:afterLines="20" w:line="280" w:lineRule="exact"/>
              <w:ind w:firstLine="0" w:firstLineChars="0"/>
              <w:jc w:val="center"/>
              <w:rPr>
                <w:rFonts w:hint="eastAsia" w:ascii="汉仪中黑简" w:eastAsia="汉仪中黑简"/>
                <w:bCs/>
                <w:kern w:val="0"/>
                <w:sz w:val="20"/>
              </w:rPr>
            </w:pPr>
            <w:r>
              <w:rPr>
                <w:rFonts w:hint="eastAsia" w:ascii="汉仪中黑简" w:eastAsia="汉仪中黑简"/>
                <w:bCs/>
                <w:kern w:val="0"/>
                <w:sz w:val="20"/>
              </w:rPr>
              <w:t>公益诉讼</w:t>
            </w:r>
          </w:p>
        </w:tc>
        <w:tc>
          <w:tcPr>
            <w:tcW w:w="4256" w:type="pct"/>
            <w:shd w:val="clear" w:color="auto" w:fill="auto"/>
            <w:vAlign w:val="center"/>
          </w:tcPr>
          <w:p w14:paraId="685B6CF6">
            <w:pPr>
              <w:spacing w:before="31" w:beforeLines="10" w:after="62" w:afterLines="20" w:line="280" w:lineRule="exact"/>
              <w:ind w:firstLine="0" w:firstLineChars="0"/>
              <w:rPr>
                <w:rFonts w:hint="eastAsia" w:ascii="汉仪书宋一简" w:eastAsia="汉仪书宋一简"/>
                <w:kern w:val="0"/>
                <w:sz w:val="20"/>
              </w:rPr>
            </w:pPr>
            <w:r>
              <w:rPr>
                <w:rFonts w:hint="eastAsia" w:ascii="汉仪书宋一简" w:eastAsia="汉仪书宋一简" w:hAnsiTheme="minorEastAsia"/>
                <w:kern w:val="0"/>
                <w:sz w:val="20"/>
              </w:rPr>
              <w:t>经营者实施垄断行为，损害社会公共利益的，设区的市级以上人民检察院可以依法向人民法院提起民事公益诉讼</w:t>
            </w:r>
          </w:p>
        </w:tc>
      </w:tr>
    </w:tbl>
    <w:p w14:paraId="0026A0AB">
      <w:pPr>
        <w:ind w:left="0" w:leftChars="0" w:firstLine="0" w:firstLineChars="0"/>
        <w:rPr>
          <w:rFonts w:hint="eastAsia" w:ascii="汉仪书宋二简"/>
          <w:b/>
          <w:sz w:val="24"/>
          <w:szCs w:val="24"/>
        </w:rPr>
      </w:pPr>
    </w:p>
    <w:p w14:paraId="63D00A60">
      <w:pPr>
        <w:tabs>
          <w:tab w:val="clear" w:pos="420"/>
        </w:tabs>
        <w:autoSpaceDE w:val="0"/>
        <w:autoSpaceDN w:val="0"/>
        <w:adjustRightInd w:val="0"/>
        <w:ind w:firstLine="0" w:firstLineChars="0"/>
        <w:jc w:val="left"/>
        <w:textAlignment w:val="center"/>
        <w:rPr>
          <w:rFonts w:ascii="汉仪粗宋简" w:hAnsi="Times New Roman" w:eastAsia="汉仪大宋简" w:cs="汉仪粗宋简"/>
          <w:color w:val="000000"/>
          <w:kern w:val="0"/>
          <w:position w:val="4"/>
          <w:sz w:val="26"/>
          <w:szCs w:val="26"/>
          <w:lang w:val="zh-CN"/>
        </w:rPr>
      </w:pPr>
      <w:r>
        <w:rPr>
          <w:rFonts w:hint="eastAsia" w:ascii="汉仪粗宋简" w:hAnsi="Times New Roman" w:eastAsia="汉仪大宋简" w:cs="汉仪粗宋简"/>
          <w:color w:val="000000"/>
          <w:kern w:val="0"/>
          <w:position w:val="4"/>
          <w:sz w:val="26"/>
          <w:szCs w:val="26"/>
          <w:lang w:val="zh-CN"/>
        </w:rPr>
        <w:t>六、典型不正当竞争行为</w:t>
      </w:r>
    </w:p>
    <w:p w14:paraId="2DB5E70A">
      <w:pPr>
        <w:ind w:firstLine="420"/>
        <w:rPr>
          <w:rFonts w:hint="eastAsia" w:ascii="汉仪书宋二简"/>
        </w:rPr>
      </w:pPr>
    </w:p>
    <w:p w14:paraId="3F2AE921">
      <w:pPr>
        <w:pStyle w:val="4"/>
        <w:ind w:firstLine="288" w:firstLineChars="120"/>
        <w:jc w:val="both"/>
        <w:rPr>
          <w:rFonts w:hint="eastAsia"/>
        </w:rPr>
      </w:pPr>
      <w:r>
        <w:rPr>
          <w:rFonts w:hint="eastAsia"/>
        </w:rPr>
        <w:t>（一）混淆行为</w:t>
      </w:r>
    </w:p>
    <w:p w14:paraId="6C3E722C">
      <w:pPr>
        <w:ind w:firstLine="420"/>
        <w:rPr>
          <w:rFonts w:hint="eastAsia" w:ascii="汉仪书宋二简" w:hAnsiTheme="minorEastAsia"/>
        </w:rPr>
      </w:pPr>
      <w:r>
        <w:rPr>
          <w:rFonts w:hint="eastAsia" w:ascii="汉仪书宋二简" w:hAnsiTheme="minorEastAsia"/>
        </w:rPr>
        <w:t>1．核心判断标准为</w:t>
      </w:r>
      <w:r>
        <w:rPr>
          <w:rFonts w:hint="eastAsia" w:ascii="汉仪书宋二简" w:hAnsiTheme="minorEastAsia"/>
          <w:color w:val="FF0000"/>
        </w:rPr>
        <w:t>“误认”，</w:t>
      </w:r>
      <w:r>
        <w:rPr>
          <w:rFonts w:hint="eastAsia" w:ascii="汉仪书宋二简" w:hAnsiTheme="minorEastAsia"/>
        </w:rPr>
        <w:t>即引人误认为是他人商品或者与他人存在特定联系。</w:t>
      </w:r>
    </w:p>
    <w:p w14:paraId="32AF045C">
      <w:pPr>
        <w:ind w:firstLine="420"/>
        <w:rPr>
          <w:rFonts w:hint="eastAsia" w:ascii="汉仪书宋二简" w:hAnsiTheme="minorEastAsia"/>
        </w:rPr>
      </w:pPr>
      <w:r>
        <w:rPr>
          <w:rFonts w:hint="eastAsia" w:ascii="汉仪书宋二简" w:hAnsiTheme="minorEastAsia"/>
        </w:rPr>
        <w:t>2．手段具有攀附性，即</w:t>
      </w:r>
      <w:r>
        <w:rPr>
          <w:rFonts w:hint="eastAsia" w:ascii="汉仪书宋二简" w:hAnsi="楷体" w:eastAsia="汉仪中黑简" w:cs="楷体"/>
          <w:color w:val="FF0000"/>
        </w:rPr>
        <w:t>攀附性使用</w:t>
      </w:r>
      <w:r>
        <w:rPr>
          <w:rFonts w:hint="eastAsia" w:ascii="汉仪书宋二简" w:hAnsiTheme="minorEastAsia"/>
        </w:rPr>
        <w:t>他人具有显著性的</w:t>
      </w:r>
      <w:r>
        <w:rPr>
          <w:rFonts w:hint="eastAsia" w:ascii="汉仪书宋二简" w:hAnsi="楷体" w:eastAsia="汉仪中黑简" w:cs="楷体"/>
          <w:color w:val="FF0000"/>
        </w:rPr>
        <w:t>商业标识</w:t>
      </w:r>
      <w:r>
        <w:rPr>
          <w:rFonts w:hint="eastAsia" w:ascii="汉仪书宋二简" w:hAnsiTheme="minorEastAsia"/>
        </w:rPr>
        <w:t>。</w:t>
      </w:r>
      <w:r>
        <w:rPr>
          <w:rFonts w:hint="eastAsia" w:ascii="汉仪书宋二简" w:hAnsiTheme="minorEastAsia"/>
          <w:lang w:eastAsia="zh-CN"/>
        </w:rPr>
        <w:t>（</w:t>
      </w:r>
      <w:r>
        <w:rPr>
          <w:rFonts w:hint="eastAsia" w:ascii="汉仪书宋二简" w:hAnsiTheme="minorEastAsia"/>
          <w:lang w:val="en-US" w:eastAsia="zh-CN"/>
        </w:rPr>
        <w:t>商标等</w:t>
      </w:r>
      <w:r>
        <w:rPr>
          <w:rFonts w:hint="eastAsia" w:ascii="汉仪书宋二简" w:hAnsiTheme="minorEastAsia"/>
          <w:lang w:eastAsia="zh-CN"/>
        </w:rPr>
        <w:t>）</w:t>
      </w:r>
      <w:r>
        <w:rPr>
          <w:rFonts w:hint="eastAsia" w:ascii="汉仪书宋二简" w:hAnsiTheme="minorEastAsia"/>
        </w:rPr>
        <w:t>具体包括：①擅自使用与他人有一定影响的商品名称、包装、装潢等相同或者近似的标识；②擅自使用他人有一定影响的企业名称（包括简称、字号、在中国境内进行商业使用的境外企业名称等）、社会组织名称（包括简称等）、姓名（包括笔名、艺名、译名等）、有一定影响的个体工商户、农民专业合作社（联合社）以及法律、行政法规规定的其他市场主体的名称（包括简称、字号等）以及与之近似的标识；③擅自使用他人有一定影响的域名主体部分、网站名称、网页以及与之近似的标识。</w:t>
      </w:r>
    </w:p>
    <w:p w14:paraId="7F47195B">
      <w:pPr>
        <w:ind w:firstLine="420"/>
        <w:rPr>
          <w:rFonts w:hint="eastAsia" w:ascii="汉仪书宋二简" w:hAnsiTheme="minorEastAsia"/>
        </w:rPr>
      </w:pPr>
      <w:r>
        <w:rPr>
          <w:rFonts w:hint="eastAsia" w:ascii="汉仪书宋二简" w:hAnsiTheme="minorEastAsia"/>
        </w:rPr>
        <w:t>经营者</w:t>
      </w:r>
      <w:r>
        <w:rPr>
          <w:rFonts w:hint="eastAsia" w:ascii="汉仪书宋二简" w:hAnsi="楷体" w:eastAsia="汉仪中黑简" w:cs="楷体"/>
          <w:color w:val="FF0000"/>
        </w:rPr>
        <w:t>销售</w:t>
      </w:r>
      <w:r>
        <w:rPr>
          <w:rFonts w:hint="eastAsia" w:ascii="汉仪书宋二简" w:hAnsiTheme="minorEastAsia"/>
        </w:rPr>
        <w:t>带有上述标识的商品，引人误认为是他人商品或者与他人存在特定联系，当事人有权主张其构成混淆行为。销售不知道是上述侵权商品，能证明该商品是自己合法取得并说明提供者，经营者不承担赔偿责任。</w:t>
      </w:r>
    </w:p>
    <w:p w14:paraId="2FA10BAC">
      <w:pPr>
        <w:ind w:firstLine="420"/>
        <w:rPr>
          <w:rFonts w:hint="eastAsia" w:ascii="汉仪书宋二简" w:hAnsiTheme="minorEastAsia"/>
        </w:rPr>
      </w:pPr>
    </w:p>
    <w:p w14:paraId="65A4B363">
      <w:pPr>
        <w:pStyle w:val="4"/>
        <w:ind w:firstLine="288" w:firstLineChars="120"/>
        <w:jc w:val="both"/>
        <w:rPr>
          <w:rFonts w:hint="eastAsia"/>
        </w:rPr>
      </w:pPr>
      <w:r>
        <w:rPr>
          <w:rFonts w:hint="eastAsia"/>
        </w:rPr>
        <w:t>（二）商业贿赂行为</w:t>
      </w:r>
    </w:p>
    <w:p w14:paraId="7A82DC91">
      <w:pPr>
        <w:ind w:firstLine="420"/>
        <w:rPr>
          <w:rFonts w:hint="eastAsia" w:ascii="汉仪书宋二简" w:hAnsiTheme="minorEastAsia"/>
          <w:color w:val="FF0000"/>
        </w:rPr>
      </w:pPr>
      <w:r>
        <w:rPr>
          <w:rFonts w:hint="eastAsia" w:ascii="汉仪书宋二简" w:hAnsiTheme="minorEastAsia"/>
        </w:rPr>
        <w:t>经营者不得采用财物或者其他手段贿赂下列单位或者个人，</w:t>
      </w:r>
      <w:r>
        <w:rPr>
          <w:rFonts w:hint="eastAsia" w:ascii="汉仪书宋二简" w:hAnsiTheme="minorEastAsia"/>
          <w:color w:val="FF0000"/>
        </w:rPr>
        <w:t>以谋取交易机会或者竞争优势：</w:t>
      </w:r>
    </w:p>
    <w:p w14:paraId="09548D55">
      <w:pPr>
        <w:ind w:firstLine="420"/>
        <w:rPr>
          <w:rFonts w:hint="eastAsia" w:ascii="汉仪书宋二简" w:hAnsiTheme="minorEastAsia"/>
        </w:rPr>
      </w:pPr>
      <w:r>
        <w:rPr>
          <w:rFonts w:hint="eastAsia" w:ascii="汉仪书宋二简" w:hAnsiTheme="minorEastAsia"/>
        </w:rPr>
        <w:t>1．交易相对方的工作人员；</w:t>
      </w:r>
    </w:p>
    <w:p w14:paraId="0BBEA3AA">
      <w:pPr>
        <w:ind w:firstLine="420"/>
        <w:rPr>
          <w:rFonts w:hint="eastAsia" w:ascii="汉仪书宋二简" w:hAnsiTheme="minorEastAsia"/>
        </w:rPr>
      </w:pPr>
      <w:r>
        <w:rPr>
          <w:rFonts w:hint="eastAsia" w:ascii="汉仪书宋二简" w:hAnsiTheme="minorEastAsia"/>
        </w:rPr>
        <w:t>2．受交易相对方委托办理相关事务的单位或者个人；</w:t>
      </w:r>
    </w:p>
    <w:p w14:paraId="2B996390">
      <w:pPr>
        <w:ind w:firstLine="420"/>
        <w:rPr>
          <w:rFonts w:hint="eastAsia" w:ascii="汉仪书宋二简" w:hAnsiTheme="minorEastAsia"/>
        </w:rPr>
      </w:pPr>
      <w:r>
        <w:rPr>
          <w:rFonts w:hint="eastAsia" w:ascii="汉仪书宋二简" w:hAnsiTheme="minorEastAsia"/>
        </w:rPr>
        <w:t>3．利用职权或者影响力影响交易的单位或者个人。</w:t>
      </w:r>
    </w:p>
    <w:p w14:paraId="2CA58EED">
      <w:pPr>
        <w:ind w:firstLine="420"/>
        <w:rPr>
          <w:rFonts w:hint="default" w:ascii="汉仪书宋二简" w:eastAsia="汉仪书宋二简" w:hAnsiTheme="minorEastAsia"/>
          <w:color w:val="FF0000"/>
          <w:lang w:val="en-US" w:eastAsia="zh-CN"/>
        </w:rPr>
      </w:pPr>
      <w:r>
        <w:rPr>
          <w:rFonts w:hint="eastAsia" w:ascii="汉仪书宋二简" w:hAnsiTheme="minorEastAsia"/>
          <w:color w:val="FF0000"/>
          <w:lang w:val="en-US" w:eastAsia="zh-CN"/>
        </w:rPr>
        <w:t>核心是没有明示没有入账</w:t>
      </w:r>
    </w:p>
    <w:p w14:paraId="368D44A2">
      <w:pPr>
        <w:ind w:firstLine="420"/>
        <w:rPr>
          <w:rFonts w:hint="eastAsia" w:ascii="汉仪书宋二简" w:hAnsiTheme="minorEastAsia"/>
        </w:rPr>
      </w:pPr>
      <w:r>
        <w:rPr>
          <w:rFonts w:hint="eastAsia" w:ascii="汉仪书宋二简" w:hAnsiTheme="minorEastAsia"/>
        </w:rPr>
        <w:t>经营者在交易活动中，可以以</w:t>
      </w:r>
      <w:r>
        <w:rPr>
          <w:rFonts w:hint="eastAsia" w:ascii="汉仪书宋二简" w:hAnsiTheme="minorEastAsia"/>
          <w:color w:val="FF0000"/>
        </w:rPr>
        <w:t>明示方式</w:t>
      </w:r>
      <w:r>
        <w:rPr>
          <w:rFonts w:hint="eastAsia" w:ascii="汉仪书宋二简" w:hAnsiTheme="minorEastAsia"/>
        </w:rPr>
        <w:t>向交易相对方支付折扣，或者向中间人支付佣金。经营者向交易相对方支付折扣、向中间人支付佣金的，应当如实入账。接受折扣、佣金的经营者也应当如实入账。</w:t>
      </w:r>
    </w:p>
    <w:p w14:paraId="648ED2F7">
      <w:pPr>
        <w:ind w:firstLine="420"/>
        <w:rPr>
          <w:rFonts w:hint="eastAsia" w:ascii="汉仪书宋二简" w:hAnsiTheme="minorEastAsia"/>
        </w:rPr>
      </w:pPr>
      <w:r>
        <w:rPr>
          <w:rFonts w:hint="eastAsia" w:ascii="汉仪书宋二简" w:hAnsiTheme="minorEastAsia"/>
        </w:rPr>
        <w:t>经营者的工作人员进行贿赂的，应当认定为经营者的行为；但是，经营者有证据证明该工作人员的行为与为经营者谋取交易机会或者竞争优势无关的除外。</w:t>
      </w:r>
    </w:p>
    <w:p w14:paraId="2F16DB98">
      <w:pPr>
        <w:ind w:firstLine="420"/>
        <w:rPr>
          <w:rFonts w:hint="eastAsia" w:ascii="汉仪书宋二简" w:hAnsiTheme="minorEastAsia"/>
        </w:rPr>
      </w:pPr>
    </w:p>
    <w:p w14:paraId="56403EF2">
      <w:pPr>
        <w:pStyle w:val="4"/>
        <w:ind w:firstLine="288" w:firstLineChars="120"/>
        <w:jc w:val="both"/>
        <w:rPr>
          <w:rFonts w:hint="eastAsia" w:ascii="汉仪书宋二简" w:hAnsiTheme="minorEastAsia"/>
        </w:rPr>
      </w:pPr>
      <w:r>
        <w:rPr>
          <w:rFonts w:hint="eastAsia"/>
        </w:rPr>
        <w:t>（三）虚假宣传行为</w:t>
      </w:r>
    </w:p>
    <w:p w14:paraId="79BBB55C">
      <w:pPr>
        <w:ind w:firstLine="420"/>
        <w:rPr>
          <w:rFonts w:hint="eastAsia" w:ascii="汉仪书宋二简" w:eastAsia="汉仪书宋二简" w:hAnsiTheme="minorEastAsia"/>
          <w:color w:val="FF0000"/>
          <w:lang w:eastAsia="zh-CN"/>
        </w:rPr>
      </w:pPr>
      <w:r>
        <w:rPr>
          <w:rFonts w:hint="eastAsia" w:ascii="汉仪书宋二简" w:hAnsiTheme="minorEastAsia"/>
        </w:rPr>
        <w:t>第一种是自我虚假宣传，即经营者不得对其商品的性能、功能、质量、销售状况、用户评价、曾获荣誉等作虚假或者引人误解的商业宣传，欺骗、误导消费者。</w:t>
      </w:r>
      <w:r>
        <w:rPr>
          <w:rFonts w:hint="eastAsia" w:ascii="汉仪书宋二简" w:hAnsiTheme="minorEastAsia"/>
          <w:color w:val="FF0000"/>
          <w:lang w:eastAsia="zh-CN"/>
        </w:rPr>
        <w:t>（</w:t>
      </w:r>
      <w:r>
        <w:rPr>
          <w:rFonts w:hint="eastAsia" w:ascii="汉仪书宋二简" w:hAnsiTheme="minorEastAsia"/>
          <w:color w:val="FF0000"/>
          <w:lang w:val="en-US" w:eastAsia="zh-CN"/>
        </w:rPr>
        <w:t>欺诈</w:t>
      </w:r>
      <w:r>
        <w:rPr>
          <w:rFonts w:hint="eastAsia" w:ascii="汉仪书宋二简" w:hAnsiTheme="minorEastAsia"/>
          <w:color w:val="FF0000"/>
          <w:lang w:eastAsia="zh-CN"/>
        </w:rPr>
        <w:t>）</w:t>
      </w:r>
    </w:p>
    <w:p w14:paraId="31297665">
      <w:pPr>
        <w:ind w:firstLine="420"/>
        <w:rPr>
          <w:rFonts w:hint="eastAsia" w:ascii="汉仪书宋二简"/>
        </w:rPr>
      </w:pPr>
      <w:r>
        <w:rPr>
          <w:rFonts w:hint="eastAsia" w:ascii="汉仪书宋二简" w:hAnsiTheme="minorEastAsia"/>
        </w:rPr>
        <w:t>第二种是帮助其他经营者虚假宣传，即经营者不得通过组织虚假交易等方式，帮助其他经营者</w:t>
      </w:r>
      <w:r>
        <w:rPr>
          <w:rFonts w:hint="eastAsia" w:ascii="汉仪书宋二简"/>
        </w:rPr>
        <w:t>进行虚假或者引人误解的商业宣传。</w:t>
      </w:r>
    </w:p>
    <w:p w14:paraId="4E4F62BE">
      <w:pPr>
        <w:ind w:firstLine="420"/>
        <w:rPr>
          <w:rFonts w:hint="eastAsia" w:ascii="汉仪书宋二简"/>
        </w:rPr>
      </w:pPr>
    </w:p>
    <w:p w14:paraId="1EAFD0CB">
      <w:pPr>
        <w:pStyle w:val="4"/>
        <w:ind w:firstLine="288" w:firstLineChars="120"/>
        <w:jc w:val="both"/>
        <w:rPr>
          <w:rFonts w:hint="eastAsia"/>
        </w:rPr>
      </w:pPr>
      <w:r>
        <w:rPr>
          <w:rFonts w:hint="eastAsia"/>
        </w:rPr>
        <w:t>（四）侵犯商业秘密行为</w:t>
      </w:r>
    </w:p>
    <w:p w14:paraId="59E9B5E4">
      <w:pPr>
        <w:ind w:firstLine="420"/>
        <w:rPr>
          <w:rFonts w:hint="eastAsia" w:ascii="汉仪书宋二简"/>
        </w:rPr>
      </w:pPr>
      <w:r>
        <w:rPr>
          <w:rFonts w:hint="eastAsia" w:ascii="汉仪书宋二简"/>
        </w:rPr>
        <w:t>商业秘密，是指不为公众所知悉、具有商业价值并经权利人采取相应保密措施的技术信息、经营信息等商业信息。商业秘密和专利权的区别主要在于，商业秘密是一种秘密的、无期限的、非独占的权利，而专利权则是一种公开的、有期限的、独占的权利。</w:t>
      </w:r>
    </w:p>
    <w:p w14:paraId="75F3C3DE">
      <w:pPr>
        <w:ind w:firstLine="420"/>
        <w:rPr>
          <w:rFonts w:hint="eastAsia" w:ascii="汉仪书宋二简"/>
        </w:rPr>
      </w:pPr>
      <w:r>
        <w:rPr>
          <w:rFonts w:hint="eastAsia" w:ascii="汉仪书宋二简"/>
        </w:rPr>
        <w:t>侵犯商业秘密的行为包括：</w:t>
      </w:r>
    </w:p>
    <w:p w14:paraId="23AE05E6">
      <w:pPr>
        <w:ind w:firstLine="420"/>
        <w:rPr>
          <w:rFonts w:hint="eastAsia" w:ascii="汉仪书宋二简" w:hAnsiTheme="minorEastAsia"/>
        </w:rPr>
      </w:pPr>
      <w:r>
        <w:rPr>
          <w:rFonts w:hint="eastAsia" w:ascii="汉仪书宋二简" w:hAnsiTheme="minorEastAsia"/>
        </w:rPr>
        <w:t>1．以盗窃、贿赂、欺诈、胁迫、电子侵入或者其他不正当手段获取权利人的商业秘密；</w:t>
      </w:r>
    </w:p>
    <w:p w14:paraId="662511E8">
      <w:pPr>
        <w:ind w:firstLine="420"/>
        <w:rPr>
          <w:rFonts w:hint="eastAsia" w:ascii="汉仪书宋二简" w:hAnsiTheme="minorEastAsia"/>
        </w:rPr>
      </w:pPr>
      <w:r>
        <w:rPr>
          <w:rFonts w:hint="eastAsia" w:ascii="汉仪书宋二简" w:hAnsiTheme="minorEastAsia"/>
        </w:rPr>
        <w:t>2．披露、使用或者允许他人使用以前项手段获取的权利人的商业秘密；</w:t>
      </w:r>
    </w:p>
    <w:p w14:paraId="372CEAD1">
      <w:pPr>
        <w:ind w:firstLine="420"/>
        <w:rPr>
          <w:rFonts w:hint="eastAsia" w:ascii="汉仪书宋二简" w:hAnsiTheme="minorEastAsia"/>
        </w:rPr>
      </w:pPr>
      <w:r>
        <w:rPr>
          <w:rFonts w:hint="eastAsia" w:ascii="汉仪书宋二简" w:hAnsiTheme="minorEastAsia"/>
        </w:rPr>
        <w:t>3．违反保密义务或者违反权利人有关保守商业秘密的要求，披露、使用或者允许他人使用其所掌握的商业秘密；</w:t>
      </w:r>
    </w:p>
    <w:p w14:paraId="51391F3A">
      <w:pPr>
        <w:ind w:firstLine="420"/>
        <w:rPr>
          <w:rFonts w:hint="eastAsia" w:ascii="汉仪书宋二简" w:hAnsiTheme="minorEastAsia"/>
        </w:rPr>
      </w:pPr>
      <w:r>
        <w:rPr>
          <w:rFonts w:hint="eastAsia" w:ascii="汉仪书宋二简" w:hAnsiTheme="minorEastAsia"/>
        </w:rPr>
        <w:t>4．教唆、引诱、帮助他人违反保密义务或者违反权利人有关保守商业秘密的要求，获取、披露、使用或者允许他人使用权利人的商业秘密；</w:t>
      </w:r>
    </w:p>
    <w:p w14:paraId="176FE2F8">
      <w:pPr>
        <w:ind w:firstLine="420"/>
        <w:rPr>
          <w:rFonts w:hint="eastAsia" w:ascii="汉仪书宋二简"/>
        </w:rPr>
      </w:pPr>
      <w:r>
        <w:rPr>
          <w:rFonts w:hint="eastAsia" w:ascii="汉仪书宋二简" w:hAnsiTheme="minorEastAsia"/>
        </w:rPr>
        <w:t>5．第三人明知或者应知商业秘密权利人的员工、前员工或者其他单位、个人实施上述违法行为，仍获取</w:t>
      </w:r>
      <w:r>
        <w:rPr>
          <w:rFonts w:hint="eastAsia" w:ascii="汉仪书宋二简"/>
        </w:rPr>
        <w:t>、披露、使用或者允许他人使用该商业秘密的，视为侵犯商业秘密。</w:t>
      </w:r>
    </w:p>
    <w:p w14:paraId="3A62F0FA">
      <w:pPr>
        <w:widowControl/>
        <w:shd w:val="clear" w:color="auto" w:fill="FFFFFF"/>
        <w:ind w:firstLine="420"/>
        <w:rPr>
          <w:rFonts w:hint="eastAsia" w:ascii="汉仪书宋二简"/>
        </w:rPr>
      </w:pPr>
      <w:r>
        <w:rPr>
          <w:rFonts w:hint="eastAsia" w:eastAsia="汉仪粗黑简"/>
          <w:color w:val="FF0000"/>
          <w:lang w:val="zh-CN"/>
        </w:rPr>
        <w:drawing>
          <wp:anchor distT="0" distB="0" distL="114300" distR="114300" simplePos="0" relativeHeight="251659264" behindDoc="0" locked="0" layoutInCell="1" allowOverlap="1">
            <wp:simplePos x="0" y="0"/>
            <wp:positionH relativeFrom="column">
              <wp:posOffset>66675</wp:posOffset>
            </wp:positionH>
            <wp:positionV relativeFrom="paragraph">
              <wp:posOffset>75565</wp:posOffset>
            </wp:positionV>
            <wp:extent cx="161925" cy="161925"/>
            <wp:effectExtent l="0" t="0" r="3175" b="3175"/>
            <wp:wrapNone/>
            <wp:docPr id="410191107" name="图形 410191107" descr="星形 纯色填充"/>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0191107" name="图形 410191107" descr="星形 纯色填充"/>
                    <pic:cNvPicPr>
                      <a:picLocks noChangeAspect="1"/>
                    </pic:cNvPicPr>
                  </pic:nvPicPr>
                  <pic:blipFill>
                    <a:blip r:embed="rId6" cstate="print">
                      <a:extLst>
                        <a:ext uri="{28A0092B-C50C-407E-A947-70E740481C1C}">
                          <a14:useLocalDpi xmlns:a14="http://schemas.microsoft.com/office/drawing/2010/main" val="0"/>
                        </a:ext>
                        <a:ext uri="{96DAC541-7B7A-43D3-8B79-37D633B846F1}">
                          <asvg:svgBlip xmlns:asvg="http://schemas.microsoft.com/office/drawing/2016/SVG/main" r:embed="rId7"/>
                        </a:ext>
                      </a:extLst>
                    </a:blip>
                    <a:stretch>
                      <a:fillRect/>
                    </a:stretch>
                  </pic:blipFill>
                  <pic:spPr>
                    <a:xfrm>
                      <a:off x="0" y="0"/>
                      <a:ext cx="162000" cy="162000"/>
                    </a:xfrm>
                    <a:prstGeom prst="rect">
                      <a:avLst/>
                    </a:prstGeom>
                  </pic:spPr>
                </pic:pic>
              </a:graphicData>
            </a:graphic>
          </wp:anchor>
        </w:drawing>
      </w:r>
      <w:r>
        <w:rPr>
          <w:rFonts w:hint="eastAsia" w:ascii="汉仪粗黑简" w:eastAsia="汉仪粗黑简"/>
          <w:color w:val="FF0000"/>
        </w:rPr>
        <w:t>注意：</w:t>
      </w:r>
      <w:r>
        <w:rPr>
          <w:rFonts w:hint="eastAsia" w:ascii="汉仪书宋二简"/>
        </w:rPr>
        <w:t>（1）侵犯商业秘密的主体不限于经营者。</w:t>
      </w:r>
      <w:r>
        <w:rPr>
          <w:rFonts w:hint="eastAsia" w:ascii="汉仪书宋二简"/>
          <w:color w:val="FF0000"/>
        </w:rPr>
        <w:t>经营者以外的其他自然人、法人和非法人组织实施前款所列违法行为的，视为侵犯商业秘密。</w:t>
      </w:r>
      <w:r>
        <w:rPr>
          <w:rFonts w:hint="eastAsia" w:ascii="汉仪书宋二简"/>
        </w:rPr>
        <w:t>（2）通过自行开发研制或者</w:t>
      </w:r>
      <w:r>
        <w:rPr>
          <w:rFonts w:hint="eastAsia" w:ascii="汉仪书宋二简" w:hAnsi="楷体" w:eastAsia="汉仪中黑简" w:cs="楷体"/>
          <w:color w:val="FF0000"/>
        </w:rPr>
        <w:t>反向工程</w:t>
      </w:r>
      <w:r>
        <w:rPr>
          <w:rFonts w:hint="eastAsia" w:ascii="汉仪书宋二简"/>
        </w:rPr>
        <w:t>方式获取商业秘密以及披露、使用、允许他人使用该商业秘密的，不属于侵犯商业秘密行为。</w:t>
      </w:r>
    </w:p>
    <w:p w14:paraId="367BE011">
      <w:pPr>
        <w:widowControl/>
        <w:shd w:val="clear" w:color="auto" w:fill="FFFFFF"/>
        <w:ind w:firstLine="420"/>
        <w:rPr>
          <w:rFonts w:hint="eastAsia" w:ascii="汉仪书宋二简" w:hAnsiTheme="minorEastAsia"/>
        </w:rPr>
      </w:pPr>
    </w:p>
    <w:p w14:paraId="14F85045"/>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20"/>
      </w:pPr>
      <w:r>
        <w:separator/>
      </w:r>
    </w:p>
  </w:endnote>
  <w:endnote w:type="continuationSeparator" w:id="1">
    <w:p>
      <w:pPr>
        <w:spacing w:line="240" w:lineRule="auto"/>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汉仪书宋二简">
    <w:altName w:val="微软雅黑"/>
    <w:panose1 w:val="00000000000000000000"/>
    <w:charset w:val="86"/>
    <w:family w:val="modern"/>
    <w:pitch w:val="default"/>
    <w:sig w:usb0="00000000" w:usb1="00000000" w:usb2="00000012" w:usb3="00000000" w:csb0="00040000" w:csb1="00000000"/>
  </w:font>
  <w:font w:name="汉仪大宋简">
    <w:altName w:val="微软雅黑"/>
    <w:panose1 w:val="00000000000000000000"/>
    <w:charset w:val="86"/>
    <w:family w:val="modern"/>
    <w:pitch w:val="default"/>
    <w:sig w:usb0="00000000" w:usb1="00000000" w:usb2="00000012" w:usb3="00000000" w:csb0="00040000" w:csb1="00000000"/>
  </w:font>
  <w:font w:name="Calibri Light">
    <w:panose1 w:val="020F0302020204030204"/>
    <w:charset w:val="00"/>
    <w:family w:val="auto"/>
    <w:pitch w:val="default"/>
    <w:sig w:usb0="E4002EFF" w:usb1="C200247B" w:usb2="00000009" w:usb3="00000000" w:csb0="200001FF" w:csb1="00000000"/>
  </w:font>
  <w:font w:name="汉仪大黑简">
    <w:altName w:val="微软雅黑"/>
    <w:panose1 w:val="00000000000000000000"/>
    <w:charset w:val="86"/>
    <w:family w:val="modern"/>
    <w:pitch w:val="default"/>
    <w:sig w:usb0="00000000" w:usb1="00000000" w:usb2="00000012" w:usb3="00000000" w:csb0="00040000" w:csb1="00000000"/>
  </w:font>
  <w:font w:name="汉仪粗宋简">
    <w:altName w:val="微软雅黑"/>
    <w:panose1 w:val="00000000000000000000"/>
    <w:charset w:val="86"/>
    <w:family w:val="modern"/>
    <w:pitch w:val="default"/>
    <w:sig w:usb0="00000000" w:usb1="00000000" w:usb2="00000012" w:usb3="00000000" w:csb0="00040000" w:csb1="00000000"/>
  </w:font>
  <w:font w:name="汉仪中黑简">
    <w:altName w:val="微软雅黑"/>
    <w:panose1 w:val="00000000000000000000"/>
    <w:charset w:val="86"/>
    <w:family w:val="modern"/>
    <w:pitch w:val="default"/>
    <w:sig w:usb0="00000000" w:usb1="00000000" w:usb2="00000012" w:usb3="00000000" w:csb0="00040000" w:csb1="00000000"/>
  </w:font>
  <w:font w:name="汉仪书宋一简">
    <w:altName w:val="微软雅黑"/>
    <w:panose1 w:val="00000000000000000000"/>
    <w:charset w:val="86"/>
    <w:family w:val="modern"/>
    <w:pitch w:val="default"/>
    <w:sig w:usb0="00000000" w:usb1="00000000" w:usb2="00000012" w:usb3="00000000" w:csb0="00040000" w:csb1="00000000"/>
  </w:font>
  <w:font w:name="楷体">
    <w:panose1 w:val="02010609060101010101"/>
    <w:charset w:val="86"/>
    <w:family w:val="modern"/>
    <w:pitch w:val="default"/>
    <w:sig w:usb0="800002BF" w:usb1="38CF7CFA" w:usb2="00000016" w:usb3="00000000" w:csb0="00040001" w:csb1="00000000"/>
  </w:font>
  <w:font w:name="汉仪粗黑简">
    <w:altName w:val="微软雅黑"/>
    <w:panose1 w:val="00000000000000000000"/>
    <w:charset w:val="86"/>
    <w:family w:val="modern"/>
    <w:pitch w:val="default"/>
    <w:sig w:usb0="00000000" w:usb1="00000000" w:usb2="00000012" w:usb3="00000000" w:csb0="00040000" w:csb1="00000000"/>
  </w:font>
  <w:font w:name="仿宋">
    <w:panose1 w:val="02010609060101010101"/>
    <w:charset w:val="86"/>
    <w:family w:val="modern"/>
    <w:pitch w:val="default"/>
    <w:sig w:usb0="800002BF" w:usb1="38CF7CFA" w:usb2="00000016" w:usb3="00000000" w:csb0="00040001" w:csb1="00000000"/>
  </w:font>
  <w:font w:name="汉仪书宋二简">
    <w:altName w:val="宋体"/>
    <w:panose1 w:val="00000000000000000000"/>
    <w:charset w:val="00"/>
    <w:family w:val="auto"/>
    <w:pitch w:val="default"/>
    <w:sig w:usb0="00000000" w:usb1="00000000" w:usb2="00000000" w:usb3="00000000" w:csb0="00000000" w:csb1="00000000"/>
  </w:font>
  <w:font w:name="font-size:18px;background-color:#FFFFFF;">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汉仪书宋一简">
    <w:altName w:val="宋体"/>
    <w:panose1 w:val="00000000000000000000"/>
    <w:charset w:val="00"/>
    <w:family w:val="auto"/>
    <w:pitch w:val="default"/>
    <w:sig w:usb0="00000000" w:usb1="00000000" w:usb2="00000000" w:usb3="00000000" w:csb0="0000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420"/>
      </w:pPr>
      <w:r>
        <w:separator/>
      </w:r>
    </w:p>
  </w:footnote>
  <w:footnote w:type="continuationSeparator" w:id="1">
    <w:p>
      <w:pPr>
        <w:spacing w:line="240" w:lineRule="auto"/>
        <w:ind w:firstLine="42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87D0DF1"/>
    <w:rsid w:val="4935084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9" w:semiHidden="0" w:name="heading 3"/>
    <w:lsdException w:qFormat="1" w:uiPriority="9"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tabs>
        <w:tab w:val="left" w:pos="420"/>
      </w:tabs>
      <w:spacing w:line="384" w:lineRule="exact"/>
      <w:ind w:firstLine="721" w:firstLineChars="200"/>
      <w:jc w:val="both"/>
    </w:pPr>
    <w:rPr>
      <w:rFonts w:ascii="宋体" w:hAnsi="宋体" w:eastAsia="汉仪书宋二简" w:cs="宋体"/>
      <w:color w:val="000000" w:themeColor="text1"/>
      <w:kern w:val="2"/>
      <w:sz w:val="21"/>
      <w:szCs w:val="21"/>
      <w:lang w:val="en-US" w:eastAsia="zh-CN" w:bidi="ar-SA"/>
      <w14:textFill>
        <w14:solidFill>
          <w14:schemeClr w14:val="tx1"/>
        </w14:solidFill>
      </w14:textFill>
    </w:rPr>
  </w:style>
  <w:style w:type="paragraph" w:styleId="2">
    <w:name w:val="heading 1"/>
    <w:basedOn w:val="1"/>
    <w:next w:val="1"/>
    <w:qFormat/>
    <w:uiPriority w:val="9"/>
    <w:pPr>
      <w:keepNext/>
      <w:keepLines/>
      <w:spacing w:before="10"/>
      <w:ind w:firstLine="0" w:firstLineChars="0"/>
      <w:jc w:val="center"/>
      <w:outlineLvl w:val="0"/>
    </w:pPr>
    <w:rPr>
      <w:rFonts w:ascii="汉仪大宋简" w:hAnsi="汉仪大宋简" w:eastAsia="汉仪大宋简"/>
      <w:bCs/>
      <w:kern w:val="44"/>
      <w:sz w:val="44"/>
      <w:szCs w:val="44"/>
    </w:rPr>
  </w:style>
  <w:style w:type="paragraph" w:styleId="3">
    <w:name w:val="heading 3"/>
    <w:basedOn w:val="1"/>
    <w:next w:val="1"/>
    <w:unhideWhenUsed/>
    <w:qFormat/>
    <w:uiPriority w:val="9"/>
    <w:pPr>
      <w:keepNext/>
      <w:keepLines/>
      <w:ind w:firstLine="0" w:firstLineChars="0"/>
      <w:jc w:val="left"/>
      <w:outlineLvl w:val="2"/>
    </w:pPr>
    <w:rPr>
      <w:rFonts w:eastAsia="汉仪大宋简"/>
      <w:sz w:val="26"/>
    </w:rPr>
  </w:style>
  <w:style w:type="paragraph" w:styleId="4">
    <w:name w:val="heading 4"/>
    <w:basedOn w:val="1"/>
    <w:next w:val="1"/>
    <w:unhideWhenUsed/>
    <w:qFormat/>
    <w:uiPriority w:val="9"/>
    <w:pPr>
      <w:keepNext/>
      <w:keepLines/>
      <w:ind w:firstLine="0" w:firstLineChars="0"/>
      <w:jc w:val="left"/>
      <w:outlineLvl w:val="3"/>
    </w:pPr>
    <w:rPr>
      <w:rFonts w:eastAsia="汉仪大宋简" w:asciiTheme="majorHAnsi" w:hAnsiTheme="majorHAnsi" w:cstheme="majorBidi"/>
      <w:bCs/>
      <w:sz w:val="24"/>
      <w:szCs w:val="28"/>
    </w:rPr>
  </w:style>
  <w:style w:type="character" w:default="1" w:styleId="9">
    <w:name w:val="Default Paragraph Font"/>
    <w:semiHidden/>
    <w:uiPriority w:val="0"/>
  </w:style>
  <w:style w:type="table" w:default="1" w:styleId="7">
    <w:name w:val="Normal Table"/>
    <w:semiHidden/>
    <w:uiPriority w:val="0"/>
    <w:tblPr>
      <w:tblCellMar>
        <w:top w:w="0" w:type="dxa"/>
        <w:left w:w="108" w:type="dxa"/>
        <w:bottom w:w="0" w:type="dxa"/>
        <w:right w:w="108" w:type="dxa"/>
      </w:tblCellMar>
    </w:tblPr>
  </w:style>
  <w:style w:type="paragraph" w:styleId="5">
    <w:name w:val="footnote text"/>
    <w:basedOn w:val="1"/>
    <w:unhideWhenUsed/>
    <w:qFormat/>
    <w:uiPriority w:val="0"/>
    <w:pPr>
      <w:snapToGrid w:val="0"/>
      <w:jc w:val="left"/>
    </w:pPr>
    <w:rPr>
      <w:sz w:val="18"/>
      <w:szCs w:val="18"/>
    </w:rPr>
  </w:style>
  <w:style w:type="paragraph" w:styleId="6">
    <w:name w:val="Normal (Web)"/>
    <w:basedOn w:val="1"/>
    <w:uiPriority w:val="0"/>
    <w:pPr>
      <w:spacing w:before="0" w:beforeAutospacing="1" w:after="0" w:afterAutospacing="1"/>
      <w:ind w:left="0" w:right="0"/>
      <w:jc w:val="left"/>
    </w:pPr>
    <w:rPr>
      <w:kern w:val="0"/>
      <w:sz w:val="24"/>
      <w:lang w:val="en-US" w:eastAsia="zh-CN" w:bidi="ar"/>
    </w:rPr>
  </w:style>
  <w:style w:type="table" w:styleId="8">
    <w:name w:val="Table Grid"/>
    <w:basedOn w:val="7"/>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image" Target="media/image2.svg"/><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0</Words>
  <Characters>0</Characters>
  <Lines>0</Lines>
  <Paragraphs>0</Paragraphs>
  <TotalTime>133</TotalTime>
  <ScaleCrop>false</ScaleCrop>
  <LinksUpToDate>false</LinksUpToDate>
  <CharactersWithSpaces>0</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2025-05-25T11:50:18Z</dcterms:created>
  <dc:creator>cuplh</dc:creator>
  <cp:lastModifiedBy>韩富鹏</cp:lastModifiedBy>
  <dcterms:modified xsi:type="dcterms:W3CDTF">2025-05-25T14:48:07Z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KSOTemplateDocerSaveRecord">
    <vt:lpwstr>eyJoZGlkIjoiMWFjYzQzMDc3NjcyYmQ4ODllY2M1ZTlhMDk0YzI1ZDQiLCJ1c2VySWQiOiI2MjgyMjQxMTMifQ==</vt:lpwstr>
  </property>
  <property fmtid="{D5CDD505-2E9C-101B-9397-08002B2CF9AE}" pid="4" name="ICV">
    <vt:lpwstr>48A1E783B15B4DFCA57B13C99AF61907_12</vt:lpwstr>
  </property>
</Properties>
</file>