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8819C" w14:textId="12EF8C7E" w:rsidR="00A04322" w:rsidRPr="00DE6028" w:rsidRDefault="00A04322" w:rsidP="00A04322">
      <w:pPr>
        <w:pStyle w:val="1"/>
        <w:tabs>
          <w:tab w:val="left" w:pos="420"/>
        </w:tabs>
        <w:spacing w:before="0" w:after="0" w:line="240" w:lineRule="exact"/>
        <w:jc w:val="center"/>
        <w:rPr>
          <w:rFonts w:ascii="宋体" w:hAnsi="宋体" w:cs="宋体" w:hint="eastAsia"/>
          <w:bCs w:val="0"/>
          <w:sz w:val="21"/>
          <w:szCs w:val="21"/>
        </w:rPr>
      </w:pPr>
      <w:bookmarkStart w:id="0" w:name="_Toc64384725"/>
      <w:bookmarkStart w:id="1" w:name="_Toc128736531"/>
      <w:bookmarkStart w:id="2" w:name="_Toc4844148"/>
      <w:bookmarkStart w:id="3" w:name="_Toc132408733"/>
      <w:bookmarkStart w:id="4" w:name="_Toc64384728"/>
      <w:bookmarkStart w:id="5" w:name="_Toc128736545"/>
      <w:bookmarkStart w:id="6" w:name="_Toc132408735"/>
      <w:bookmarkStart w:id="7" w:name="_Toc132408737"/>
      <w:r w:rsidRPr="00DE6028">
        <w:rPr>
          <w:rFonts w:ascii="宋体" w:hAnsi="宋体" w:cs="宋体" w:hint="eastAsia"/>
          <w:bCs w:val="0"/>
          <w:sz w:val="21"/>
          <w:szCs w:val="21"/>
        </w:rPr>
        <w:t>考点</w:t>
      </w:r>
      <w:r w:rsidRPr="00DE6028">
        <w:rPr>
          <w:rFonts w:ascii="宋体" w:hAnsi="宋体" w:cs="宋体"/>
          <w:bCs w:val="0"/>
          <w:sz w:val="21"/>
          <w:szCs w:val="21"/>
        </w:rPr>
        <w:t xml:space="preserve">27  </w:t>
      </w:r>
      <w:r w:rsidRPr="00DE6028">
        <w:rPr>
          <w:rFonts w:ascii="宋体" w:hAnsi="宋体" w:cs="宋体" w:hint="eastAsia"/>
          <w:bCs w:val="0"/>
          <w:sz w:val="21"/>
          <w:szCs w:val="21"/>
        </w:rPr>
        <w:t>第二审程序的审判原则</w:t>
      </w:r>
      <w:bookmarkEnd w:id="0"/>
      <w:bookmarkEnd w:id="1"/>
      <w:bookmarkEnd w:id="2"/>
      <w:bookmarkEnd w:id="3"/>
      <w:r w:rsidRPr="00DE6028">
        <w:rPr>
          <w:rFonts w:ascii="宋体" w:hAnsi="宋体" w:cs="宋体" w:hint="eastAsia"/>
          <w:bCs w:val="0"/>
          <w:kern w:val="0"/>
          <w:sz w:val="21"/>
          <w:szCs w:val="21"/>
        </w:rPr>
        <w:t>（</w:t>
      </w:r>
      <w:r w:rsidR="003C6C18">
        <w:rPr>
          <w:rFonts w:ascii="宋体" w:hAnsi="宋体" w:cs="宋体" w:hint="eastAsia"/>
          <w:bCs w:val="0"/>
          <w:kern w:val="0"/>
          <w:sz w:val="21"/>
          <w:szCs w:val="21"/>
        </w:rPr>
        <w:t>08</w:t>
      </w:r>
      <w:r w:rsidRPr="00DE6028">
        <w:rPr>
          <w:rFonts w:ascii="宋体" w:hAnsi="宋体" w:cs="宋体" w:hint="eastAsia"/>
          <w:bCs w:val="0"/>
          <w:kern w:val="0"/>
          <w:sz w:val="21"/>
          <w:szCs w:val="21"/>
        </w:rPr>
        <w:t>:</w:t>
      </w:r>
      <w:r w:rsidR="003C6C18">
        <w:rPr>
          <w:rFonts w:ascii="宋体" w:hAnsi="宋体" w:cs="宋体" w:hint="eastAsia"/>
          <w:bCs w:val="0"/>
          <w:kern w:val="0"/>
          <w:sz w:val="21"/>
          <w:szCs w:val="21"/>
        </w:rPr>
        <w:t>30</w:t>
      </w:r>
      <w:r w:rsidRPr="00DE6028">
        <w:rPr>
          <w:rFonts w:ascii="宋体" w:hAnsi="宋体" w:cs="宋体" w:hint="eastAsia"/>
          <w:bCs w:val="0"/>
          <w:kern w:val="0"/>
          <w:sz w:val="21"/>
          <w:szCs w:val="21"/>
        </w:rPr>
        <w:t>:00-</w:t>
      </w:r>
      <w:r w:rsidR="008D3C76">
        <w:rPr>
          <w:rFonts w:ascii="宋体" w:hAnsi="宋体" w:cs="宋体" w:hint="eastAsia"/>
          <w:bCs w:val="0"/>
          <w:kern w:val="0"/>
          <w:sz w:val="21"/>
          <w:szCs w:val="21"/>
        </w:rPr>
        <w:t>09</w:t>
      </w:r>
      <w:r w:rsidRPr="00DE6028">
        <w:rPr>
          <w:rFonts w:ascii="宋体" w:hAnsi="宋体" w:cs="宋体" w:hint="eastAsia"/>
          <w:bCs w:val="0"/>
          <w:kern w:val="0"/>
          <w:sz w:val="21"/>
          <w:szCs w:val="21"/>
        </w:rPr>
        <w:t>:</w:t>
      </w:r>
      <w:r w:rsidR="008D3C76">
        <w:rPr>
          <w:rFonts w:ascii="宋体" w:hAnsi="宋体" w:cs="宋体" w:hint="eastAsia"/>
          <w:bCs w:val="0"/>
          <w:kern w:val="0"/>
          <w:sz w:val="21"/>
          <w:szCs w:val="21"/>
        </w:rPr>
        <w:t>20</w:t>
      </w:r>
      <w:r w:rsidRPr="00DE6028">
        <w:rPr>
          <w:rFonts w:ascii="宋体" w:hAnsi="宋体" w:cs="宋体" w:hint="eastAsia"/>
          <w:bCs w:val="0"/>
          <w:kern w:val="0"/>
          <w:sz w:val="21"/>
          <w:szCs w:val="21"/>
        </w:rPr>
        <w:t>:00）</w:t>
      </w:r>
    </w:p>
    <w:p w14:paraId="30C12107" w14:textId="77777777" w:rsidR="00A04322" w:rsidRPr="00A13FFD" w:rsidRDefault="00A04322" w:rsidP="00A04322">
      <w:pPr>
        <w:pStyle w:val="3"/>
        <w:spacing w:line="240" w:lineRule="exact"/>
        <w:ind w:firstLineChars="200" w:firstLine="420"/>
        <w:rPr>
          <w:rFonts w:eastAsia="宋体" w:hint="eastAsia"/>
          <w:sz w:val="21"/>
        </w:rPr>
      </w:pPr>
      <w:bookmarkStart w:id="8" w:name="_Toc510879132"/>
      <w:r w:rsidRPr="00A13FFD">
        <w:rPr>
          <w:rFonts w:eastAsia="宋体" w:hint="eastAsia"/>
          <w:sz w:val="21"/>
        </w:rPr>
        <w:t>一、全面审查原则</w:t>
      </w:r>
      <w:bookmarkEnd w:id="8"/>
    </w:p>
    <w:p w14:paraId="7C1CDDD5" w14:textId="77777777" w:rsidR="00A04322" w:rsidRDefault="00A04322" w:rsidP="00A04322">
      <w:pPr>
        <w:spacing w:line="240" w:lineRule="exact"/>
        <w:ind w:firstLine="420"/>
        <w:rPr>
          <w:rFonts w:eastAsia="宋体" w:hint="eastAsia"/>
        </w:rPr>
      </w:pPr>
      <w:r w:rsidRPr="00A13FFD">
        <w:rPr>
          <w:rFonts w:eastAsia="宋体"/>
        </w:rPr>
        <w:t>第二审人民法院应当就第一审判决认定的事实和适用法律进行全面审查，</w:t>
      </w:r>
      <w:r w:rsidRPr="0035526D">
        <w:rPr>
          <w:rFonts w:eastAsia="宋体"/>
          <w:color w:val="FF0000"/>
        </w:rPr>
        <w:t>不受上诉或者抗诉范围的限制。</w:t>
      </w:r>
      <w:r w:rsidRPr="00A13FFD">
        <w:rPr>
          <w:rFonts w:eastAsia="宋体"/>
        </w:rPr>
        <w:t>共同犯罪的案件只有部分被告人上诉的，应当对全案进行审查，一并处理。</w:t>
      </w:r>
    </w:p>
    <w:p w14:paraId="7A7741D7" w14:textId="77777777" w:rsidR="00A04322" w:rsidRPr="00802B14" w:rsidRDefault="00A04322" w:rsidP="00A04322">
      <w:pPr>
        <w:spacing w:line="240" w:lineRule="exact"/>
        <w:ind w:firstLine="422"/>
        <w:rPr>
          <w:rFonts w:eastAsia="宋体" w:hint="eastAsia"/>
          <w:b/>
          <w:bCs/>
          <w:color w:val="FF0000"/>
        </w:rPr>
      </w:pPr>
      <w:r w:rsidRPr="00802B14">
        <w:rPr>
          <w:rFonts w:eastAsia="宋体" w:hint="eastAsia"/>
          <w:b/>
          <w:bCs/>
          <w:color w:val="FF0000"/>
        </w:rPr>
        <w:t>二、上诉不加刑原则</w:t>
      </w:r>
      <w:r>
        <w:rPr>
          <w:rFonts w:eastAsia="宋体" w:hint="eastAsia"/>
          <w:b/>
          <w:bCs/>
          <w:color w:val="FF0000"/>
        </w:rPr>
        <w:t>（禁止对被告人做实质不利的改判）</w:t>
      </w:r>
    </w:p>
    <w:p w14:paraId="4C25D2E9" w14:textId="77777777" w:rsidR="00A04322" w:rsidRPr="00BA5B1F" w:rsidRDefault="00A04322" w:rsidP="00A04322">
      <w:pPr>
        <w:spacing w:line="240" w:lineRule="exact"/>
        <w:ind w:firstLine="420"/>
        <w:rPr>
          <w:rFonts w:eastAsia="宋体" w:hint="eastAsia"/>
        </w:rPr>
      </w:pPr>
      <w:r w:rsidRPr="00BA5B1F">
        <w:rPr>
          <w:rFonts w:eastAsia="宋体" w:hint="eastAsia"/>
        </w:rPr>
        <w:t>审理被告人或者其法定代理人、辩护人、近亲属提出上诉的案件，不得对被告人的刑罚作出实质不利的改判，人民检察院抗诉或者自诉人上诉的案件，不受限制。</w:t>
      </w:r>
    </w:p>
    <w:p w14:paraId="62190D95" w14:textId="77777777" w:rsidR="00A04322" w:rsidRDefault="00A04322" w:rsidP="00A04322">
      <w:pPr>
        <w:spacing w:line="240" w:lineRule="exact"/>
        <w:ind w:firstLine="420"/>
        <w:rPr>
          <w:rFonts w:eastAsia="宋体" w:hint="eastAsia"/>
          <w:color w:val="FF0000"/>
        </w:rPr>
      </w:pPr>
      <w:r w:rsidRPr="00A13FFD">
        <w:rPr>
          <w:rFonts w:eastAsia="宋体" w:hint="eastAsia"/>
        </w:rPr>
        <w:t>原判认定的罪名不当的</w:t>
      </w:r>
      <w:r>
        <w:rPr>
          <w:rFonts w:eastAsia="宋体" w:hint="eastAsia"/>
        </w:rPr>
        <w:t>，</w:t>
      </w:r>
      <w:r w:rsidRPr="00A13FFD">
        <w:rPr>
          <w:rFonts w:eastAsia="宋体" w:hint="eastAsia"/>
          <w:color w:val="FF0000"/>
        </w:rPr>
        <w:t>可以改变罪名，但不得加重刑罚或者对刑罚执行产生不利影响</w:t>
      </w:r>
      <w:r>
        <w:rPr>
          <w:rFonts w:eastAsia="宋体" w:hint="eastAsia"/>
          <w:color w:val="FF0000"/>
        </w:rPr>
        <w:t>。</w:t>
      </w:r>
      <w:r w:rsidRPr="00A13FFD">
        <w:rPr>
          <w:rFonts w:eastAsia="宋体" w:hint="eastAsia"/>
        </w:rPr>
        <w:t>原判认定的罪数不当的</w:t>
      </w:r>
      <w:r>
        <w:rPr>
          <w:rFonts w:eastAsia="宋体" w:hint="eastAsia"/>
        </w:rPr>
        <w:t>，</w:t>
      </w:r>
      <w:r w:rsidRPr="00A13FFD">
        <w:rPr>
          <w:rFonts w:eastAsia="宋体" w:hint="eastAsia"/>
          <w:color w:val="FF0000"/>
        </w:rPr>
        <w:t>可以改变罪数，并调整刑罚，但不得加重决定执行的刑罚或者对刑罚执行产生不利影响</w:t>
      </w:r>
      <w:r>
        <w:rPr>
          <w:rFonts w:eastAsia="宋体" w:hint="eastAsia"/>
          <w:color w:val="FF0000"/>
        </w:rPr>
        <w:t>。</w:t>
      </w:r>
    </w:p>
    <w:p w14:paraId="762AFE45" w14:textId="77777777" w:rsidR="00A04322" w:rsidRPr="00BA5B1F" w:rsidRDefault="00A04322" w:rsidP="00A04322">
      <w:pPr>
        <w:spacing w:line="240" w:lineRule="exact"/>
        <w:ind w:firstLine="420"/>
        <w:rPr>
          <w:rFonts w:eastAsia="宋体" w:hint="eastAsia"/>
        </w:rPr>
      </w:pPr>
      <w:r w:rsidRPr="00BA5B1F">
        <w:rPr>
          <w:rFonts w:eastAsia="宋体" w:hint="eastAsia"/>
        </w:rPr>
        <w:t>被告人或者其法定代理人、辩护人、近亲属提出上诉，人民检察院未提出抗诉的案件，第二审人民法院发回重新审判后，除有新的犯罪事实且人民检察院补充起诉的以外，原审人民法院不得加重被告人的刑罚。原审人民法院对上诉发回重新审判的案件依法作出判决后，人民检察院抗诉的，第二审人民法院不得改判为重于原审人民法院第一次判处的刑罚</w:t>
      </w:r>
    </w:p>
    <w:p w14:paraId="6A69818B" w14:textId="77777777" w:rsidR="00A04322" w:rsidRDefault="00A04322" w:rsidP="00A04322">
      <w:pPr>
        <w:spacing w:line="240" w:lineRule="exact"/>
        <w:ind w:firstLineChars="200" w:firstLine="420"/>
        <w:rPr>
          <w:rFonts w:ascii="宋体" w:eastAsia="宋体" w:hAnsi="宋体" w:cs="仿宋_GB2312" w:hint="eastAsia"/>
          <w:bCs/>
          <w:szCs w:val="21"/>
        </w:rPr>
      </w:pPr>
      <w:r>
        <w:rPr>
          <w:rFonts w:ascii="宋体" w:eastAsia="宋体" w:hAnsi="宋体" w:cs="仿宋_GB2312" w:hint="eastAsia"/>
          <w:bCs/>
          <w:color w:val="FF0000"/>
          <w:szCs w:val="21"/>
        </w:rPr>
        <w:t>注意（1）</w:t>
      </w:r>
      <w:r w:rsidRPr="00DE6028">
        <w:rPr>
          <w:rFonts w:ascii="宋体" w:eastAsia="宋体" w:hAnsi="宋体" w:cs="仿宋_GB2312" w:hint="eastAsia"/>
          <w:bCs/>
          <w:color w:val="FF0000"/>
          <w:szCs w:val="21"/>
        </w:rPr>
        <w:t>可以改变罪名，但罪名的改变不得加重刑罚，也不能对刑罚的执行产生不利影响。</w:t>
      </w:r>
      <w:r w:rsidRPr="0066795A">
        <w:rPr>
          <w:rFonts w:ascii="宋体" w:eastAsia="宋体" w:hAnsi="宋体" w:cs="仿宋_GB2312" w:hint="eastAsia"/>
          <w:bCs/>
          <w:color w:val="FF0000"/>
          <w:szCs w:val="21"/>
        </w:rPr>
        <w:t>（2）</w:t>
      </w:r>
      <w:r w:rsidRPr="00DE6028">
        <w:rPr>
          <w:rFonts w:ascii="宋体" w:eastAsia="宋体" w:hAnsi="宋体" w:cs="仿宋_GB2312" w:hint="eastAsia"/>
          <w:bCs/>
          <w:color w:val="FF0000"/>
          <w:szCs w:val="21"/>
        </w:rPr>
        <w:t>可以改变罪数，并调整刑罚，但不得加重决定执行的刑罚或者对刑罚执行产生不利影响。</w:t>
      </w:r>
      <w:r w:rsidRPr="00C93B88">
        <w:rPr>
          <w:rFonts w:ascii="宋体" w:eastAsia="宋体" w:hAnsi="宋体" w:cs="仿宋_GB2312" w:hint="eastAsia"/>
          <w:bCs/>
          <w:color w:val="FF0000"/>
          <w:szCs w:val="21"/>
        </w:rPr>
        <w:t>（3）对于只有</w:t>
      </w:r>
      <w:r w:rsidRPr="00DE6028">
        <w:rPr>
          <w:rFonts w:ascii="宋体" w:eastAsia="宋体" w:hAnsi="宋体" w:cs="仿宋_GB2312" w:hint="eastAsia"/>
          <w:bCs/>
          <w:color w:val="FF0000"/>
          <w:szCs w:val="21"/>
        </w:rPr>
        <w:t>被告人一方上诉，而二审发回重新审判的案件，原审人民法院也不得加重被告人的刑罚</w:t>
      </w:r>
      <w:r w:rsidRPr="00DE6028">
        <w:rPr>
          <w:rFonts w:ascii="宋体" w:eastAsia="宋体" w:hAnsi="宋体" w:cs="仿宋_GB2312" w:hint="eastAsia"/>
          <w:bCs/>
          <w:szCs w:val="21"/>
        </w:rPr>
        <w:t>。</w:t>
      </w:r>
      <w:r>
        <w:rPr>
          <w:rFonts w:ascii="宋体" w:eastAsia="宋体" w:hAnsi="宋体" w:cs="仿宋_GB2312" w:hint="eastAsia"/>
          <w:bCs/>
          <w:szCs w:val="21"/>
        </w:rPr>
        <w:t>这</w:t>
      </w:r>
      <w:r w:rsidRPr="00DE6028">
        <w:rPr>
          <w:rFonts w:ascii="宋体" w:eastAsia="宋体" w:hAnsi="宋体" w:cs="仿宋_GB2312" w:hint="eastAsia"/>
          <w:bCs/>
          <w:szCs w:val="21"/>
        </w:rPr>
        <w:t>不存在例外。</w:t>
      </w:r>
    </w:p>
    <w:p w14:paraId="6C9BA1A9" w14:textId="2C833249" w:rsidR="00A04322" w:rsidRDefault="00A04322" w:rsidP="00A04322">
      <w:pPr>
        <w:pStyle w:val="1"/>
        <w:tabs>
          <w:tab w:val="left" w:pos="420"/>
        </w:tabs>
        <w:spacing w:before="0" w:after="0" w:line="240" w:lineRule="exact"/>
        <w:jc w:val="center"/>
        <w:rPr>
          <w:rFonts w:ascii="宋体" w:hAnsi="宋体" w:cs="宋体" w:hint="eastAsia"/>
          <w:bCs w:val="0"/>
          <w:kern w:val="0"/>
          <w:sz w:val="21"/>
          <w:szCs w:val="21"/>
        </w:rPr>
      </w:pPr>
      <w:bookmarkStart w:id="9" w:name="_Toc510879134"/>
      <w:bookmarkStart w:id="10" w:name="_Toc128736534"/>
      <w:bookmarkStart w:id="11" w:name="_Toc64384726"/>
      <w:bookmarkStart w:id="12" w:name="_Toc4844149"/>
      <w:bookmarkStart w:id="13" w:name="_Toc132408734"/>
      <w:r w:rsidRPr="00B60AC8">
        <w:rPr>
          <w:rFonts w:ascii="宋体" w:hAnsi="宋体" w:cs="宋体" w:hint="eastAsia"/>
          <w:bCs w:val="0"/>
          <w:sz w:val="21"/>
          <w:szCs w:val="21"/>
        </w:rPr>
        <w:t>考点</w:t>
      </w:r>
      <w:r w:rsidRPr="00B60AC8">
        <w:rPr>
          <w:rFonts w:ascii="宋体" w:hAnsi="宋体" w:cs="宋体"/>
          <w:bCs w:val="0"/>
          <w:sz w:val="21"/>
          <w:szCs w:val="21"/>
        </w:rPr>
        <w:t>28</w:t>
      </w:r>
      <w:r w:rsidRPr="00B60AC8">
        <w:rPr>
          <w:rFonts w:ascii="宋体" w:hAnsi="宋体" w:cs="宋体" w:hint="eastAsia"/>
          <w:bCs w:val="0"/>
          <w:sz w:val="21"/>
          <w:szCs w:val="21"/>
        </w:rPr>
        <w:t xml:space="preserve">  第二审程序的审理</w:t>
      </w:r>
      <w:bookmarkEnd w:id="9"/>
      <w:bookmarkEnd w:id="10"/>
      <w:bookmarkEnd w:id="11"/>
      <w:bookmarkEnd w:id="12"/>
      <w:bookmarkEnd w:id="13"/>
      <w:r w:rsidRPr="00DE6028">
        <w:rPr>
          <w:rFonts w:ascii="宋体" w:hAnsi="宋体" w:cs="宋体" w:hint="eastAsia"/>
          <w:bCs w:val="0"/>
          <w:kern w:val="0"/>
          <w:sz w:val="21"/>
          <w:szCs w:val="21"/>
        </w:rPr>
        <w:t>（</w:t>
      </w:r>
      <w:r w:rsidR="00AF30D4">
        <w:rPr>
          <w:rFonts w:ascii="宋体" w:hAnsi="宋体" w:cs="宋体" w:hint="eastAsia"/>
          <w:bCs w:val="0"/>
          <w:kern w:val="0"/>
          <w:sz w:val="21"/>
          <w:szCs w:val="21"/>
        </w:rPr>
        <w:t>09</w:t>
      </w:r>
      <w:r w:rsidRPr="00DE6028">
        <w:rPr>
          <w:rFonts w:ascii="宋体" w:hAnsi="宋体" w:cs="宋体" w:hint="eastAsia"/>
          <w:bCs w:val="0"/>
          <w:kern w:val="0"/>
          <w:sz w:val="21"/>
          <w:szCs w:val="21"/>
        </w:rPr>
        <w:t>:</w:t>
      </w:r>
      <w:r w:rsidR="00AF30D4">
        <w:rPr>
          <w:rFonts w:ascii="宋体" w:hAnsi="宋体" w:cs="宋体" w:hint="eastAsia"/>
          <w:bCs w:val="0"/>
          <w:kern w:val="0"/>
          <w:sz w:val="21"/>
          <w:szCs w:val="21"/>
        </w:rPr>
        <w:t>30</w:t>
      </w:r>
      <w:r w:rsidRPr="00DE6028">
        <w:rPr>
          <w:rFonts w:ascii="宋体" w:hAnsi="宋体" w:cs="宋体" w:hint="eastAsia"/>
          <w:bCs w:val="0"/>
          <w:kern w:val="0"/>
          <w:sz w:val="21"/>
          <w:szCs w:val="21"/>
        </w:rPr>
        <w:t>:00-</w:t>
      </w:r>
      <w:r w:rsidR="004E4A44">
        <w:rPr>
          <w:rFonts w:ascii="宋体" w:hAnsi="宋体" w:cs="宋体" w:hint="eastAsia"/>
          <w:bCs w:val="0"/>
          <w:kern w:val="0"/>
          <w:sz w:val="21"/>
          <w:szCs w:val="21"/>
        </w:rPr>
        <w:t>10</w:t>
      </w:r>
      <w:r w:rsidRPr="00DE6028">
        <w:rPr>
          <w:rFonts w:ascii="宋体" w:hAnsi="宋体" w:cs="宋体" w:hint="eastAsia"/>
          <w:bCs w:val="0"/>
          <w:kern w:val="0"/>
          <w:sz w:val="21"/>
          <w:szCs w:val="21"/>
        </w:rPr>
        <w:t>:</w:t>
      </w:r>
      <w:r w:rsidR="004E4A44">
        <w:rPr>
          <w:rFonts w:ascii="宋体" w:hAnsi="宋体" w:cs="宋体" w:hint="eastAsia"/>
          <w:bCs w:val="0"/>
          <w:kern w:val="0"/>
          <w:sz w:val="21"/>
          <w:szCs w:val="21"/>
        </w:rPr>
        <w:t>30</w:t>
      </w:r>
      <w:r w:rsidRPr="00DE6028">
        <w:rPr>
          <w:rFonts w:ascii="宋体" w:hAnsi="宋体" w:cs="宋体" w:hint="eastAsia"/>
          <w:bCs w:val="0"/>
          <w:kern w:val="0"/>
          <w:sz w:val="21"/>
          <w:szCs w:val="21"/>
        </w:rPr>
        <w:t>:00）</w:t>
      </w:r>
    </w:p>
    <w:p w14:paraId="2995CD60" w14:textId="77777777" w:rsidR="00A04322" w:rsidRPr="00321398" w:rsidRDefault="00A04322" w:rsidP="00A04322">
      <w:pPr>
        <w:pStyle w:val="3"/>
        <w:spacing w:line="240" w:lineRule="exact"/>
        <w:ind w:firstLineChars="200" w:firstLine="420"/>
        <w:rPr>
          <w:rFonts w:eastAsia="宋体" w:hint="eastAsia"/>
          <w:sz w:val="21"/>
        </w:rPr>
      </w:pPr>
      <w:r w:rsidRPr="00321398">
        <w:rPr>
          <w:rFonts w:eastAsia="宋体" w:hint="eastAsia"/>
          <w:sz w:val="21"/>
        </w:rPr>
        <w:t>一、上诉、抗诉的提起与撤回</w:t>
      </w:r>
    </w:p>
    <w:p w14:paraId="72F4B4D0" w14:textId="77777777" w:rsidR="00A04322" w:rsidRPr="00321398" w:rsidRDefault="00A04322" w:rsidP="00A04322">
      <w:pPr>
        <w:pStyle w:val="4"/>
        <w:spacing w:line="240" w:lineRule="exact"/>
        <w:ind w:firstLineChars="200" w:firstLine="420"/>
        <w:rPr>
          <w:rFonts w:ascii="宋体" w:eastAsia="宋体" w:hAnsi="宋体" w:hint="eastAsia"/>
          <w:sz w:val="21"/>
          <w:szCs w:val="21"/>
        </w:rPr>
      </w:pPr>
      <w:r w:rsidRPr="00321398">
        <w:rPr>
          <w:rFonts w:ascii="宋体" w:eastAsia="宋体" w:hAnsi="宋体" w:hint="eastAsia"/>
          <w:sz w:val="21"/>
          <w:szCs w:val="21"/>
        </w:rPr>
        <w:t>（一）上诉</w:t>
      </w:r>
    </w:p>
    <w:p w14:paraId="30C980B5" w14:textId="77777777" w:rsidR="00A04322" w:rsidRPr="00321398" w:rsidRDefault="00A04322" w:rsidP="00A04322">
      <w:pPr>
        <w:spacing w:line="240" w:lineRule="exact"/>
        <w:ind w:firstLineChars="200" w:firstLine="420"/>
        <w:jc w:val="left"/>
        <w:rPr>
          <w:rFonts w:ascii="宋体" w:eastAsia="宋体" w:hAnsi="宋体" w:cs="汉仪中黑简" w:hint="eastAsia"/>
          <w:bCs/>
          <w:kern w:val="44"/>
        </w:rPr>
      </w:pPr>
      <w:r w:rsidRPr="00321398">
        <w:rPr>
          <w:rFonts w:ascii="宋体" w:eastAsia="宋体" w:hAnsi="宋体" w:cs="汉仪中黑简" w:hint="eastAsia"/>
          <w:bCs/>
          <w:kern w:val="44"/>
        </w:rPr>
        <w:t>1．上诉人的范围</w:t>
      </w:r>
    </w:p>
    <w:p w14:paraId="3D5B5E05" w14:textId="77777777" w:rsidR="00A04322" w:rsidRPr="00321398" w:rsidRDefault="00A04322" w:rsidP="00A04322">
      <w:pPr>
        <w:widowControl/>
        <w:spacing w:line="240" w:lineRule="exact"/>
        <w:ind w:firstLineChars="200" w:firstLine="412"/>
        <w:jc w:val="left"/>
        <w:rPr>
          <w:rFonts w:ascii="宋体" w:eastAsia="宋体" w:hAnsi="宋体" w:hint="eastAsia"/>
          <w:color w:val="FF0000"/>
          <w:spacing w:val="-2"/>
        </w:rPr>
      </w:pPr>
      <w:r w:rsidRPr="00321398">
        <w:rPr>
          <w:rFonts w:ascii="宋体" w:eastAsia="宋体" w:hAnsi="宋体" w:hint="eastAsia"/>
          <w:spacing w:val="-2"/>
        </w:rPr>
        <w:t>法院在宣告第一审判决、裁定时，应当告知</w:t>
      </w:r>
      <w:r w:rsidRPr="00321398">
        <w:rPr>
          <w:rFonts w:ascii="宋体" w:eastAsia="宋体" w:hAnsi="宋体" w:hint="eastAsia"/>
          <w:color w:val="FF0000"/>
          <w:spacing w:val="-2"/>
        </w:rPr>
        <w:t>被告人、自诉人及其法定代理人</w:t>
      </w:r>
      <w:r w:rsidRPr="00321398">
        <w:rPr>
          <w:rFonts w:ascii="宋体" w:eastAsia="宋体" w:hAnsi="宋体" w:hint="eastAsia"/>
          <w:spacing w:val="-2"/>
        </w:rPr>
        <w:t>不服</w:t>
      </w:r>
      <w:r w:rsidRPr="00321398">
        <w:rPr>
          <w:rFonts w:ascii="宋体" w:eastAsia="宋体" w:hAnsi="宋体" w:hint="eastAsia"/>
          <w:color w:val="FF0000"/>
          <w:spacing w:val="-2"/>
        </w:rPr>
        <w:t>判决和准许撤回起诉、终止审理等裁定</w:t>
      </w:r>
      <w:r w:rsidRPr="00321398">
        <w:rPr>
          <w:rFonts w:ascii="宋体" w:eastAsia="宋体" w:hAnsi="宋体" w:hint="eastAsia"/>
          <w:spacing w:val="-2"/>
        </w:rPr>
        <w:t>的，有权在法定期限内以书面或者口头形式，</w:t>
      </w:r>
      <w:r w:rsidRPr="00321398">
        <w:rPr>
          <w:rFonts w:ascii="宋体" w:eastAsia="宋体" w:hAnsi="宋体" w:hint="eastAsia"/>
          <w:color w:val="FF0000"/>
          <w:spacing w:val="-2"/>
        </w:rPr>
        <w:t>通过本院或者直接向上一级人民法院提出上诉</w:t>
      </w:r>
      <w:r w:rsidRPr="00321398">
        <w:rPr>
          <w:rFonts w:ascii="宋体" w:eastAsia="宋体" w:hAnsi="宋体" w:hint="eastAsia"/>
          <w:spacing w:val="-2"/>
        </w:rPr>
        <w:t>；</w:t>
      </w:r>
      <w:r w:rsidRPr="00321398">
        <w:rPr>
          <w:rFonts w:ascii="宋体" w:eastAsia="宋体" w:hAnsi="宋体" w:hint="eastAsia"/>
          <w:color w:val="FF0000"/>
          <w:spacing w:val="-2"/>
        </w:rPr>
        <w:t>被告人的辩护人、近亲属经被告人同意</w:t>
      </w:r>
      <w:r w:rsidRPr="00321398">
        <w:rPr>
          <w:rFonts w:ascii="宋体" w:eastAsia="宋体" w:hAnsi="宋体" w:hint="eastAsia"/>
          <w:spacing w:val="-2"/>
        </w:rPr>
        <w:t>，也可以提出上诉；</w:t>
      </w:r>
      <w:r w:rsidRPr="00321398">
        <w:rPr>
          <w:rFonts w:ascii="宋体" w:eastAsia="宋体" w:hAnsi="宋体" w:hint="eastAsia"/>
          <w:color w:val="FF0000"/>
          <w:spacing w:val="-2"/>
        </w:rPr>
        <w:t>附带民事诉讼当事人及其法定代理人</w:t>
      </w:r>
      <w:r w:rsidRPr="00321398">
        <w:rPr>
          <w:rFonts w:ascii="宋体" w:eastAsia="宋体" w:hAnsi="宋体" w:hint="eastAsia"/>
          <w:spacing w:val="-2"/>
        </w:rPr>
        <w:t>，可以</w:t>
      </w:r>
      <w:r w:rsidRPr="00321398">
        <w:rPr>
          <w:rFonts w:ascii="宋体" w:eastAsia="宋体" w:hAnsi="宋体" w:hint="eastAsia"/>
          <w:color w:val="FF0000"/>
          <w:spacing w:val="-2"/>
        </w:rPr>
        <w:t>对判决、裁定中的附带民事部分提出上诉。</w:t>
      </w:r>
    </w:p>
    <w:p w14:paraId="7532BD7B" w14:textId="77777777" w:rsidR="00A04322" w:rsidRPr="00321398" w:rsidRDefault="00A04322" w:rsidP="00A04322">
      <w:pPr>
        <w:widowControl/>
        <w:spacing w:line="240" w:lineRule="exact"/>
        <w:ind w:firstLineChars="200" w:firstLine="420"/>
        <w:jc w:val="left"/>
        <w:rPr>
          <w:rFonts w:ascii="宋体" w:eastAsia="宋体" w:hAnsi="宋体" w:hint="eastAsia"/>
          <w:color w:val="FF0000"/>
          <w:spacing w:val="-2"/>
        </w:rPr>
      </w:pPr>
      <w:r w:rsidRPr="00321398">
        <w:rPr>
          <w:rFonts w:ascii="宋体" w:eastAsia="宋体" w:hAnsi="宋体" w:cs="汉仪中黑简" w:hint="eastAsia"/>
          <w:bCs/>
          <w:kern w:val="44"/>
        </w:rPr>
        <w:t>2．上诉的期限</w:t>
      </w:r>
    </w:p>
    <w:p w14:paraId="369C0574" w14:textId="77777777" w:rsidR="00A04322" w:rsidRPr="00321398" w:rsidRDefault="00A04322" w:rsidP="00A04322">
      <w:pPr>
        <w:widowControl/>
        <w:spacing w:line="240" w:lineRule="exact"/>
        <w:ind w:firstLineChars="200" w:firstLine="420"/>
        <w:rPr>
          <w:rFonts w:ascii="宋体" w:eastAsia="宋体" w:hAnsi="宋体" w:hint="eastAsia"/>
        </w:rPr>
      </w:pPr>
      <w:r w:rsidRPr="00321398">
        <w:rPr>
          <w:rFonts w:ascii="宋体" w:eastAsia="宋体" w:hAnsi="宋体" w:hint="eastAsia"/>
          <w:color w:val="FF0000"/>
        </w:rPr>
        <w:t>判决（包括附带民事诉讼部分）为十日，裁定为五日。</w:t>
      </w:r>
      <w:r w:rsidRPr="00321398">
        <w:rPr>
          <w:rFonts w:ascii="宋体" w:eastAsia="宋体" w:hAnsi="宋体" w:hint="eastAsia"/>
        </w:rPr>
        <w:t>上诉、抗诉的期限，从接到判决书、裁定书的第二日起计算。被告人、自诉人、附带民事诉讼当事人及其法定代理人是否提出上诉，以其在上诉期满前最后一次的意思表示为准。</w:t>
      </w:r>
    </w:p>
    <w:p w14:paraId="1A8A1107" w14:textId="77777777" w:rsidR="00A04322" w:rsidRPr="00321398" w:rsidRDefault="00A04322" w:rsidP="00A04322">
      <w:pPr>
        <w:spacing w:line="240" w:lineRule="exact"/>
        <w:ind w:firstLineChars="200" w:firstLine="420"/>
        <w:jc w:val="left"/>
        <w:rPr>
          <w:rFonts w:ascii="宋体" w:eastAsia="宋体" w:hAnsi="宋体" w:cs="汉仪中黑简" w:hint="eastAsia"/>
          <w:bCs/>
          <w:kern w:val="44"/>
        </w:rPr>
      </w:pPr>
      <w:r w:rsidRPr="00321398">
        <w:rPr>
          <w:rFonts w:ascii="宋体" w:eastAsia="宋体" w:hAnsi="宋体" w:cs="汉仪中黑简" w:hint="eastAsia"/>
          <w:bCs/>
          <w:kern w:val="44"/>
        </w:rPr>
        <w:t>3．上诉的撤回</w:t>
      </w:r>
    </w:p>
    <w:p w14:paraId="3DBC03DF" w14:textId="77777777" w:rsidR="00A04322" w:rsidRPr="00321398" w:rsidRDefault="00A04322" w:rsidP="00A04322">
      <w:pPr>
        <w:widowControl/>
        <w:spacing w:line="240" w:lineRule="exact"/>
        <w:ind w:firstLineChars="200" w:firstLine="420"/>
        <w:rPr>
          <w:rFonts w:ascii="宋体" w:eastAsia="宋体" w:hAnsi="宋体" w:hint="eastAsia"/>
        </w:rPr>
      </w:pPr>
      <w:r w:rsidRPr="00321398">
        <w:rPr>
          <w:rFonts w:ascii="宋体" w:eastAsia="宋体" w:hAnsi="宋体" w:hint="eastAsia"/>
        </w:rPr>
        <w:t>（1）上诉人在</w:t>
      </w:r>
      <w:r w:rsidRPr="00321398">
        <w:rPr>
          <w:rFonts w:ascii="宋体" w:eastAsia="宋体" w:hAnsi="宋体" w:hint="eastAsia"/>
          <w:color w:val="FF0000"/>
        </w:rPr>
        <w:t>上诉期限内</w:t>
      </w:r>
      <w:r w:rsidRPr="00321398">
        <w:rPr>
          <w:rFonts w:ascii="宋体" w:eastAsia="宋体" w:hAnsi="宋体" w:hint="eastAsia"/>
        </w:rPr>
        <w:t>要求撤回上诉的，人民法院应当准许。</w:t>
      </w:r>
    </w:p>
    <w:p w14:paraId="70ED630B" w14:textId="77777777" w:rsidR="00A04322" w:rsidRPr="00321398" w:rsidRDefault="00A04322" w:rsidP="00A04322">
      <w:pPr>
        <w:widowControl/>
        <w:spacing w:line="240" w:lineRule="exact"/>
        <w:ind w:firstLineChars="200" w:firstLine="420"/>
        <w:rPr>
          <w:rFonts w:ascii="宋体" w:eastAsia="宋体" w:hAnsi="宋体" w:hint="eastAsia"/>
        </w:rPr>
      </w:pPr>
      <w:r w:rsidRPr="00321398">
        <w:rPr>
          <w:rFonts w:ascii="宋体" w:eastAsia="宋体" w:hAnsi="宋体" w:hint="eastAsia"/>
        </w:rPr>
        <w:t>（</w:t>
      </w:r>
      <w:r w:rsidRPr="00321398">
        <w:rPr>
          <w:rFonts w:ascii="宋体" w:eastAsia="宋体" w:hAnsi="宋体"/>
        </w:rPr>
        <w:t>2）上诉期满后要求撤回上诉的，二审法院经审查，认为原判认定事实和适用法律正确，量刑适当的，应当裁定准许；原判确有错误的，应当不予准许，继续按照上诉案件审理。</w:t>
      </w:r>
    </w:p>
    <w:p w14:paraId="5DFD7F73" w14:textId="77777777" w:rsidR="00A04322" w:rsidRPr="00321398" w:rsidRDefault="00A04322" w:rsidP="00A04322">
      <w:pPr>
        <w:widowControl/>
        <w:spacing w:line="240" w:lineRule="exact"/>
        <w:ind w:firstLine="200"/>
        <w:rPr>
          <w:rFonts w:ascii="宋体" w:eastAsia="宋体" w:hAnsi="宋体" w:hint="eastAsia"/>
        </w:rPr>
      </w:pPr>
      <w:r w:rsidRPr="00321398">
        <w:rPr>
          <w:rFonts w:ascii="宋体" w:eastAsia="宋体" w:hAnsi="宋体" w:hint="eastAsia"/>
        </w:rPr>
        <w:t>（3）被判处</w:t>
      </w:r>
      <w:r w:rsidRPr="00321398">
        <w:rPr>
          <w:rFonts w:ascii="宋体" w:eastAsia="宋体" w:hAnsi="宋体" w:hint="eastAsia"/>
          <w:color w:val="FF0000"/>
        </w:rPr>
        <w:t>死刑立即执行的被告人提出上诉</w:t>
      </w:r>
      <w:r w:rsidRPr="00321398">
        <w:rPr>
          <w:rFonts w:ascii="宋体" w:eastAsia="宋体" w:hAnsi="宋体" w:hint="eastAsia"/>
        </w:rPr>
        <w:t>，在第二审开庭后宣告裁判前申请撤回上诉的，应当不予准许，继续按照上诉案件审理。</w:t>
      </w:r>
    </w:p>
    <w:p w14:paraId="610F52B1" w14:textId="77777777" w:rsidR="00A04322" w:rsidRPr="00321398" w:rsidRDefault="00A04322" w:rsidP="00A04322">
      <w:pPr>
        <w:pStyle w:val="4"/>
        <w:spacing w:line="240" w:lineRule="exact"/>
        <w:ind w:firstLineChars="200" w:firstLine="420"/>
        <w:rPr>
          <w:rFonts w:ascii="宋体" w:eastAsia="宋体" w:hAnsi="宋体" w:hint="eastAsia"/>
          <w:sz w:val="21"/>
          <w:szCs w:val="21"/>
        </w:rPr>
      </w:pPr>
      <w:r w:rsidRPr="00321398">
        <w:rPr>
          <w:rFonts w:ascii="宋体" w:eastAsia="宋体" w:hAnsi="宋体" w:hint="eastAsia"/>
          <w:sz w:val="21"/>
          <w:szCs w:val="21"/>
        </w:rPr>
        <w:t>（二）抗诉</w:t>
      </w:r>
    </w:p>
    <w:p w14:paraId="23E42A11" w14:textId="77777777" w:rsidR="00A04322" w:rsidRPr="00321398" w:rsidRDefault="00A04322" w:rsidP="00A04322">
      <w:pPr>
        <w:spacing w:line="240" w:lineRule="exact"/>
        <w:ind w:firstLineChars="200" w:firstLine="420"/>
        <w:jc w:val="left"/>
        <w:rPr>
          <w:rFonts w:ascii="宋体" w:eastAsia="宋体" w:hAnsi="宋体" w:cs="汉仪中黑简" w:hint="eastAsia"/>
          <w:bCs/>
          <w:kern w:val="44"/>
        </w:rPr>
      </w:pPr>
      <w:r w:rsidRPr="00321398">
        <w:rPr>
          <w:rFonts w:ascii="宋体" w:eastAsia="宋体" w:hAnsi="宋体" w:cs="汉仪中黑简" w:hint="eastAsia"/>
          <w:bCs/>
          <w:kern w:val="44"/>
        </w:rPr>
        <w:t>1．二审抗诉的主体</w:t>
      </w:r>
    </w:p>
    <w:p w14:paraId="032E98E2" w14:textId="77777777" w:rsidR="00A04322" w:rsidRPr="00321398" w:rsidRDefault="00A04322" w:rsidP="00A04322">
      <w:pPr>
        <w:widowControl/>
        <w:spacing w:line="240" w:lineRule="exact"/>
        <w:ind w:firstLineChars="200" w:firstLine="420"/>
        <w:rPr>
          <w:rFonts w:ascii="宋体" w:eastAsia="宋体" w:hAnsi="宋体" w:hint="eastAsia"/>
        </w:rPr>
      </w:pPr>
      <w:r w:rsidRPr="00321398">
        <w:rPr>
          <w:rFonts w:ascii="宋体" w:eastAsia="宋体" w:hAnsi="宋体" w:hint="eastAsia"/>
          <w:color w:val="FF0000"/>
        </w:rPr>
        <w:t>一审法院的同级人民检察院</w:t>
      </w:r>
      <w:r w:rsidRPr="00321398">
        <w:rPr>
          <w:rFonts w:ascii="宋体" w:eastAsia="宋体" w:hAnsi="宋体" w:hint="eastAsia"/>
        </w:rPr>
        <w:t>，应当</w:t>
      </w:r>
      <w:r w:rsidRPr="00321398">
        <w:rPr>
          <w:rFonts w:ascii="宋体" w:eastAsia="宋体" w:hAnsi="宋体" w:hint="eastAsia"/>
          <w:color w:val="FF0000"/>
        </w:rPr>
        <w:t>通过第一审人民法院提交抗诉书</w:t>
      </w:r>
      <w:r w:rsidRPr="00321398">
        <w:rPr>
          <w:rFonts w:ascii="宋体" w:eastAsia="宋体" w:hAnsi="宋体" w:hint="eastAsia"/>
        </w:rPr>
        <w:t>。（</w:t>
      </w:r>
      <w:r w:rsidRPr="00321398">
        <w:rPr>
          <w:rFonts w:ascii="宋体" w:eastAsia="宋体" w:hAnsi="宋体" w:hint="eastAsia"/>
          <w:color w:val="FF0000"/>
        </w:rPr>
        <w:t>注意：</w:t>
      </w:r>
      <w:r w:rsidRPr="00321398">
        <w:rPr>
          <w:rFonts w:ascii="宋体" w:eastAsia="宋体" w:hAnsi="宋体" w:hint="eastAsia"/>
        </w:rPr>
        <w:t>上级人民检察院认为应当抗诉的，</w:t>
      </w:r>
      <w:r w:rsidRPr="00321398">
        <w:rPr>
          <w:rFonts w:ascii="宋体" w:eastAsia="宋体" w:hAnsi="宋体" w:hint="eastAsia"/>
          <w:color w:val="FF0000"/>
        </w:rPr>
        <w:t>只能指令一审法院的同级人民检察院在抗诉期内提起抗诉，不能直接提起二审抗诉</w:t>
      </w:r>
      <w:r w:rsidRPr="00321398">
        <w:rPr>
          <w:rFonts w:ascii="宋体" w:eastAsia="宋体" w:hAnsi="宋体" w:hint="eastAsia"/>
        </w:rPr>
        <w:t>。对已经提起的抗诉，认为不当的，直接向二审法院撤回）</w:t>
      </w:r>
    </w:p>
    <w:p w14:paraId="2DABCD40" w14:textId="77777777" w:rsidR="00A04322" w:rsidRPr="00321398" w:rsidRDefault="00A04322" w:rsidP="00A04322">
      <w:pPr>
        <w:spacing w:line="240" w:lineRule="exact"/>
        <w:ind w:firstLineChars="200" w:firstLine="420"/>
        <w:jc w:val="left"/>
        <w:rPr>
          <w:rFonts w:ascii="宋体" w:eastAsia="宋体" w:hAnsi="宋体" w:cs="汉仪中黑简" w:hint="eastAsia"/>
          <w:bCs/>
          <w:kern w:val="44"/>
        </w:rPr>
      </w:pPr>
      <w:r w:rsidRPr="00321398">
        <w:rPr>
          <w:rFonts w:ascii="宋体" w:eastAsia="宋体" w:hAnsi="宋体" w:cs="汉仪中黑简" w:hint="eastAsia"/>
          <w:bCs/>
          <w:kern w:val="44"/>
        </w:rPr>
        <w:t>2．抗诉的撤回</w:t>
      </w:r>
    </w:p>
    <w:p w14:paraId="32EDDE1B" w14:textId="77777777" w:rsidR="00A04322" w:rsidRDefault="00A04322" w:rsidP="00A04322">
      <w:pPr>
        <w:widowControl/>
        <w:spacing w:line="240" w:lineRule="exact"/>
        <w:ind w:firstLineChars="200" w:firstLine="420"/>
        <w:rPr>
          <w:rFonts w:ascii="宋体" w:eastAsia="宋体" w:hAnsi="宋体" w:hint="eastAsia"/>
        </w:rPr>
      </w:pPr>
      <w:r w:rsidRPr="00321398">
        <w:rPr>
          <w:rFonts w:ascii="宋体" w:eastAsia="宋体" w:hAnsi="宋体" w:hint="eastAsia"/>
        </w:rPr>
        <w:t>（1）人民检察院在</w:t>
      </w:r>
      <w:r w:rsidRPr="00321398">
        <w:rPr>
          <w:rFonts w:ascii="宋体" w:eastAsia="宋体" w:hAnsi="宋体" w:hint="eastAsia"/>
          <w:color w:val="FF0000"/>
        </w:rPr>
        <w:t>抗诉期限内</w:t>
      </w:r>
      <w:r w:rsidRPr="00321398">
        <w:rPr>
          <w:rFonts w:ascii="宋体" w:eastAsia="宋体" w:hAnsi="宋体" w:hint="eastAsia"/>
        </w:rPr>
        <w:t>要求撤回抗诉的，</w:t>
      </w:r>
      <w:r w:rsidRPr="00321398">
        <w:rPr>
          <w:rFonts w:ascii="宋体" w:eastAsia="宋体" w:hAnsi="宋体" w:hint="eastAsia"/>
          <w:color w:val="FF0000"/>
        </w:rPr>
        <w:t>人民法院应当准许。</w:t>
      </w:r>
      <w:r w:rsidRPr="00321398">
        <w:rPr>
          <w:rFonts w:ascii="宋体" w:eastAsia="宋体" w:hAnsi="宋体" w:hint="eastAsia"/>
        </w:rPr>
        <w:t>（2）人民检察院在</w:t>
      </w:r>
      <w:r w:rsidRPr="00321398">
        <w:rPr>
          <w:rFonts w:ascii="宋体" w:eastAsia="宋体" w:hAnsi="宋体" w:hint="eastAsia"/>
          <w:color w:val="FF0000"/>
        </w:rPr>
        <w:t>抗诉期满后</w:t>
      </w:r>
      <w:r w:rsidRPr="00321398">
        <w:rPr>
          <w:rFonts w:ascii="宋体" w:eastAsia="宋体" w:hAnsi="宋体" w:hint="eastAsia"/>
        </w:rPr>
        <w:t>要求撤回抗诉的，第二审人民法院可以裁定准许，</w:t>
      </w:r>
      <w:r w:rsidRPr="00321398">
        <w:rPr>
          <w:rFonts w:ascii="宋体" w:eastAsia="宋体" w:hAnsi="宋体" w:hint="eastAsia"/>
          <w:color w:val="FF0000"/>
        </w:rPr>
        <w:t>但是认为原判存在将无罪判为有罪、轻罪重判等情形的，应当不予准许，继续审理。</w:t>
      </w:r>
      <w:r w:rsidRPr="00321398">
        <w:rPr>
          <w:rFonts w:ascii="宋体" w:eastAsia="宋体" w:hAnsi="宋体" w:hint="eastAsia"/>
        </w:rPr>
        <w:t>上级人民检察院认为下级人民检察院抗诉不当，向第二审人民法院要求撤回抗诉的，适用前述规定。</w:t>
      </w:r>
    </w:p>
    <w:p w14:paraId="6A6E71B8" w14:textId="77777777" w:rsidR="00A04322" w:rsidRPr="002F2F19" w:rsidRDefault="00A04322" w:rsidP="00A04322">
      <w:pPr>
        <w:widowControl/>
        <w:spacing w:line="240" w:lineRule="exact"/>
        <w:ind w:firstLineChars="200" w:firstLine="420"/>
        <w:rPr>
          <w:rFonts w:ascii="宋体" w:eastAsia="宋体" w:hAnsi="宋体" w:hint="eastAsia"/>
          <w:color w:val="00B0F0"/>
        </w:rPr>
      </w:pPr>
      <w:r>
        <w:rPr>
          <w:rFonts w:ascii="宋体" w:eastAsia="宋体" w:hAnsi="宋体" w:hint="eastAsia"/>
          <w:color w:val="00B0F0"/>
        </w:rPr>
        <w:t>注意</w:t>
      </w:r>
      <w:r w:rsidRPr="002F2F19">
        <w:rPr>
          <w:rFonts w:ascii="宋体" w:eastAsia="宋体" w:hAnsi="宋体" w:hint="eastAsia"/>
          <w:color w:val="00B0F0"/>
        </w:rPr>
        <w:t>关联知识：</w:t>
      </w:r>
      <w:r w:rsidRPr="002F2F19">
        <w:rPr>
          <w:rFonts w:ascii="宋体" w:eastAsia="宋体" w:hAnsi="宋体"/>
          <w:color w:val="00B0F0"/>
        </w:rPr>
        <w:t>人民法院在庭前会议中听取控辩双方对案件事实、证据材料的意见后，对明显事实不清、证据不足的案件，可以建议人民检察院补充材料或者撤回起诉。建议撤回起诉的案件，检察院不同意的，开庭审理后，没有新的事实和理由，一般不准许撤回起诉。</w:t>
      </w:r>
    </w:p>
    <w:p w14:paraId="2A0D9DBA" w14:textId="77777777" w:rsidR="00A04322" w:rsidRPr="00042FEF" w:rsidRDefault="00A04322" w:rsidP="00A04322">
      <w:pPr>
        <w:pStyle w:val="3"/>
        <w:spacing w:line="240" w:lineRule="exact"/>
        <w:ind w:firstLineChars="200" w:firstLine="422"/>
        <w:rPr>
          <w:rFonts w:eastAsia="宋体" w:hint="eastAsia"/>
          <w:b/>
          <w:bCs/>
          <w:color w:val="auto"/>
          <w:sz w:val="21"/>
        </w:rPr>
      </w:pPr>
      <w:r w:rsidRPr="00042FEF">
        <w:rPr>
          <w:rFonts w:eastAsia="宋体" w:hint="eastAsia"/>
          <w:b/>
          <w:bCs/>
          <w:color w:val="auto"/>
          <w:sz w:val="21"/>
        </w:rPr>
        <w:t>二、二审案件开庭审理的范围</w:t>
      </w:r>
    </w:p>
    <w:p w14:paraId="6768A20A" w14:textId="77777777" w:rsidR="00A04322" w:rsidRPr="00466D29" w:rsidRDefault="00A04322" w:rsidP="00A04322">
      <w:pPr>
        <w:spacing w:line="240" w:lineRule="exact"/>
        <w:ind w:firstLineChars="200" w:firstLine="420"/>
        <w:rPr>
          <w:rFonts w:ascii="宋体" w:eastAsia="宋体" w:hAnsi="宋体" w:hint="eastAsia"/>
          <w:color w:val="00B0F0"/>
        </w:rPr>
      </w:pPr>
      <w:r>
        <w:rPr>
          <w:rFonts w:ascii="宋体" w:eastAsia="宋体" w:hAnsi="宋体" w:hint="eastAsia"/>
          <w:color w:val="00B0F0"/>
        </w:rPr>
        <w:t>注意</w:t>
      </w:r>
      <w:r w:rsidRPr="00466D29">
        <w:rPr>
          <w:rFonts w:ascii="宋体" w:eastAsia="宋体" w:hAnsi="宋体" w:hint="eastAsia"/>
          <w:color w:val="00B0F0"/>
        </w:rPr>
        <w:t>开庭审理不等于公开审理</w:t>
      </w:r>
      <w:r>
        <w:rPr>
          <w:rFonts w:ascii="宋体" w:eastAsia="宋体" w:hAnsi="宋体" w:hint="eastAsia"/>
          <w:color w:val="00B0F0"/>
        </w:rPr>
        <w:t>，公开的一定是开庭的</w:t>
      </w:r>
    </w:p>
    <w:p w14:paraId="341D3FB0" w14:textId="77777777" w:rsidR="00A04322" w:rsidRPr="00321398" w:rsidRDefault="00A04322" w:rsidP="00A04322">
      <w:pPr>
        <w:spacing w:line="240" w:lineRule="exact"/>
        <w:ind w:firstLineChars="200" w:firstLine="420"/>
        <w:rPr>
          <w:rFonts w:ascii="宋体" w:eastAsia="宋体" w:hAnsi="宋体" w:hint="eastAsia"/>
        </w:rPr>
      </w:pPr>
      <w:r w:rsidRPr="00321398">
        <w:rPr>
          <w:rFonts w:ascii="宋体" w:eastAsia="宋体" w:hAnsi="宋体" w:hint="eastAsia"/>
        </w:rPr>
        <w:t>（1）被告人、自诉人及其法定代理人对第一审认定的事实、证据提出异议，可能影响定罪量刑的上诉案件（2）被告人被判处死刑（包括死缓）的上诉案件（含被判处死刑立即执行的被告人没有上诉，同案其他被告人上诉的案件）（3）人民检察院抗诉的案件</w:t>
      </w:r>
    </w:p>
    <w:p w14:paraId="6121058C" w14:textId="77777777" w:rsidR="00A04322" w:rsidRPr="00321398" w:rsidRDefault="00A04322" w:rsidP="00A04322">
      <w:pPr>
        <w:spacing w:line="240" w:lineRule="exact"/>
        <w:ind w:firstLineChars="200" w:firstLine="420"/>
        <w:rPr>
          <w:rFonts w:ascii="宋体" w:eastAsia="宋体" w:hAnsi="宋体" w:hint="eastAsia"/>
        </w:rPr>
      </w:pPr>
      <w:r w:rsidRPr="00321398">
        <w:rPr>
          <w:rFonts w:ascii="宋体" w:eastAsia="宋体" w:hAnsi="宋体" w:hint="eastAsia"/>
        </w:rPr>
        <w:t>三、二审案件开庭审理的方式和程序</w:t>
      </w:r>
    </w:p>
    <w:p w14:paraId="4ADEB80E" w14:textId="77777777" w:rsidR="00A04322" w:rsidRPr="00321398" w:rsidRDefault="00A04322" w:rsidP="00A04322">
      <w:pPr>
        <w:pStyle w:val="4"/>
        <w:spacing w:line="240" w:lineRule="exact"/>
        <w:ind w:firstLineChars="200" w:firstLine="420"/>
        <w:rPr>
          <w:rFonts w:ascii="宋体" w:eastAsia="宋体" w:hAnsi="宋体" w:hint="eastAsia"/>
          <w:sz w:val="21"/>
          <w:szCs w:val="21"/>
        </w:rPr>
      </w:pPr>
      <w:r w:rsidRPr="00321398">
        <w:rPr>
          <w:rFonts w:ascii="宋体" w:eastAsia="宋体" w:hAnsi="宋体" w:hint="eastAsia"/>
          <w:sz w:val="21"/>
          <w:szCs w:val="21"/>
        </w:rPr>
        <w:t>（一）地点可以到</w:t>
      </w:r>
      <w:r w:rsidRPr="00321398">
        <w:rPr>
          <w:rFonts w:ascii="宋体" w:eastAsia="宋体" w:hAnsi="宋体" w:hint="eastAsia"/>
          <w:color w:val="FF0000"/>
          <w:sz w:val="21"/>
          <w:szCs w:val="21"/>
        </w:rPr>
        <w:t>案件发生地</w:t>
      </w:r>
      <w:r w:rsidRPr="00321398">
        <w:rPr>
          <w:rFonts w:ascii="宋体" w:eastAsia="宋体" w:hAnsi="宋体" w:hint="eastAsia"/>
          <w:sz w:val="21"/>
          <w:szCs w:val="21"/>
        </w:rPr>
        <w:t>或者</w:t>
      </w:r>
      <w:r w:rsidRPr="00321398">
        <w:rPr>
          <w:rFonts w:ascii="宋体" w:eastAsia="宋体" w:hAnsi="宋体" w:hint="eastAsia"/>
          <w:color w:val="FF0000"/>
          <w:sz w:val="21"/>
          <w:szCs w:val="21"/>
        </w:rPr>
        <w:t>原审人民法院所在地</w:t>
      </w:r>
      <w:r w:rsidRPr="00321398">
        <w:rPr>
          <w:rFonts w:ascii="宋体" w:eastAsia="宋体" w:hAnsi="宋体" w:hint="eastAsia"/>
          <w:sz w:val="21"/>
          <w:szCs w:val="21"/>
        </w:rPr>
        <w:t>进行。</w:t>
      </w:r>
    </w:p>
    <w:p w14:paraId="5D47D603" w14:textId="77777777" w:rsidR="00A04322" w:rsidRPr="00321398" w:rsidRDefault="00A04322" w:rsidP="00A04322">
      <w:pPr>
        <w:pStyle w:val="4"/>
        <w:spacing w:line="240" w:lineRule="exact"/>
        <w:ind w:firstLineChars="200" w:firstLine="420"/>
        <w:rPr>
          <w:rFonts w:ascii="宋体" w:eastAsia="宋体" w:hAnsi="宋体" w:hint="eastAsia"/>
          <w:sz w:val="21"/>
          <w:szCs w:val="21"/>
        </w:rPr>
      </w:pPr>
      <w:r w:rsidRPr="00321398">
        <w:rPr>
          <w:rFonts w:ascii="宋体" w:eastAsia="宋体" w:hAnsi="宋体" w:hint="eastAsia"/>
          <w:sz w:val="21"/>
          <w:szCs w:val="21"/>
        </w:rPr>
        <w:t>（二）审理程序</w:t>
      </w:r>
    </w:p>
    <w:p w14:paraId="27EA24A2" w14:textId="77777777" w:rsidR="00A04322" w:rsidRDefault="00A04322" w:rsidP="00A04322">
      <w:pPr>
        <w:pStyle w:val="a7"/>
        <w:spacing w:line="240" w:lineRule="exact"/>
        <w:ind w:firstLineChars="200" w:firstLine="420"/>
        <w:rPr>
          <w:rFonts w:hAnsi="宋体" w:cs="宋体" w:hint="eastAsia"/>
          <w:sz w:val="21"/>
        </w:rPr>
      </w:pPr>
      <w:r w:rsidRPr="00321398">
        <w:rPr>
          <w:rFonts w:hAnsi="宋体"/>
          <w:sz w:val="21"/>
        </w:rPr>
        <w:t>开庭审理上诉、抗诉案件，除参照适用第一审程序的有关规定外，</w:t>
      </w:r>
      <w:r w:rsidRPr="00321398">
        <w:rPr>
          <w:rFonts w:hAnsi="宋体" w:cs="宋体" w:hint="eastAsia"/>
          <w:color w:val="FF0000"/>
          <w:sz w:val="21"/>
        </w:rPr>
        <w:t>上诉案件上诉方优先；</w:t>
      </w:r>
      <w:r w:rsidRPr="00321398">
        <w:rPr>
          <w:rFonts w:hAnsi="宋体" w:cs="宋体" w:hint="eastAsia"/>
          <w:color w:val="FF0000"/>
          <w:sz w:val="21"/>
        </w:rPr>
        <w:lastRenderedPageBreak/>
        <w:t>抗诉案件和既有上诉又有抗诉的案件，抗诉方优先</w:t>
      </w:r>
      <w:r w:rsidRPr="00321398">
        <w:rPr>
          <w:rFonts w:hAnsi="宋体" w:cs="宋体" w:hint="eastAsia"/>
          <w:sz w:val="21"/>
        </w:rPr>
        <w:t>。</w:t>
      </w:r>
    </w:p>
    <w:p w14:paraId="5C8C11C6" w14:textId="77777777" w:rsidR="00A04322" w:rsidRPr="00321398" w:rsidRDefault="00A04322" w:rsidP="00A04322">
      <w:pPr>
        <w:pStyle w:val="a7"/>
        <w:spacing w:line="240" w:lineRule="exact"/>
        <w:ind w:firstLineChars="200" w:firstLine="420"/>
        <w:rPr>
          <w:rFonts w:hAnsi="宋体" w:cs="宋体" w:hint="eastAsia"/>
          <w:sz w:val="21"/>
        </w:rPr>
      </w:pPr>
      <w:r>
        <w:rPr>
          <w:rFonts w:hAnsi="宋体" w:hint="eastAsia"/>
          <w:sz w:val="21"/>
        </w:rPr>
        <w:t>四、</w:t>
      </w:r>
      <w:r w:rsidRPr="00321398">
        <w:rPr>
          <w:rFonts w:hAnsi="宋体" w:hint="eastAsia"/>
          <w:sz w:val="21"/>
        </w:rPr>
        <w:t>二审案件不开庭审理的方式和程序</w:t>
      </w:r>
    </w:p>
    <w:p w14:paraId="0492B83E" w14:textId="77777777" w:rsidR="00A04322" w:rsidRPr="00321398" w:rsidRDefault="00A04322" w:rsidP="00A04322">
      <w:pPr>
        <w:spacing w:line="240" w:lineRule="exact"/>
        <w:ind w:firstLineChars="200" w:firstLine="420"/>
        <w:rPr>
          <w:rFonts w:ascii="宋体" w:eastAsia="宋体" w:hAnsi="宋体" w:hint="eastAsia"/>
          <w:color w:val="FF0000"/>
        </w:rPr>
      </w:pPr>
      <w:r w:rsidRPr="00321398">
        <w:rPr>
          <w:rFonts w:ascii="宋体" w:eastAsia="宋体" w:hAnsi="宋体" w:hint="eastAsia"/>
        </w:rPr>
        <w:t>第二审案件依法不开庭审理的，</w:t>
      </w:r>
      <w:r w:rsidRPr="00321398">
        <w:rPr>
          <w:rFonts w:ascii="宋体" w:eastAsia="宋体" w:hAnsi="宋体" w:hint="eastAsia"/>
          <w:color w:val="FF0000"/>
        </w:rPr>
        <w:t>应当讯问被告人，听取其他当事人、辩护人、诉讼代理人的意见。合议庭全体成员应当阅卷，必要时应当提交书面阅卷意见。</w:t>
      </w:r>
    </w:p>
    <w:p w14:paraId="0BB2D7CD" w14:textId="77777777" w:rsidR="00A04322" w:rsidRPr="00321398" w:rsidRDefault="00A04322" w:rsidP="00A04322">
      <w:pPr>
        <w:spacing w:line="240" w:lineRule="exact"/>
        <w:ind w:firstLineChars="200" w:firstLine="420"/>
        <w:rPr>
          <w:rFonts w:ascii="宋体" w:eastAsia="宋体" w:hAnsi="宋体" w:hint="eastAsia"/>
          <w:szCs w:val="21"/>
        </w:rPr>
      </w:pPr>
      <w:bookmarkStart w:id="14" w:name="_Toc510879140"/>
      <w:bookmarkStart w:id="15" w:name="_Toc128736540"/>
      <w:bookmarkStart w:id="16" w:name="_Toc66105527"/>
      <w:r>
        <w:rPr>
          <w:rFonts w:ascii="宋体" w:eastAsia="宋体" w:hAnsi="宋体" w:hint="eastAsia"/>
          <w:szCs w:val="21"/>
        </w:rPr>
        <w:t>五、</w:t>
      </w:r>
      <w:r w:rsidRPr="00321398">
        <w:rPr>
          <w:rFonts w:ascii="宋体" w:eastAsia="宋体" w:hAnsi="宋体"/>
          <w:szCs w:val="21"/>
        </w:rPr>
        <w:t>对上诉</w:t>
      </w:r>
      <w:r w:rsidRPr="00321398">
        <w:rPr>
          <w:rFonts w:ascii="宋体" w:eastAsia="宋体" w:hAnsi="宋体" w:hint="eastAsia"/>
          <w:szCs w:val="21"/>
        </w:rPr>
        <w:t>、</w:t>
      </w:r>
      <w:r w:rsidRPr="00321398">
        <w:rPr>
          <w:rFonts w:ascii="宋体" w:eastAsia="宋体" w:hAnsi="宋体"/>
          <w:szCs w:val="21"/>
        </w:rPr>
        <w:t>抗诉案件审理后的处理</w:t>
      </w:r>
      <w:bookmarkEnd w:id="14"/>
      <w:bookmarkEnd w:id="15"/>
      <w:bookmarkEnd w:id="16"/>
      <w:r>
        <w:rPr>
          <w:rFonts w:ascii="宋体" w:eastAsia="宋体" w:hAnsi="宋体" w:hint="eastAsia"/>
          <w:szCs w:val="21"/>
        </w:rPr>
        <w:t>【事实、量刑、程序】</w:t>
      </w:r>
    </w:p>
    <w:p w14:paraId="670D8C91" w14:textId="77777777" w:rsidR="00A04322" w:rsidRPr="00206E17" w:rsidRDefault="00A04322" w:rsidP="00A04322">
      <w:pPr>
        <w:spacing w:line="240" w:lineRule="exact"/>
        <w:ind w:firstLine="420"/>
        <w:rPr>
          <w:rFonts w:ascii="宋体" w:eastAsia="宋体" w:hAnsi="宋体" w:hint="eastAsia"/>
        </w:rPr>
      </w:pPr>
      <w:r w:rsidRPr="00321398">
        <w:rPr>
          <w:rFonts w:ascii="宋体" w:eastAsia="宋体" w:hAnsi="宋体" w:hint="eastAsia"/>
        </w:rPr>
        <w:t>事实不清楚或证据不足既可以在查清事实后改判，也可以裁定撤销原判发回重审。</w:t>
      </w:r>
      <w:r w:rsidRPr="00321398">
        <w:rPr>
          <w:rFonts w:ascii="宋体" w:eastAsia="宋体" w:hAnsi="宋体" w:hint="eastAsia"/>
          <w:color w:val="FF0000"/>
        </w:rPr>
        <w:t>新增，要注意：</w:t>
      </w:r>
      <w:r w:rsidRPr="00206E17">
        <w:rPr>
          <w:rFonts w:ascii="宋体" w:eastAsia="宋体" w:hAnsi="宋体" w:hint="eastAsia"/>
        </w:rPr>
        <w:t>有多名被告人的案件，部分被告人的犯罪事实不清、证据不足或者有新的犯罪事实需要追诉，且有关犯罪与其他同案被告人没有关联的，第二审人民法院根据案件情况，可以对该部分被告人分案处理，将该部分被告人发回原审人民法院重新审判。原审人民法院重新作出判决后，被告人上诉或者人民检察院抗诉，其他被告人的案件尚未作出第二审判决、裁定的，第二审人民法院可以并案审理</w:t>
      </w:r>
    </w:p>
    <w:p w14:paraId="0DD68041" w14:textId="77777777" w:rsidR="00A04322" w:rsidRDefault="00A04322" w:rsidP="00A04322">
      <w:pPr>
        <w:spacing w:line="240" w:lineRule="exact"/>
        <w:ind w:firstLine="422"/>
        <w:rPr>
          <w:rFonts w:ascii="宋体" w:eastAsia="宋体" w:hAnsi="宋体" w:hint="eastAsia"/>
        </w:rPr>
      </w:pPr>
      <w:r w:rsidRPr="00321398">
        <w:rPr>
          <w:rFonts w:ascii="宋体" w:eastAsia="宋体" w:hAnsi="宋体" w:hint="eastAsia"/>
          <w:b/>
          <w:bCs/>
          <w:color w:val="FF0000"/>
        </w:rPr>
        <w:t>裁定撤销原判，发回原审人民法院重新审判</w:t>
      </w:r>
      <w:r w:rsidRPr="00206E17">
        <w:rPr>
          <w:rFonts w:ascii="宋体" w:eastAsia="宋体" w:hAnsi="宋体" w:hint="eastAsia"/>
        </w:rPr>
        <w:t>（1）违反公开审判的规定（2）违反回避制度的（3）剥夺或限制当事人的法定诉讼权利，可能影响公正审判（4）审判组织的组成不合法（5）其他违反法定诉讼程序可能影响公正审判</w:t>
      </w:r>
    </w:p>
    <w:p w14:paraId="7902EE77" w14:textId="77777777" w:rsidR="00A04322" w:rsidRPr="00D12A8E" w:rsidRDefault="00A04322" w:rsidP="00A04322">
      <w:pPr>
        <w:spacing w:line="240" w:lineRule="exact"/>
        <w:ind w:firstLine="422"/>
        <w:rPr>
          <w:rFonts w:ascii="宋体" w:eastAsia="宋体" w:hAnsi="宋体" w:hint="eastAsia"/>
          <w:color w:val="FF0000"/>
        </w:rPr>
      </w:pPr>
      <w:r>
        <w:rPr>
          <w:rFonts w:ascii="宋体" w:eastAsia="宋体" w:hAnsi="宋体" w:hint="eastAsia"/>
          <w:color w:val="FF0000"/>
        </w:rPr>
        <w:t>【</w:t>
      </w:r>
      <w:r w:rsidRPr="00D12A8E">
        <w:rPr>
          <w:rFonts w:ascii="宋体" w:eastAsia="宋体" w:hAnsi="宋体" w:hint="eastAsia"/>
          <w:color w:val="FF0000"/>
        </w:rPr>
        <w:t>事实不清可改可发</w:t>
      </w:r>
      <w:r>
        <w:rPr>
          <w:rFonts w:ascii="宋体" w:eastAsia="宋体" w:hAnsi="宋体" w:hint="eastAsia"/>
          <w:color w:val="FF0000"/>
        </w:rPr>
        <w:t>；</w:t>
      </w:r>
      <w:r w:rsidRPr="00D12A8E">
        <w:rPr>
          <w:rFonts w:ascii="宋体" w:eastAsia="宋体" w:hAnsi="宋体" w:hint="eastAsia"/>
          <w:color w:val="FF0000"/>
        </w:rPr>
        <w:t>仅仅只是量刑不当二审应当直接判</w:t>
      </w:r>
      <w:r>
        <w:rPr>
          <w:rFonts w:ascii="宋体" w:eastAsia="宋体" w:hAnsi="宋体" w:hint="eastAsia"/>
          <w:color w:val="FF0000"/>
        </w:rPr>
        <w:t>；</w:t>
      </w:r>
      <w:r w:rsidRPr="00D12A8E">
        <w:rPr>
          <w:rFonts w:ascii="宋体" w:eastAsia="宋体" w:hAnsi="宋体" w:hint="eastAsia"/>
          <w:color w:val="FF0000"/>
        </w:rPr>
        <w:t>只要程序违法，二审应当裁定撤</w:t>
      </w:r>
      <w:r>
        <w:rPr>
          <w:rFonts w:ascii="宋体" w:eastAsia="宋体" w:hAnsi="宋体" w:hint="eastAsia"/>
          <w:color w:val="FF0000"/>
        </w:rPr>
        <w:t>】</w:t>
      </w:r>
    </w:p>
    <w:p w14:paraId="0083358F" w14:textId="77777777" w:rsidR="00A04322" w:rsidRPr="00206E17" w:rsidRDefault="00A04322" w:rsidP="00A04322">
      <w:pPr>
        <w:spacing w:line="240" w:lineRule="exact"/>
        <w:ind w:firstLine="420"/>
        <w:rPr>
          <w:rFonts w:ascii="宋体" w:eastAsia="宋体" w:hAnsi="宋体" w:hint="eastAsia"/>
          <w:szCs w:val="21"/>
        </w:rPr>
      </w:pPr>
      <w:r w:rsidRPr="00206E17">
        <w:rPr>
          <w:rFonts w:ascii="宋体" w:eastAsia="宋体" w:hAnsi="宋体" w:hint="eastAsia"/>
          <w:szCs w:val="21"/>
        </w:rPr>
        <w:t>六、</w:t>
      </w:r>
      <w:r w:rsidRPr="00206E17">
        <w:rPr>
          <w:rFonts w:ascii="宋体" w:eastAsia="宋体" w:hAnsi="宋体"/>
          <w:szCs w:val="21"/>
        </w:rPr>
        <w:t>对</w:t>
      </w:r>
      <w:r w:rsidRPr="00206E17">
        <w:rPr>
          <w:rFonts w:ascii="宋体" w:eastAsia="宋体" w:hAnsi="宋体" w:hint="eastAsia"/>
          <w:szCs w:val="21"/>
        </w:rPr>
        <w:t>发回</w:t>
      </w:r>
      <w:r w:rsidRPr="00206E17">
        <w:rPr>
          <w:rFonts w:ascii="宋体" w:eastAsia="宋体" w:hAnsi="宋体"/>
          <w:szCs w:val="21"/>
        </w:rPr>
        <w:t>重审的案件的处理</w:t>
      </w:r>
    </w:p>
    <w:p w14:paraId="44AA58D6" w14:textId="77777777" w:rsidR="00A04322" w:rsidRPr="00206E17" w:rsidRDefault="00A04322" w:rsidP="00A04322">
      <w:pPr>
        <w:spacing w:line="240" w:lineRule="exact"/>
        <w:ind w:firstLine="420"/>
        <w:rPr>
          <w:rFonts w:ascii="宋体" w:eastAsia="宋体" w:hAnsi="宋体" w:hint="eastAsia"/>
          <w:color w:val="FF0000"/>
          <w:szCs w:val="21"/>
        </w:rPr>
      </w:pPr>
      <w:r w:rsidRPr="00206E17">
        <w:rPr>
          <w:rFonts w:ascii="宋体" w:eastAsia="宋体" w:hAnsi="宋体" w:hint="eastAsia"/>
          <w:szCs w:val="21"/>
        </w:rPr>
        <w:t>因原判决事实不清、证据不足发回重审以及因原一审程序违反法定程序发回重审，应另行组成合议庭，依照第一审程序进行审判。</w:t>
      </w:r>
      <w:r w:rsidRPr="00206E17">
        <w:rPr>
          <w:rFonts w:ascii="宋体" w:eastAsia="宋体" w:hAnsi="宋体" w:hint="eastAsia"/>
          <w:color w:val="FF0000"/>
          <w:szCs w:val="21"/>
        </w:rPr>
        <w:t>（补充：不需要另行组合合议庭的情形：</w:t>
      </w:r>
      <w:r w:rsidRPr="006A3111">
        <w:rPr>
          <w:rFonts w:ascii="宋体" w:eastAsia="宋体" w:hAnsi="宋体" w:hint="eastAsia"/>
          <w:szCs w:val="21"/>
        </w:rPr>
        <w:t>（1）</w:t>
      </w:r>
      <w:r w:rsidRPr="006A3111">
        <w:rPr>
          <w:rFonts w:ascii="宋体" w:eastAsia="宋体" w:hAnsi="宋体"/>
          <w:szCs w:val="21"/>
        </w:rPr>
        <w:t>第一审人民法院作出裁判后又进入第二审程序</w:t>
      </w:r>
      <w:r w:rsidRPr="006A3111">
        <w:rPr>
          <w:rFonts w:ascii="宋体" w:eastAsia="宋体" w:hAnsi="宋体" w:hint="eastAsia"/>
          <w:szCs w:val="21"/>
        </w:rPr>
        <w:t>（</w:t>
      </w:r>
      <w:r w:rsidRPr="006A3111">
        <w:rPr>
          <w:rFonts w:ascii="宋体" w:eastAsia="宋体" w:hAnsi="宋体"/>
          <w:szCs w:val="21"/>
        </w:rPr>
        <w:t>2</w:t>
      </w:r>
      <w:r w:rsidRPr="006A3111">
        <w:rPr>
          <w:rFonts w:ascii="宋体" w:eastAsia="宋体" w:hAnsi="宋体" w:hint="eastAsia"/>
          <w:szCs w:val="21"/>
        </w:rPr>
        <w:t>）</w:t>
      </w:r>
      <w:r w:rsidRPr="006A3111">
        <w:rPr>
          <w:rFonts w:ascii="宋体" w:eastAsia="宋体" w:hAnsi="宋体"/>
          <w:szCs w:val="21"/>
        </w:rPr>
        <w:t>在法定刑以下判处刑罚的复核程序</w:t>
      </w:r>
      <w:r w:rsidRPr="006A3111">
        <w:rPr>
          <w:rFonts w:ascii="宋体" w:eastAsia="宋体" w:hAnsi="宋体" w:hint="eastAsia"/>
          <w:szCs w:val="21"/>
        </w:rPr>
        <w:t>（</w:t>
      </w:r>
      <w:r w:rsidRPr="006A3111">
        <w:rPr>
          <w:rFonts w:ascii="宋体" w:eastAsia="宋体" w:hAnsi="宋体"/>
          <w:szCs w:val="21"/>
        </w:rPr>
        <w:t>3</w:t>
      </w:r>
      <w:r w:rsidRPr="006A3111">
        <w:rPr>
          <w:rFonts w:ascii="宋体" w:eastAsia="宋体" w:hAnsi="宋体" w:hint="eastAsia"/>
          <w:szCs w:val="21"/>
        </w:rPr>
        <w:t>）</w:t>
      </w:r>
      <w:r w:rsidRPr="006A3111">
        <w:rPr>
          <w:rFonts w:ascii="宋体" w:eastAsia="宋体" w:hAnsi="宋体"/>
          <w:szCs w:val="21"/>
        </w:rPr>
        <w:t>死刑复核程序</w:t>
      </w:r>
      <w:r w:rsidRPr="006A3111">
        <w:rPr>
          <w:rFonts w:ascii="宋体" w:eastAsia="宋体" w:hAnsi="宋体" w:hint="eastAsia"/>
          <w:szCs w:val="21"/>
        </w:rPr>
        <w:t>，</w:t>
      </w:r>
      <w:r w:rsidRPr="006A3111">
        <w:rPr>
          <w:rFonts w:ascii="宋体" w:eastAsia="宋体" w:hAnsi="宋体"/>
          <w:szCs w:val="21"/>
        </w:rPr>
        <w:t>原第二审程序、在法定刑以下判处刑罚的复核程序或者死刑复核程序中的合议庭组成人员</w:t>
      </w:r>
      <w:r w:rsidRPr="006A3111">
        <w:rPr>
          <w:rFonts w:ascii="宋体" w:eastAsia="宋体" w:hAnsi="宋体" w:hint="eastAsia"/>
          <w:szCs w:val="21"/>
        </w:rPr>
        <w:t>不需要另行组合合议庭。）</w:t>
      </w:r>
    </w:p>
    <w:p w14:paraId="561ED1D3" w14:textId="77777777" w:rsidR="00A04322" w:rsidRPr="00206E17" w:rsidRDefault="00A04322" w:rsidP="00A04322">
      <w:pPr>
        <w:spacing w:line="240" w:lineRule="exact"/>
        <w:ind w:firstLineChars="200" w:firstLine="420"/>
        <w:rPr>
          <w:rFonts w:ascii="宋体" w:eastAsia="宋体" w:hAnsi="宋体" w:hint="eastAsia"/>
          <w:szCs w:val="21"/>
        </w:rPr>
      </w:pPr>
      <w:bookmarkStart w:id="17" w:name="_Toc510879142"/>
      <w:bookmarkStart w:id="18" w:name="_Toc128736543"/>
      <w:bookmarkStart w:id="19" w:name="_Toc66105530"/>
      <w:r w:rsidRPr="00206E17">
        <w:rPr>
          <w:rFonts w:ascii="宋体" w:eastAsia="宋体" w:hAnsi="宋体" w:hint="eastAsia"/>
          <w:szCs w:val="21"/>
        </w:rPr>
        <w:t>七、</w:t>
      </w:r>
      <w:r w:rsidRPr="00206E17">
        <w:rPr>
          <w:rFonts w:ascii="宋体" w:eastAsia="宋体" w:hAnsi="宋体"/>
          <w:szCs w:val="21"/>
        </w:rPr>
        <w:t>对</w:t>
      </w:r>
      <w:r w:rsidRPr="00206E17">
        <w:rPr>
          <w:rFonts w:ascii="宋体" w:eastAsia="宋体" w:hAnsi="宋体" w:hint="eastAsia"/>
          <w:szCs w:val="21"/>
        </w:rPr>
        <w:t>附带民事诉讼案件的处理</w:t>
      </w:r>
      <w:bookmarkEnd w:id="17"/>
      <w:bookmarkEnd w:id="18"/>
      <w:bookmarkEnd w:id="19"/>
    </w:p>
    <w:p w14:paraId="776466E9" w14:textId="77777777" w:rsidR="00A04322" w:rsidRPr="00206E17" w:rsidRDefault="00A04322" w:rsidP="00A04322">
      <w:pPr>
        <w:spacing w:line="240" w:lineRule="exact"/>
        <w:ind w:firstLineChars="200" w:firstLine="420"/>
        <w:rPr>
          <w:rFonts w:ascii="宋体" w:eastAsia="宋体" w:hAnsi="宋体" w:cs="等线" w:hint="eastAsia"/>
          <w:szCs w:val="21"/>
        </w:rPr>
      </w:pPr>
      <w:r w:rsidRPr="00206E17">
        <w:rPr>
          <w:rFonts w:ascii="宋体" w:eastAsia="宋体" w:hAnsi="宋体" w:cs="等线" w:hint="eastAsia"/>
          <w:szCs w:val="21"/>
        </w:rPr>
        <w:t>1</w:t>
      </w:r>
      <w:r w:rsidRPr="00206E17">
        <w:rPr>
          <w:rFonts w:ascii="宋体" w:eastAsia="宋体" w:hAnsi="宋体" w:cs="等线"/>
          <w:szCs w:val="21"/>
        </w:rPr>
        <w:t>.</w:t>
      </w:r>
      <w:r w:rsidRPr="00206E17">
        <w:rPr>
          <w:rFonts w:ascii="宋体" w:eastAsia="宋体" w:hAnsi="宋体" w:cs="等线" w:hint="eastAsia"/>
          <w:szCs w:val="21"/>
        </w:rPr>
        <w:t>对刑事部分提出上诉、抗诉，附带民事部分已经发生法律效力的案件，附带民事部分正确的，刑事部分按二审程序审理；附带民事部分有错的，刑事部分仍按二审，之后依审判监督程序对附带民事部分予以纠正。2</w:t>
      </w:r>
      <w:r w:rsidRPr="00206E17">
        <w:rPr>
          <w:rFonts w:ascii="宋体" w:eastAsia="宋体" w:hAnsi="宋体" w:cs="等线"/>
          <w:szCs w:val="21"/>
        </w:rPr>
        <w:t>.</w:t>
      </w:r>
      <w:r w:rsidRPr="00206E17">
        <w:rPr>
          <w:rFonts w:ascii="宋体" w:eastAsia="宋体" w:hAnsi="宋体" w:cs="等线" w:hint="eastAsia"/>
          <w:szCs w:val="21"/>
        </w:rPr>
        <w:t>对附带民事部分提出上诉，刑事部分已经发生法律效力的案件，刑事部分正确的，附带民事部分按二审；刑事部分有错的，依审监程序对刑事部分再审，并一并审理附带民事部分。3</w:t>
      </w:r>
      <w:r w:rsidRPr="00206E17">
        <w:rPr>
          <w:rFonts w:ascii="宋体" w:eastAsia="宋体" w:hAnsi="宋体" w:cs="等线"/>
          <w:szCs w:val="21"/>
        </w:rPr>
        <w:t>.</w:t>
      </w:r>
      <w:r w:rsidRPr="00206E17">
        <w:rPr>
          <w:rFonts w:ascii="宋体" w:eastAsia="宋体" w:hAnsi="宋体" w:cs="等线" w:hint="eastAsia"/>
          <w:szCs w:val="21"/>
        </w:rPr>
        <w:t>第一审附带民事诉讼原告人增加独立的诉讼请求，或第一审附带民事诉讼被告人提出反诉的先调解；调解不成的，告知当事人另行起诉。</w:t>
      </w:r>
    </w:p>
    <w:p w14:paraId="61CD01FD" w14:textId="77777777" w:rsidR="00A04322" w:rsidRDefault="00A04322" w:rsidP="00A04322">
      <w:pPr>
        <w:spacing w:line="240" w:lineRule="exact"/>
        <w:ind w:firstLineChars="200" w:firstLine="420"/>
        <w:rPr>
          <w:rFonts w:ascii="宋体" w:eastAsia="宋体" w:hAnsi="宋体" w:cs="宋体" w:hint="eastAsia"/>
          <w:color w:val="00B0F0"/>
          <w:kern w:val="0"/>
          <w:szCs w:val="21"/>
        </w:rPr>
      </w:pPr>
      <w:r w:rsidRPr="00206E17">
        <w:rPr>
          <w:rFonts w:ascii="宋体" w:eastAsia="宋体" w:hAnsi="宋体" w:cs="宋体" w:hint="eastAsia"/>
          <w:color w:val="FF0000"/>
          <w:kern w:val="0"/>
          <w:szCs w:val="21"/>
        </w:rPr>
        <w:t>注意：</w:t>
      </w:r>
      <w:r w:rsidRPr="00206E17">
        <w:rPr>
          <w:rFonts w:ascii="宋体" w:eastAsia="宋体" w:hAnsi="宋体" w:cs="宋体" w:hint="eastAsia"/>
          <w:kern w:val="0"/>
          <w:szCs w:val="21"/>
        </w:rPr>
        <w:t>刑事附带民事诉讼案件，只有附带民事诉讼当事人及其法定代理人上诉的，</w:t>
      </w:r>
      <w:r w:rsidRPr="00206E17">
        <w:rPr>
          <w:rFonts w:ascii="宋体" w:eastAsia="宋体" w:hAnsi="宋体" w:cs="宋体" w:hint="eastAsia"/>
          <w:color w:val="FF0000"/>
          <w:kern w:val="0"/>
          <w:szCs w:val="21"/>
        </w:rPr>
        <w:t>第一审刑事部分的判决在上诉期满后即发生法律效力，应当送监执行的第一审刑事被告人是第二审附带民事诉讼被告人的，在第二审附带民事诉讼案件审结前，可以暂缓送监执行</w:t>
      </w:r>
      <w:r w:rsidRPr="00206E17">
        <w:rPr>
          <w:rFonts w:ascii="宋体" w:eastAsia="宋体" w:hAnsi="宋体" w:cs="宋体" w:hint="eastAsia"/>
          <w:kern w:val="0"/>
          <w:szCs w:val="21"/>
        </w:rPr>
        <w:t>。同理，只有刑事部分被告人上诉或者被抗诉的，第一审刑事附带民事的判决在上诉期满后即发生法律效力。</w:t>
      </w:r>
      <w:bookmarkStart w:id="20" w:name="_Toc510879143"/>
      <w:bookmarkStart w:id="21" w:name="_Toc66105531"/>
      <w:bookmarkStart w:id="22" w:name="_Toc128736544"/>
      <w:r w:rsidRPr="00206E17">
        <w:rPr>
          <w:rFonts w:ascii="宋体" w:eastAsia="宋体" w:hAnsi="宋体" w:cs="宋体" w:hint="eastAsia"/>
          <w:color w:val="00B0F0"/>
          <w:kern w:val="0"/>
          <w:szCs w:val="21"/>
        </w:rPr>
        <w:t>关联知识点：暂缓送监执行的还有同案犯被判了死立即（需要复核）</w:t>
      </w:r>
      <w:bookmarkEnd w:id="20"/>
      <w:bookmarkEnd w:id="21"/>
      <w:bookmarkEnd w:id="22"/>
    </w:p>
    <w:p w14:paraId="1DC4F0EA" w14:textId="49A56CBB" w:rsidR="0080760E" w:rsidRPr="003C6714" w:rsidRDefault="0080760E" w:rsidP="006312DC">
      <w:pPr>
        <w:pStyle w:val="1"/>
        <w:tabs>
          <w:tab w:val="left" w:pos="420"/>
        </w:tabs>
        <w:spacing w:before="0" w:after="0" w:line="240" w:lineRule="exact"/>
        <w:jc w:val="center"/>
        <w:rPr>
          <w:rFonts w:ascii="宋体" w:hAnsi="宋体" w:cs="宋体" w:hint="eastAsia"/>
          <w:bCs w:val="0"/>
          <w:sz w:val="21"/>
          <w:szCs w:val="21"/>
        </w:rPr>
      </w:pPr>
      <w:r w:rsidRPr="003C6714">
        <w:rPr>
          <w:rFonts w:ascii="宋体" w:hAnsi="宋体" w:cs="宋体" w:hint="eastAsia"/>
          <w:bCs w:val="0"/>
          <w:sz w:val="21"/>
          <w:szCs w:val="21"/>
        </w:rPr>
        <w:t>考点</w:t>
      </w:r>
      <w:r w:rsidRPr="003C6714">
        <w:rPr>
          <w:rFonts w:ascii="宋体" w:hAnsi="宋体" w:cs="宋体"/>
          <w:bCs w:val="0"/>
          <w:sz w:val="21"/>
          <w:szCs w:val="21"/>
        </w:rPr>
        <w:t>29</w:t>
      </w:r>
      <w:r w:rsidRPr="003C6714">
        <w:rPr>
          <w:rFonts w:ascii="宋体" w:hAnsi="宋体" w:cs="宋体" w:hint="eastAsia"/>
          <w:bCs w:val="0"/>
          <w:sz w:val="21"/>
          <w:szCs w:val="21"/>
        </w:rPr>
        <w:t xml:space="preserve">  对涉案财物的处理</w:t>
      </w:r>
      <w:bookmarkEnd w:id="4"/>
      <w:bookmarkEnd w:id="5"/>
      <w:bookmarkEnd w:id="6"/>
      <w:r w:rsidRPr="003C6714">
        <w:rPr>
          <w:rFonts w:ascii="宋体" w:hAnsi="宋体" w:cs="宋体" w:hint="eastAsia"/>
          <w:bCs w:val="0"/>
          <w:kern w:val="0"/>
          <w:sz w:val="21"/>
          <w:szCs w:val="21"/>
        </w:rPr>
        <w:t>（</w:t>
      </w:r>
      <w:r w:rsidRPr="003C6714">
        <w:rPr>
          <w:rFonts w:ascii="宋体" w:hAnsi="宋体" w:cs="宋体"/>
          <w:bCs w:val="0"/>
          <w:kern w:val="0"/>
          <w:sz w:val="21"/>
          <w:szCs w:val="21"/>
        </w:rPr>
        <w:t>1</w:t>
      </w:r>
      <w:r w:rsidR="004E4A44">
        <w:rPr>
          <w:rFonts w:ascii="宋体" w:hAnsi="宋体" w:cs="宋体" w:hint="eastAsia"/>
          <w:bCs w:val="0"/>
          <w:kern w:val="0"/>
          <w:sz w:val="21"/>
          <w:szCs w:val="21"/>
        </w:rPr>
        <w:t>0</w:t>
      </w:r>
      <w:r w:rsidRPr="003C6714">
        <w:rPr>
          <w:rFonts w:ascii="宋体" w:hAnsi="宋体" w:cs="宋体" w:hint="eastAsia"/>
          <w:bCs w:val="0"/>
          <w:kern w:val="0"/>
          <w:sz w:val="21"/>
          <w:szCs w:val="21"/>
        </w:rPr>
        <w:t>:</w:t>
      </w:r>
      <w:r w:rsidR="004E4A44">
        <w:rPr>
          <w:rFonts w:ascii="宋体" w:hAnsi="宋体" w:cs="宋体" w:hint="eastAsia"/>
          <w:bCs w:val="0"/>
          <w:kern w:val="0"/>
          <w:sz w:val="21"/>
          <w:szCs w:val="21"/>
        </w:rPr>
        <w:t>4</w:t>
      </w:r>
      <w:r w:rsidR="00527C9D" w:rsidRPr="003C6714">
        <w:rPr>
          <w:rFonts w:ascii="宋体" w:hAnsi="宋体" w:cs="宋体" w:hint="eastAsia"/>
          <w:bCs w:val="0"/>
          <w:kern w:val="0"/>
          <w:sz w:val="21"/>
          <w:szCs w:val="21"/>
        </w:rPr>
        <w:t>0</w:t>
      </w:r>
      <w:r w:rsidRPr="003C6714">
        <w:rPr>
          <w:rFonts w:ascii="宋体" w:hAnsi="宋体" w:cs="宋体" w:hint="eastAsia"/>
          <w:bCs w:val="0"/>
          <w:kern w:val="0"/>
          <w:sz w:val="21"/>
          <w:szCs w:val="21"/>
        </w:rPr>
        <w:t>:00-</w:t>
      </w:r>
      <w:r w:rsidR="006312DC" w:rsidRPr="003C6714">
        <w:rPr>
          <w:rFonts w:ascii="宋体" w:hAnsi="宋体" w:cs="宋体" w:hint="eastAsia"/>
          <w:bCs w:val="0"/>
          <w:kern w:val="0"/>
          <w:sz w:val="21"/>
          <w:szCs w:val="21"/>
        </w:rPr>
        <w:t>1</w:t>
      </w:r>
      <w:r w:rsidR="00B94967">
        <w:rPr>
          <w:rFonts w:ascii="宋体" w:hAnsi="宋体" w:cs="宋体" w:hint="eastAsia"/>
          <w:bCs w:val="0"/>
          <w:kern w:val="0"/>
          <w:sz w:val="21"/>
          <w:szCs w:val="21"/>
        </w:rPr>
        <w:t>0</w:t>
      </w:r>
      <w:r w:rsidRPr="003C6714">
        <w:rPr>
          <w:rFonts w:ascii="宋体" w:hAnsi="宋体" w:cs="宋体" w:hint="eastAsia"/>
          <w:bCs w:val="0"/>
          <w:kern w:val="0"/>
          <w:sz w:val="21"/>
          <w:szCs w:val="21"/>
        </w:rPr>
        <w:t>:</w:t>
      </w:r>
      <w:r w:rsidR="00AD0458">
        <w:rPr>
          <w:rFonts w:ascii="宋体" w:hAnsi="宋体" w:cs="宋体" w:hint="eastAsia"/>
          <w:bCs w:val="0"/>
          <w:kern w:val="0"/>
          <w:sz w:val="21"/>
          <w:szCs w:val="21"/>
        </w:rPr>
        <w:t>48</w:t>
      </w:r>
      <w:r w:rsidRPr="003C6714">
        <w:rPr>
          <w:rFonts w:ascii="宋体" w:hAnsi="宋体" w:cs="宋体" w:hint="eastAsia"/>
          <w:bCs w:val="0"/>
          <w:kern w:val="0"/>
          <w:sz w:val="21"/>
          <w:szCs w:val="21"/>
        </w:rPr>
        <w:t>:00）</w:t>
      </w:r>
    </w:p>
    <w:p w14:paraId="40AFEA8D" w14:textId="77777777" w:rsidR="00594E81" w:rsidRPr="00594E81" w:rsidRDefault="00594E81" w:rsidP="00594E81">
      <w:pPr>
        <w:spacing w:line="240" w:lineRule="exact"/>
        <w:ind w:firstLineChars="200" w:firstLine="420"/>
        <w:rPr>
          <w:rFonts w:ascii="宋体" w:eastAsia="宋体" w:hAnsi="宋体" w:hint="eastAsia"/>
          <w:szCs w:val="21"/>
        </w:rPr>
      </w:pPr>
      <w:r w:rsidRPr="00594E81">
        <w:rPr>
          <w:rFonts w:ascii="宋体" w:eastAsia="宋体" w:hAnsi="宋体" w:hint="eastAsia"/>
          <w:szCs w:val="21"/>
        </w:rPr>
        <w:t>一、查封、扣押、冻结财物及其处理</w:t>
      </w:r>
    </w:p>
    <w:p w14:paraId="37C607ED" w14:textId="77777777" w:rsidR="00594E81" w:rsidRPr="00594E81" w:rsidRDefault="00594E81" w:rsidP="00594E81">
      <w:pPr>
        <w:spacing w:line="240" w:lineRule="exact"/>
        <w:ind w:firstLineChars="200" w:firstLine="420"/>
        <w:rPr>
          <w:rFonts w:ascii="宋体" w:eastAsia="宋体" w:hAnsi="宋体" w:hint="eastAsia"/>
          <w:szCs w:val="21"/>
        </w:rPr>
      </w:pPr>
      <w:r w:rsidRPr="00594E81">
        <w:rPr>
          <w:rFonts w:ascii="宋体" w:eastAsia="宋体" w:hAnsi="宋体" w:hint="eastAsia"/>
          <w:szCs w:val="21"/>
        </w:rPr>
        <w:t>人民法院对查封、扣押、冻结的涉案财物及其孳息，应当妥善保管，并制作清单，附卷备查；对人民检察院随案移送的实物，应当根据清单核查后妥善保管。任何单位和个人不得挪用或者自行处理。</w:t>
      </w:r>
    </w:p>
    <w:p w14:paraId="432AEDBB" w14:textId="77777777" w:rsidR="00594E81" w:rsidRPr="00594E81" w:rsidRDefault="00594E81" w:rsidP="00594E81">
      <w:pPr>
        <w:spacing w:line="240" w:lineRule="exact"/>
        <w:ind w:firstLineChars="200" w:firstLine="420"/>
        <w:rPr>
          <w:rFonts w:ascii="宋体" w:eastAsia="宋体" w:hAnsi="宋体" w:hint="eastAsia"/>
          <w:szCs w:val="21"/>
        </w:rPr>
      </w:pPr>
      <w:r w:rsidRPr="00594E81">
        <w:rPr>
          <w:rFonts w:ascii="宋体" w:eastAsia="宋体" w:hAnsi="宋体" w:hint="eastAsia"/>
          <w:szCs w:val="21"/>
        </w:rPr>
        <w:t>（一）查封不动产、车辆、船舶、航空器等财物，应当扣押其权利证书，经拍照或者录像后原地封存，或者持有人、被告人的近亲属保管，登记并写明财物的名称、型号、权属、地址等详细信息，并通知有关财物的登记、管理部门办理查封登记手续。</w:t>
      </w:r>
    </w:p>
    <w:p w14:paraId="60EF0895" w14:textId="77777777" w:rsidR="00594E81" w:rsidRPr="00594E81" w:rsidRDefault="00594E81" w:rsidP="00594E81">
      <w:pPr>
        <w:spacing w:line="240" w:lineRule="exact"/>
        <w:ind w:firstLineChars="200" w:firstLine="420"/>
        <w:rPr>
          <w:rFonts w:ascii="宋体" w:eastAsia="宋体" w:hAnsi="宋体" w:hint="eastAsia"/>
          <w:szCs w:val="21"/>
        </w:rPr>
      </w:pPr>
      <w:r w:rsidRPr="00594E81">
        <w:rPr>
          <w:rFonts w:ascii="宋体" w:eastAsia="宋体" w:hAnsi="宋体" w:hint="eastAsia"/>
          <w:szCs w:val="21"/>
        </w:rPr>
        <w:t>（二）扣押物品，应当登记并写明物品名称、型号、规格、数量、重量、质量、成色、纯度、颜色、新旧程度、缺损特征和来源等。扣押货币、有价证券，应当登记并写明货币、有价证券的名称、数额、面额等，货币应当存入银行专门账户，并登记银行存款凭证的名称、内容。扣押文物、金银、珠宝、名贵字画等贵重物品以及违禁品，应当拍照，需要鉴定的，应当及时鉴定。对扣押的物品应当根据有关规定及时估价。</w:t>
      </w:r>
    </w:p>
    <w:p w14:paraId="4EC87F8B" w14:textId="4D291A50" w:rsidR="00594E81" w:rsidRPr="00594E81" w:rsidRDefault="00594E81" w:rsidP="00594E81">
      <w:pPr>
        <w:spacing w:line="240" w:lineRule="exact"/>
        <w:ind w:firstLineChars="200" w:firstLine="420"/>
        <w:rPr>
          <w:rFonts w:ascii="宋体" w:eastAsia="宋体" w:hAnsi="宋体" w:hint="eastAsia"/>
          <w:szCs w:val="21"/>
        </w:rPr>
      </w:pPr>
      <w:r w:rsidRPr="00594E81">
        <w:rPr>
          <w:rFonts w:ascii="宋体" w:eastAsia="宋体" w:hAnsi="宋体" w:hint="eastAsia"/>
          <w:szCs w:val="21"/>
        </w:rPr>
        <w:t>（三）冻结存款、汇款、债券、股票、基金份额等财产，应当登记并写明编号、种类、面值、张数、金额等。</w:t>
      </w:r>
    </w:p>
    <w:p w14:paraId="464853FD" w14:textId="77777777" w:rsidR="00594E81" w:rsidRDefault="00594E81" w:rsidP="006312DC">
      <w:pPr>
        <w:spacing w:line="240" w:lineRule="exact"/>
        <w:ind w:firstLineChars="200" w:firstLine="422"/>
        <w:rPr>
          <w:rFonts w:ascii="宋体" w:eastAsia="宋体" w:hAnsi="宋体" w:hint="eastAsia"/>
          <w:b/>
          <w:bCs/>
          <w:color w:val="FF0000"/>
          <w:szCs w:val="21"/>
        </w:rPr>
      </w:pPr>
      <w:r>
        <w:rPr>
          <w:rFonts w:ascii="宋体" w:eastAsia="宋体" w:hAnsi="宋体" w:hint="eastAsia"/>
          <w:b/>
          <w:bCs/>
          <w:color w:val="FF0000"/>
          <w:szCs w:val="21"/>
        </w:rPr>
        <w:t>二、</w:t>
      </w:r>
      <w:r w:rsidR="0080760E" w:rsidRPr="003C6714">
        <w:rPr>
          <w:rFonts w:ascii="宋体" w:eastAsia="宋体" w:hAnsi="宋体" w:hint="eastAsia"/>
          <w:b/>
          <w:bCs/>
          <w:color w:val="FF0000"/>
          <w:szCs w:val="21"/>
        </w:rPr>
        <w:t>返还被害人</w:t>
      </w:r>
    </w:p>
    <w:p w14:paraId="5383EE99" w14:textId="77777777" w:rsidR="00594E81" w:rsidRDefault="0080760E" w:rsidP="006312DC">
      <w:pPr>
        <w:spacing w:line="240" w:lineRule="exact"/>
        <w:ind w:firstLineChars="200" w:firstLine="420"/>
        <w:rPr>
          <w:rFonts w:ascii="宋体" w:eastAsia="宋体" w:hAnsi="宋体" w:hint="eastAsia"/>
          <w:szCs w:val="21"/>
        </w:rPr>
      </w:pPr>
      <w:r w:rsidRPr="003C6714">
        <w:rPr>
          <w:rFonts w:ascii="宋体" w:eastAsia="宋体" w:hAnsi="宋体" w:hint="eastAsia"/>
          <w:szCs w:val="21"/>
        </w:rPr>
        <w:t>（</w:t>
      </w:r>
      <w:r w:rsidR="00594E81">
        <w:rPr>
          <w:rFonts w:ascii="宋体" w:eastAsia="宋体" w:hAnsi="宋体" w:hint="eastAsia"/>
          <w:szCs w:val="21"/>
        </w:rPr>
        <w:t>一</w:t>
      </w:r>
      <w:r w:rsidRPr="003C6714">
        <w:rPr>
          <w:rFonts w:ascii="宋体" w:eastAsia="宋体" w:hAnsi="宋体" w:hint="eastAsia"/>
          <w:szCs w:val="21"/>
        </w:rPr>
        <w:t>）对被害人的合法财产，权属明确的，应当依法及时返还，但须经拍照、鉴定、估价，并在案卷中注明返还的理由，将原物照片、清单和被害人的领取手续附卷备查；权属不明的，应当在人民法院判决、裁定生效后，按比例返还被害人，但已获退赔的部分应予扣除。</w:t>
      </w:r>
    </w:p>
    <w:p w14:paraId="507C7AB8" w14:textId="77777777" w:rsidR="00594E81" w:rsidRDefault="0080760E" w:rsidP="006312DC">
      <w:pPr>
        <w:spacing w:line="240" w:lineRule="exact"/>
        <w:ind w:firstLineChars="200" w:firstLine="420"/>
        <w:rPr>
          <w:rFonts w:ascii="宋体" w:eastAsia="宋体" w:hAnsi="宋体" w:hint="eastAsia"/>
          <w:szCs w:val="21"/>
        </w:rPr>
      </w:pPr>
      <w:r w:rsidRPr="003C6714">
        <w:rPr>
          <w:rFonts w:ascii="宋体" w:eastAsia="宋体" w:hAnsi="宋体" w:hint="eastAsia"/>
          <w:szCs w:val="21"/>
        </w:rPr>
        <w:t>（</w:t>
      </w:r>
      <w:r w:rsidR="00594E81">
        <w:rPr>
          <w:rFonts w:ascii="宋体" w:eastAsia="宋体" w:hAnsi="宋体" w:hint="eastAsia"/>
          <w:szCs w:val="21"/>
        </w:rPr>
        <w:t>二</w:t>
      </w:r>
      <w:r w:rsidRPr="003C6714">
        <w:rPr>
          <w:rFonts w:ascii="宋体" w:eastAsia="宋体" w:hAnsi="宋体" w:hint="eastAsia"/>
          <w:szCs w:val="21"/>
        </w:rPr>
        <w:t>）查封、扣押、冻结的财物及其孳息，经审查，确属违法所得或者依法应当追缴的其他涉案财物的，应当判决返还被害人，或者没收上缴国库，但法律另有规定的除外。</w:t>
      </w:r>
    </w:p>
    <w:p w14:paraId="275B056B" w14:textId="1667145A" w:rsidR="0080760E" w:rsidRDefault="0080760E" w:rsidP="006312DC">
      <w:pPr>
        <w:spacing w:line="240" w:lineRule="exact"/>
        <w:ind w:firstLineChars="200" w:firstLine="420"/>
        <w:rPr>
          <w:rFonts w:ascii="宋体" w:eastAsia="宋体" w:hAnsi="宋体" w:hint="eastAsia"/>
          <w:szCs w:val="21"/>
        </w:rPr>
      </w:pPr>
      <w:r w:rsidRPr="003C6714">
        <w:rPr>
          <w:rFonts w:ascii="宋体" w:eastAsia="宋体" w:hAnsi="宋体" w:hint="eastAsia"/>
          <w:szCs w:val="21"/>
        </w:rPr>
        <w:t>（</w:t>
      </w:r>
      <w:r w:rsidR="00594E81">
        <w:rPr>
          <w:rFonts w:ascii="宋体" w:eastAsia="宋体" w:hAnsi="宋体" w:hint="eastAsia"/>
          <w:szCs w:val="21"/>
        </w:rPr>
        <w:t>三</w:t>
      </w:r>
      <w:r w:rsidRPr="003C6714">
        <w:rPr>
          <w:rFonts w:ascii="宋体" w:eastAsia="宋体" w:hAnsi="宋体" w:hint="eastAsia"/>
          <w:szCs w:val="21"/>
        </w:rPr>
        <w:t>）判决返还被害人的涉案财物，应当通知被害人认领；无人认领的，应当公告通知；公告满一年无人认领的，应当上缴国库；上缴国库后有人认领，经查证属实的，应当申请退库予以返还；原物已经拍卖、变卖的，应当返还价款。</w:t>
      </w:r>
    </w:p>
    <w:p w14:paraId="753B5DC6" w14:textId="77777777" w:rsidR="00594E81" w:rsidRPr="00594E81" w:rsidRDefault="00594E81" w:rsidP="00594E81">
      <w:pPr>
        <w:spacing w:line="240" w:lineRule="exact"/>
        <w:ind w:firstLineChars="200" w:firstLine="420"/>
        <w:rPr>
          <w:rFonts w:ascii="宋体" w:eastAsia="宋体" w:hAnsi="宋体" w:cs="宋体" w:hint="eastAsia"/>
          <w:szCs w:val="21"/>
        </w:rPr>
      </w:pPr>
      <w:r w:rsidRPr="00594E81">
        <w:rPr>
          <w:rFonts w:ascii="宋体" w:eastAsia="宋体" w:hAnsi="宋体" w:cs="宋体" w:hint="eastAsia"/>
          <w:szCs w:val="21"/>
        </w:rPr>
        <w:lastRenderedPageBreak/>
        <w:t>三、先行处置</w:t>
      </w:r>
    </w:p>
    <w:p w14:paraId="0189743D" w14:textId="77777777" w:rsidR="00594E81" w:rsidRPr="00594E81" w:rsidRDefault="00594E81" w:rsidP="00594E81">
      <w:pPr>
        <w:spacing w:line="240" w:lineRule="exact"/>
        <w:ind w:firstLineChars="200" w:firstLine="420"/>
        <w:rPr>
          <w:rFonts w:ascii="宋体" w:eastAsia="宋体" w:hAnsi="宋体" w:cs="宋体" w:hint="eastAsia"/>
          <w:szCs w:val="21"/>
        </w:rPr>
      </w:pPr>
      <w:r w:rsidRPr="00594E81">
        <w:rPr>
          <w:rFonts w:ascii="宋体" w:eastAsia="宋体" w:hAnsi="宋体" w:cs="宋体" w:hint="eastAsia"/>
          <w:szCs w:val="21"/>
        </w:rPr>
        <w:t>审判期间，对不宜长期保存、易贬值或者市场价格波动大的财产，或者有效期即将届满的票据等，经权利人申请或者同意，并经院长批准，可以依法先行处置，所得款项由人民法院保管。涉案财物先行处置应当依法、公开、公平。</w:t>
      </w:r>
    </w:p>
    <w:p w14:paraId="694F87C0" w14:textId="77777777" w:rsidR="00594E81" w:rsidRPr="00594E81" w:rsidRDefault="00594E81" w:rsidP="00594E81">
      <w:pPr>
        <w:spacing w:line="240" w:lineRule="exact"/>
        <w:ind w:firstLineChars="200" w:firstLine="420"/>
        <w:rPr>
          <w:rFonts w:ascii="宋体" w:eastAsia="宋体" w:hAnsi="宋体" w:cs="宋体" w:hint="eastAsia"/>
          <w:szCs w:val="21"/>
        </w:rPr>
      </w:pPr>
      <w:r w:rsidRPr="00594E81">
        <w:rPr>
          <w:rFonts w:ascii="宋体" w:eastAsia="宋体" w:hAnsi="宋体" w:cs="宋体" w:hint="eastAsia"/>
          <w:szCs w:val="21"/>
        </w:rPr>
        <w:t>四、涉案财物及其收益的追缴</w:t>
      </w:r>
    </w:p>
    <w:p w14:paraId="2B17C83A" w14:textId="77777777" w:rsidR="00594E81" w:rsidRPr="00594E81" w:rsidRDefault="00594E81" w:rsidP="00594E81">
      <w:pPr>
        <w:spacing w:line="240" w:lineRule="exact"/>
        <w:ind w:firstLineChars="200" w:firstLine="420"/>
        <w:rPr>
          <w:rFonts w:ascii="宋体" w:eastAsia="宋体" w:hAnsi="宋体" w:cs="宋体" w:hint="eastAsia"/>
          <w:szCs w:val="21"/>
        </w:rPr>
      </w:pPr>
      <w:r w:rsidRPr="00594E81">
        <w:rPr>
          <w:rFonts w:ascii="宋体" w:eastAsia="宋体" w:hAnsi="宋体" w:cs="宋体" w:hint="eastAsia"/>
          <w:szCs w:val="21"/>
        </w:rPr>
        <w:t>被告人将依法应当追缴的涉案财物用于投资或者置业的，对因此形成的财产及其收益，应当追缴。被告人将依法应当追缴的涉案财物与其他合法财产共同用于投资或者置业的，对因此形成的财产中与涉案财物对应的份额及其收益，应当追缴。</w:t>
      </w:r>
    </w:p>
    <w:p w14:paraId="4A69116B" w14:textId="77777777" w:rsidR="00594E81" w:rsidRPr="00594E81" w:rsidRDefault="00594E81" w:rsidP="00594E81">
      <w:pPr>
        <w:spacing w:line="240" w:lineRule="exact"/>
        <w:ind w:firstLineChars="200" w:firstLine="420"/>
        <w:rPr>
          <w:rFonts w:ascii="宋体" w:eastAsia="宋体" w:hAnsi="宋体" w:cs="宋体" w:hint="eastAsia"/>
          <w:szCs w:val="21"/>
        </w:rPr>
      </w:pPr>
      <w:r w:rsidRPr="00594E81">
        <w:rPr>
          <w:rFonts w:ascii="宋体" w:eastAsia="宋体" w:hAnsi="宋体" w:cs="宋体" w:hint="eastAsia"/>
          <w:szCs w:val="21"/>
        </w:rPr>
        <w:t>对判决时尚未追缴到案或者尚未足额退赔的违法所得，应当判决继续追缴或者责令退赔。</w:t>
      </w:r>
    </w:p>
    <w:p w14:paraId="68E7A5B0" w14:textId="77777777" w:rsidR="00594E81" w:rsidRPr="00AD0458" w:rsidRDefault="00594E81" w:rsidP="00594E81">
      <w:pPr>
        <w:spacing w:line="240" w:lineRule="exact"/>
        <w:ind w:firstLineChars="200" w:firstLine="422"/>
        <w:rPr>
          <w:rFonts w:ascii="宋体" w:eastAsia="宋体" w:hAnsi="宋体" w:cs="宋体" w:hint="eastAsia"/>
          <w:b/>
          <w:bCs/>
          <w:color w:val="FF0000"/>
          <w:szCs w:val="21"/>
        </w:rPr>
      </w:pPr>
      <w:r w:rsidRPr="00AD0458">
        <w:rPr>
          <w:rFonts w:ascii="宋体" w:eastAsia="宋体" w:hAnsi="宋体" w:cs="宋体" w:hint="eastAsia"/>
          <w:b/>
          <w:bCs/>
          <w:color w:val="FF0000"/>
          <w:szCs w:val="21"/>
        </w:rPr>
        <w:t>五、对涉案财物未处理的救济</w:t>
      </w:r>
    </w:p>
    <w:p w14:paraId="19CC3784" w14:textId="77777777" w:rsidR="00594E81" w:rsidRPr="00594E81" w:rsidRDefault="00594E81" w:rsidP="00594E81">
      <w:pPr>
        <w:spacing w:line="240" w:lineRule="exact"/>
        <w:ind w:firstLineChars="200" w:firstLine="420"/>
        <w:rPr>
          <w:rFonts w:ascii="宋体" w:eastAsia="宋体" w:hAnsi="宋体" w:cs="宋体" w:hint="eastAsia"/>
          <w:szCs w:val="21"/>
        </w:rPr>
      </w:pPr>
      <w:r w:rsidRPr="00594E81">
        <w:rPr>
          <w:rFonts w:ascii="宋体" w:eastAsia="宋体" w:hAnsi="宋体" w:cs="宋体" w:hint="eastAsia"/>
          <w:szCs w:val="21"/>
        </w:rPr>
        <w:t>第二审期间，发现第一审判决未对随案移送的涉案财物及其孳息作出处理的，可以裁定撤销原判，发回原审人民法院重新审判，由原审人民法院依法对涉案财物及其孳息一并作出处理。</w:t>
      </w:r>
    </w:p>
    <w:p w14:paraId="5C9E2D86" w14:textId="4A7A8FFB" w:rsidR="00594E81" w:rsidRPr="003C6714" w:rsidRDefault="00594E81" w:rsidP="00594E81">
      <w:pPr>
        <w:spacing w:line="240" w:lineRule="exact"/>
        <w:ind w:firstLineChars="200" w:firstLine="420"/>
        <w:rPr>
          <w:rFonts w:ascii="宋体" w:eastAsia="宋体" w:hAnsi="宋体" w:cs="宋体" w:hint="eastAsia"/>
          <w:szCs w:val="21"/>
        </w:rPr>
      </w:pPr>
      <w:r w:rsidRPr="00594E81">
        <w:rPr>
          <w:rFonts w:ascii="宋体" w:eastAsia="宋体" w:hAnsi="宋体" w:cs="宋体" w:hint="eastAsia"/>
          <w:szCs w:val="21"/>
        </w:rPr>
        <w:t>判决生效后，发现原判未对随案移送的涉案财物及其孳息作出处理的，由原审人民法院依法对涉案财物及其孳息另行作出处理。</w:t>
      </w:r>
    </w:p>
    <w:p w14:paraId="69EBAD7D" w14:textId="6CEBE386" w:rsidR="0080760E" w:rsidRPr="003C6714" w:rsidRDefault="0080760E" w:rsidP="006312DC">
      <w:pPr>
        <w:pStyle w:val="1"/>
        <w:tabs>
          <w:tab w:val="left" w:pos="420"/>
        </w:tabs>
        <w:spacing w:before="0" w:after="0" w:line="240" w:lineRule="exact"/>
        <w:jc w:val="center"/>
        <w:rPr>
          <w:rFonts w:ascii="宋体" w:hAnsi="宋体" w:cs="宋体" w:hint="eastAsia"/>
          <w:bCs w:val="0"/>
          <w:kern w:val="0"/>
          <w:sz w:val="21"/>
          <w:szCs w:val="21"/>
        </w:rPr>
      </w:pPr>
      <w:bookmarkStart w:id="23" w:name="_Toc4844151"/>
      <w:bookmarkStart w:id="24" w:name="_Toc128736546"/>
      <w:bookmarkStart w:id="25" w:name="_Toc64384729"/>
      <w:bookmarkStart w:id="26" w:name="_Toc132408736"/>
      <w:r w:rsidRPr="003C6714">
        <w:rPr>
          <w:rFonts w:ascii="宋体" w:hAnsi="宋体" w:cs="宋体" w:hint="eastAsia"/>
          <w:bCs w:val="0"/>
          <w:sz w:val="21"/>
          <w:szCs w:val="21"/>
        </w:rPr>
        <w:t>考点3</w:t>
      </w:r>
      <w:r w:rsidRPr="003C6714">
        <w:rPr>
          <w:rFonts w:ascii="宋体" w:hAnsi="宋体" w:cs="宋体"/>
          <w:bCs w:val="0"/>
          <w:sz w:val="21"/>
          <w:szCs w:val="21"/>
        </w:rPr>
        <w:t xml:space="preserve">0  </w:t>
      </w:r>
      <w:r w:rsidRPr="003C6714">
        <w:rPr>
          <w:rFonts w:ascii="宋体" w:hAnsi="宋体" w:cs="宋体" w:hint="eastAsia"/>
          <w:bCs w:val="0"/>
          <w:sz w:val="21"/>
          <w:szCs w:val="21"/>
        </w:rPr>
        <w:t>死刑复核</w:t>
      </w:r>
      <w:bookmarkStart w:id="27" w:name="_Toc510879145"/>
      <w:bookmarkEnd w:id="23"/>
      <w:bookmarkEnd w:id="24"/>
      <w:bookmarkEnd w:id="25"/>
      <w:bookmarkEnd w:id="26"/>
      <w:r w:rsidRPr="003C6714">
        <w:rPr>
          <w:rFonts w:ascii="宋体" w:hAnsi="宋体" w:cs="宋体" w:hint="eastAsia"/>
          <w:bCs w:val="0"/>
          <w:kern w:val="0"/>
          <w:sz w:val="21"/>
          <w:szCs w:val="21"/>
        </w:rPr>
        <w:t>（</w:t>
      </w:r>
      <w:r w:rsidR="006312DC" w:rsidRPr="003C6714">
        <w:rPr>
          <w:rFonts w:ascii="宋体" w:hAnsi="宋体" w:cs="宋体" w:hint="eastAsia"/>
          <w:bCs w:val="0"/>
          <w:kern w:val="0"/>
          <w:sz w:val="21"/>
          <w:szCs w:val="21"/>
        </w:rPr>
        <w:t>1</w:t>
      </w:r>
      <w:r w:rsidR="00AD0458">
        <w:rPr>
          <w:rFonts w:ascii="宋体" w:hAnsi="宋体" w:cs="宋体" w:hint="eastAsia"/>
          <w:bCs w:val="0"/>
          <w:kern w:val="0"/>
          <w:sz w:val="21"/>
          <w:szCs w:val="21"/>
        </w:rPr>
        <w:t>0</w:t>
      </w:r>
      <w:r w:rsidRPr="003C6714">
        <w:rPr>
          <w:rFonts w:ascii="宋体" w:hAnsi="宋体" w:cs="宋体" w:hint="eastAsia"/>
          <w:bCs w:val="0"/>
          <w:kern w:val="0"/>
          <w:sz w:val="21"/>
          <w:szCs w:val="21"/>
        </w:rPr>
        <w:t>:</w:t>
      </w:r>
      <w:r w:rsidR="00F82960" w:rsidRPr="003C6714">
        <w:rPr>
          <w:rFonts w:ascii="宋体" w:hAnsi="宋体" w:cs="宋体" w:hint="eastAsia"/>
          <w:bCs w:val="0"/>
          <w:kern w:val="0"/>
          <w:sz w:val="21"/>
          <w:szCs w:val="21"/>
        </w:rPr>
        <w:t>4</w:t>
      </w:r>
      <w:r w:rsidR="00AD0458">
        <w:rPr>
          <w:rFonts w:ascii="宋体" w:hAnsi="宋体" w:cs="宋体" w:hint="eastAsia"/>
          <w:bCs w:val="0"/>
          <w:kern w:val="0"/>
          <w:sz w:val="21"/>
          <w:szCs w:val="21"/>
        </w:rPr>
        <w:t>8</w:t>
      </w:r>
      <w:r w:rsidRPr="003C6714">
        <w:rPr>
          <w:rFonts w:ascii="宋体" w:hAnsi="宋体" w:cs="宋体" w:hint="eastAsia"/>
          <w:bCs w:val="0"/>
          <w:kern w:val="0"/>
          <w:sz w:val="21"/>
          <w:szCs w:val="21"/>
        </w:rPr>
        <w:t>:00-</w:t>
      </w:r>
      <w:r w:rsidR="00045B3F">
        <w:rPr>
          <w:rFonts w:ascii="宋体" w:hAnsi="宋体" w:cs="宋体" w:hint="eastAsia"/>
          <w:bCs w:val="0"/>
          <w:kern w:val="0"/>
          <w:sz w:val="21"/>
          <w:szCs w:val="21"/>
        </w:rPr>
        <w:t>11</w:t>
      </w:r>
      <w:r w:rsidRPr="003C6714">
        <w:rPr>
          <w:rFonts w:ascii="宋体" w:hAnsi="宋体" w:cs="宋体" w:hint="eastAsia"/>
          <w:bCs w:val="0"/>
          <w:kern w:val="0"/>
          <w:sz w:val="21"/>
          <w:szCs w:val="21"/>
        </w:rPr>
        <w:t>:</w:t>
      </w:r>
      <w:r w:rsidR="00957C96">
        <w:rPr>
          <w:rFonts w:ascii="宋体" w:hAnsi="宋体" w:cs="宋体" w:hint="eastAsia"/>
          <w:bCs w:val="0"/>
          <w:kern w:val="0"/>
          <w:sz w:val="21"/>
          <w:szCs w:val="21"/>
        </w:rPr>
        <w:t>2</w:t>
      </w:r>
      <w:r w:rsidR="00E63089">
        <w:rPr>
          <w:rFonts w:ascii="宋体" w:hAnsi="宋体" w:cs="宋体" w:hint="eastAsia"/>
          <w:bCs w:val="0"/>
          <w:kern w:val="0"/>
          <w:sz w:val="21"/>
          <w:szCs w:val="21"/>
        </w:rPr>
        <w:t>7</w:t>
      </w:r>
      <w:r w:rsidRPr="003C6714">
        <w:rPr>
          <w:rFonts w:ascii="宋体" w:hAnsi="宋体" w:cs="宋体" w:hint="eastAsia"/>
          <w:bCs w:val="0"/>
          <w:kern w:val="0"/>
          <w:sz w:val="21"/>
          <w:szCs w:val="21"/>
        </w:rPr>
        <w:t>:00）</w:t>
      </w:r>
    </w:p>
    <w:p w14:paraId="6587AFD8" w14:textId="77777777" w:rsidR="0080760E" w:rsidRPr="003C6714" w:rsidRDefault="0080760E" w:rsidP="006312DC">
      <w:pPr>
        <w:pStyle w:val="3"/>
        <w:spacing w:line="240" w:lineRule="exact"/>
        <w:ind w:firstLineChars="200" w:firstLine="420"/>
        <w:jc w:val="both"/>
        <w:rPr>
          <w:rFonts w:eastAsia="宋体" w:hint="eastAsia"/>
          <w:sz w:val="21"/>
        </w:rPr>
      </w:pPr>
      <w:bookmarkStart w:id="28" w:name="_Toc66105534"/>
      <w:bookmarkStart w:id="29" w:name="_Toc128736548"/>
      <w:r w:rsidRPr="003C6714">
        <w:rPr>
          <w:rFonts w:eastAsia="宋体" w:hint="eastAsia"/>
          <w:sz w:val="21"/>
        </w:rPr>
        <w:t>一、死刑立即执行案件的报请程序</w:t>
      </w:r>
      <w:bookmarkEnd w:id="28"/>
      <w:bookmarkEnd w:id="29"/>
    </w:p>
    <w:p w14:paraId="2171ED54" w14:textId="77777777" w:rsidR="0080760E" w:rsidRPr="003C6714" w:rsidRDefault="0080760E"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一）中级人民法院判处死刑的第一审案件，被告人未上诉、人民检察院未抗诉的，在上诉、抗诉期满后十日以内报请高级人民法院复核。高级人民法院同意判处死刑的，应当在作出裁定后十日以内报请最高人民法院核准；认为原判认定的某一具体事实或者引用的法律条款等存在瑕疵，但判处被告人死刑并无不当的，</w:t>
      </w:r>
      <w:r w:rsidRPr="003C6714">
        <w:rPr>
          <w:rFonts w:ascii="宋体" w:eastAsia="宋体" w:hAnsi="宋体" w:cs="等线" w:hint="eastAsia"/>
          <w:color w:val="FF0000"/>
          <w:szCs w:val="21"/>
        </w:rPr>
        <w:t>可以在纠正后作出核准的判决、裁定</w:t>
      </w:r>
      <w:r w:rsidRPr="003C6714">
        <w:rPr>
          <w:rFonts w:ascii="宋体" w:eastAsia="宋体" w:hAnsi="宋体" w:cs="等线" w:hint="eastAsia"/>
          <w:szCs w:val="21"/>
        </w:rPr>
        <w:t>；</w:t>
      </w:r>
      <w:r w:rsidRPr="003C6714">
        <w:rPr>
          <w:rFonts w:ascii="宋体" w:eastAsia="宋体" w:hAnsi="宋体" w:cs="等线" w:hint="eastAsia"/>
          <w:color w:val="FF0000"/>
          <w:szCs w:val="21"/>
        </w:rPr>
        <w:t>不同意判处死刑的，应当依照第二审程序提审或者发回重新审判</w:t>
      </w:r>
      <w:r w:rsidRPr="003C6714">
        <w:rPr>
          <w:rFonts w:ascii="宋体" w:eastAsia="宋体" w:hAnsi="宋体" w:cs="等线" w:hint="eastAsia"/>
          <w:szCs w:val="21"/>
        </w:rPr>
        <w:t>。</w:t>
      </w:r>
    </w:p>
    <w:p w14:paraId="2AAA6CA9" w14:textId="77777777" w:rsidR="0080760E" w:rsidRPr="003C6714" w:rsidRDefault="0080760E"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（二）中级人民法院判处死刑的第一审案件，被告人上诉或者人民检察院抗诉，高级人民法院裁定维持的，应当在作出裁定后十日以内报请最高人民法院核准。</w:t>
      </w:r>
    </w:p>
    <w:p w14:paraId="67174B43" w14:textId="77777777" w:rsidR="0080760E" w:rsidRPr="003C6714" w:rsidRDefault="0080760E"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三）高级人民法院判处死刑的第一审案件，被告人未上诉、人民检察院未抗诉的，应当在上诉、抗诉期满后十日以内报请最高人民法院核准。有上诉或抗诉的，最高人民法院按照二审程序进行审理，裁定驳回的，不再进行复核。（</w:t>
      </w:r>
      <w:r w:rsidRPr="003C6714">
        <w:rPr>
          <w:rFonts w:ascii="宋体" w:eastAsia="宋体" w:hAnsi="宋体" w:cs="等线" w:hint="eastAsia"/>
          <w:color w:val="FF0000"/>
          <w:szCs w:val="21"/>
        </w:rPr>
        <w:t>注意：最高院通过审判程序判决或裁定的死刑立即执行、死缓案件无须再复核；高级法院通过审判程序判决或裁定的死缓案件无须再复核</w:t>
      </w:r>
      <w:r w:rsidRPr="003C6714">
        <w:rPr>
          <w:rFonts w:ascii="宋体" w:eastAsia="宋体" w:hAnsi="宋体" w:cs="等线" w:hint="eastAsia"/>
          <w:szCs w:val="21"/>
        </w:rPr>
        <w:t>）</w:t>
      </w:r>
    </w:p>
    <w:p w14:paraId="03AF2834" w14:textId="788B5CA7" w:rsidR="0080760E" w:rsidRPr="003C6714" w:rsidRDefault="0080760E" w:rsidP="006312DC">
      <w:pPr>
        <w:spacing w:line="240" w:lineRule="exact"/>
        <w:ind w:firstLineChars="200" w:firstLine="420"/>
        <w:rPr>
          <w:rFonts w:ascii="宋体" w:eastAsia="宋体" w:hAnsi="宋体" w:cs="等线" w:hint="eastAsia"/>
          <w:color w:val="FF0000"/>
          <w:szCs w:val="21"/>
        </w:rPr>
      </w:pPr>
      <w:r w:rsidRPr="003C6714">
        <w:rPr>
          <w:rFonts w:ascii="宋体" w:eastAsia="宋体" w:hAnsi="宋体" w:cs="等线" w:hint="eastAsia"/>
          <w:szCs w:val="21"/>
        </w:rPr>
        <w:t>（四）高级人民法院复核死刑案件，</w:t>
      </w:r>
      <w:r w:rsidRPr="003C6714">
        <w:rPr>
          <w:rFonts w:ascii="宋体" w:eastAsia="宋体" w:hAnsi="宋体" w:cs="等线" w:hint="eastAsia"/>
          <w:color w:val="FF0000"/>
          <w:szCs w:val="21"/>
        </w:rPr>
        <w:t>应当讯问被告人。</w:t>
      </w:r>
    </w:p>
    <w:p w14:paraId="71A604B7" w14:textId="77777777" w:rsidR="0080760E" w:rsidRPr="003C6714" w:rsidRDefault="0080760E" w:rsidP="006312DC">
      <w:pPr>
        <w:pStyle w:val="3"/>
        <w:spacing w:line="240" w:lineRule="exact"/>
        <w:ind w:firstLineChars="200" w:firstLine="420"/>
        <w:jc w:val="both"/>
        <w:rPr>
          <w:rFonts w:eastAsia="宋体" w:hint="eastAsia"/>
          <w:sz w:val="21"/>
        </w:rPr>
      </w:pPr>
      <w:bookmarkStart w:id="30" w:name="_Toc128736549"/>
      <w:bookmarkStart w:id="31" w:name="_Toc66105535"/>
      <w:r w:rsidRPr="003C6714">
        <w:rPr>
          <w:rFonts w:eastAsia="宋体" w:hint="eastAsia"/>
          <w:sz w:val="21"/>
        </w:rPr>
        <w:t>二、死刑立即执行案件的复核</w:t>
      </w:r>
      <w:bookmarkEnd w:id="27"/>
      <w:bookmarkEnd w:id="30"/>
      <w:bookmarkEnd w:id="31"/>
    </w:p>
    <w:p w14:paraId="090FD8AB" w14:textId="77777777" w:rsidR="0080760E" w:rsidRPr="003C6714" w:rsidRDefault="0080760E" w:rsidP="006312DC">
      <w:pPr>
        <w:pStyle w:val="4"/>
        <w:spacing w:line="240" w:lineRule="exact"/>
        <w:ind w:firstLineChars="200" w:firstLine="420"/>
        <w:jc w:val="both"/>
        <w:rPr>
          <w:rFonts w:ascii="宋体" w:eastAsia="宋体" w:hAnsi="宋体" w:hint="eastAsia"/>
          <w:sz w:val="21"/>
          <w:szCs w:val="21"/>
        </w:rPr>
      </w:pPr>
      <w:bookmarkStart w:id="32" w:name="_Toc128736550"/>
      <w:r w:rsidRPr="003C6714">
        <w:rPr>
          <w:rFonts w:ascii="宋体" w:eastAsia="宋体" w:hAnsi="宋体" w:hint="eastAsia"/>
          <w:sz w:val="21"/>
          <w:szCs w:val="21"/>
        </w:rPr>
        <w:t>（一）死刑立即执行案件复核后的处理</w:t>
      </w:r>
      <w:bookmarkEnd w:id="32"/>
    </w:p>
    <w:p w14:paraId="3FF7D916" w14:textId="77777777" w:rsidR="0080760E" w:rsidRPr="003C6714" w:rsidRDefault="0080760E" w:rsidP="006312DC">
      <w:pPr>
        <w:spacing w:line="240" w:lineRule="exact"/>
        <w:ind w:firstLineChars="200" w:firstLine="420"/>
        <w:rPr>
          <w:rFonts w:ascii="宋体" w:eastAsia="宋体" w:hAnsi="宋体" w:hint="eastAsia"/>
          <w:szCs w:val="21"/>
        </w:rPr>
      </w:pPr>
      <w:r w:rsidRPr="003C6714">
        <w:rPr>
          <w:rFonts w:ascii="宋体" w:eastAsia="宋体" w:hAnsi="宋体" w:cs="等线" w:hint="eastAsia"/>
          <w:szCs w:val="21"/>
        </w:rPr>
        <w:t>1</w:t>
      </w:r>
      <w:r w:rsidRPr="003C6714">
        <w:rPr>
          <w:rFonts w:ascii="宋体" w:eastAsia="宋体" w:hAnsi="宋体" w:cs="等线"/>
          <w:szCs w:val="21"/>
        </w:rPr>
        <w:t>.</w:t>
      </w:r>
      <w:r w:rsidRPr="003C6714">
        <w:rPr>
          <w:rFonts w:ascii="宋体" w:eastAsia="宋体" w:hAnsi="宋体" w:cs="等线" w:hint="eastAsia"/>
          <w:szCs w:val="21"/>
        </w:rPr>
        <w:t>认定事实和适用法律正确、量刑适当、程序合法的裁定核准</w:t>
      </w:r>
      <w:r w:rsidRPr="003C6714">
        <w:rPr>
          <w:rFonts w:ascii="宋体" w:eastAsia="宋体" w:hAnsi="宋体" w:hint="eastAsia"/>
          <w:szCs w:val="21"/>
        </w:rPr>
        <w:t>。</w:t>
      </w:r>
      <w:r w:rsidRPr="003C6714">
        <w:rPr>
          <w:rFonts w:ascii="宋体" w:eastAsia="宋体" w:hAnsi="宋体" w:cs="等线" w:hint="eastAsia"/>
          <w:szCs w:val="21"/>
        </w:rPr>
        <w:t>2</w:t>
      </w:r>
      <w:r w:rsidRPr="003C6714">
        <w:rPr>
          <w:rFonts w:ascii="宋体" w:eastAsia="宋体" w:hAnsi="宋体" w:cs="等线"/>
          <w:szCs w:val="21"/>
        </w:rPr>
        <w:t>.</w:t>
      </w:r>
      <w:r w:rsidRPr="003C6714">
        <w:rPr>
          <w:rFonts w:ascii="宋体" w:eastAsia="宋体" w:hAnsi="宋体" w:cs="等线" w:hint="eastAsia"/>
          <w:szCs w:val="21"/>
        </w:rPr>
        <w:t>认定的某一具体事实或者引用的法律条款等存在瑕疵，但判处被告人死刑并无不当的可以在纠正后作出核准的判决、裁定</w:t>
      </w:r>
      <w:r w:rsidRPr="003C6714">
        <w:rPr>
          <w:rFonts w:ascii="宋体" w:eastAsia="宋体" w:hAnsi="宋体" w:hint="eastAsia"/>
          <w:szCs w:val="21"/>
        </w:rPr>
        <w:t>。</w:t>
      </w:r>
      <w:r w:rsidRPr="003C6714">
        <w:rPr>
          <w:rFonts w:ascii="宋体" w:eastAsia="宋体" w:hAnsi="宋体" w:cs="等线" w:hint="eastAsia"/>
          <w:szCs w:val="21"/>
        </w:rPr>
        <w:t>3</w:t>
      </w:r>
      <w:r w:rsidRPr="003C6714">
        <w:rPr>
          <w:rFonts w:ascii="宋体" w:eastAsia="宋体" w:hAnsi="宋体" w:cs="等线"/>
          <w:szCs w:val="21"/>
        </w:rPr>
        <w:t>.</w:t>
      </w:r>
      <w:r w:rsidRPr="003C6714">
        <w:rPr>
          <w:rFonts w:ascii="宋体" w:eastAsia="宋体" w:hAnsi="宋体" w:cs="等线" w:hint="eastAsia"/>
          <w:szCs w:val="21"/>
        </w:rPr>
        <w:t>事实不清、证据不足的或复核期间出现新的影响定罪量刑的事实、证据的裁定不予核准，并撤销原判，发回重新审判</w:t>
      </w:r>
      <w:r w:rsidRPr="003C6714">
        <w:rPr>
          <w:rFonts w:ascii="宋体" w:eastAsia="宋体" w:hAnsi="宋体" w:hint="eastAsia"/>
          <w:szCs w:val="21"/>
        </w:rPr>
        <w:t>。</w:t>
      </w:r>
      <w:r w:rsidRPr="003C6714">
        <w:rPr>
          <w:rFonts w:ascii="宋体" w:eastAsia="宋体" w:hAnsi="宋体" w:cs="等线" w:hint="eastAsia"/>
          <w:szCs w:val="21"/>
        </w:rPr>
        <w:t>4</w:t>
      </w:r>
      <w:r w:rsidRPr="003C6714">
        <w:rPr>
          <w:rFonts w:ascii="宋体" w:eastAsia="宋体" w:hAnsi="宋体" w:cs="等线"/>
          <w:szCs w:val="21"/>
        </w:rPr>
        <w:t>.</w:t>
      </w:r>
      <w:r w:rsidRPr="003C6714">
        <w:rPr>
          <w:rFonts w:ascii="宋体" w:eastAsia="宋体" w:hAnsi="宋体" w:cs="等线" w:hint="eastAsia"/>
          <w:szCs w:val="21"/>
        </w:rPr>
        <w:t>原判认定事实正确，但依法不应当判处死刑的裁定不予核准，并撤销原判，发回重新审判；</w:t>
      </w:r>
      <w:r w:rsidRPr="003C6714">
        <w:rPr>
          <w:rFonts w:ascii="宋体" w:eastAsia="宋体" w:hAnsi="宋体" w:cs="等线" w:hint="eastAsia"/>
          <w:color w:val="FF0000"/>
          <w:szCs w:val="21"/>
        </w:rPr>
        <w:t>根据案件情况，必要时，也可以依法改判</w:t>
      </w:r>
      <w:r w:rsidRPr="003C6714">
        <w:rPr>
          <w:rFonts w:ascii="宋体" w:eastAsia="宋体" w:hAnsi="宋体" w:hint="eastAsia"/>
          <w:szCs w:val="21"/>
        </w:rPr>
        <w:t>。</w:t>
      </w:r>
      <w:r w:rsidRPr="003C6714">
        <w:rPr>
          <w:rFonts w:ascii="宋体" w:eastAsia="宋体" w:hAnsi="宋体" w:cs="等线" w:hint="eastAsia"/>
          <w:szCs w:val="21"/>
        </w:rPr>
        <w:t>5</w:t>
      </w:r>
      <w:r w:rsidRPr="003C6714">
        <w:rPr>
          <w:rFonts w:ascii="宋体" w:eastAsia="宋体" w:hAnsi="宋体" w:cs="等线"/>
          <w:szCs w:val="21"/>
        </w:rPr>
        <w:t>.</w:t>
      </w:r>
      <w:r w:rsidRPr="003C6714">
        <w:rPr>
          <w:rFonts w:ascii="宋体" w:eastAsia="宋体" w:hAnsi="宋体" w:cs="等线" w:hint="eastAsia"/>
          <w:szCs w:val="21"/>
        </w:rPr>
        <w:t>原审违反法定诉讼程序，可能影响公正审判的裁定不予核准，并撤销原判，发回重新审判</w:t>
      </w:r>
    </w:p>
    <w:p w14:paraId="224FE6FA" w14:textId="77777777" w:rsidR="0080760E" w:rsidRPr="003C6714" w:rsidRDefault="0080760E" w:rsidP="006312DC">
      <w:pPr>
        <w:pStyle w:val="4"/>
        <w:spacing w:line="240" w:lineRule="exact"/>
        <w:ind w:firstLineChars="120" w:firstLine="252"/>
        <w:jc w:val="both"/>
        <w:rPr>
          <w:rFonts w:ascii="宋体" w:eastAsia="宋体" w:hAnsi="宋体" w:hint="eastAsia"/>
          <w:sz w:val="21"/>
          <w:szCs w:val="21"/>
        </w:rPr>
      </w:pPr>
      <w:r w:rsidRPr="003C6714">
        <w:rPr>
          <w:rFonts w:ascii="宋体" w:eastAsia="宋体" w:hAnsi="宋体" w:hint="eastAsia"/>
          <w:sz w:val="21"/>
          <w:szCs w:val="21"/>
        </w:rPr>
        <w:t>（二）发回重审的处理</w:t>
      </w:r>
    </w:p>
    <w:p w14:paraId="6E5CD152" w14:textId="77777777" w:rsidR="0080760E" w:rsidRPr="003C6714" w:rsidRDefault="0080760E" w:rsidP="006312DC">
      <w:pPr>
        <w:spacing w:line="240" w:lineRule="exact"/>
        <w:ind w:firstLineChars="200" w:firstLine="420"/>
        <w:rPr>
          <w:rFonts w:ascii="宋体" w:eastAsia="宋体" w:hAnsi="宋体" w:cs="宋体" w:hint="eastAsia"/>
          <w:kern w:val="0"/>
          <w:szCs w:val="21"/>
        </w:rPr>
      </w:pPr>
      <w:r w:rsidRPr="003C6714">
        <w:rPr>
          <w:rFonts w:ascii="宋体" w:eastAsia="宋体" w:hAnsi="宋体" w:cs="宋体" w:hint="eastAsia"/>
          <w:kern w:val="0"/>
          <w:szCs w:val="21"/>
        </w:rPr>
        <w:t>1．进入最高院死刑复核程序的案件可分为两类：一是高院二审维持死刑立即执行并报请的案件</w:t>
      </w:r>
      <w:r w:rsidRPr="003C6714">
        <w:rPr>
          <w:rFonts w:ascii="宋体" w:eastAsia="宋体" w:hAnsi="宋体" w:cs="宋体" w:hint="eastAsia"/>
          <w:color w:val="FF0000"/>
          <w:kern w:val="0"/>
          <w:szCs w:val="21"/>
        </w:rPr>
        <w:t>（此种情形下存在中院一审、高院二审）</w:t>
      </w:r>
      <w:r w:rsidRPr="003C6714">
        <w:rPr>
          <w:rFonts w:ascii="宋体" w:eastAsia="宋体" w:hAnsi="宋体" w:cs="宋体" w:hint="eastAsia"/>
          <w:kern w:val="0"/>
          <w:szCs w:val="21"/>
        </w:rPr>
        <w:t>；二是高院经复核后同意判处死刑立即执行并报请的案件（此种情形下</w:t>
      </w:r>
      <w:r w:rsidRPr="003C6714">
        <w:rPr>
          <w:rFonts w:ascii="宋体" w:eastAsia="宋体" w:hAnsi="宋体" w:cs="宋体" w:hint="eastAsia"/>
          <w:color w:val="FF0000"/>
          <w:kern w:val="0"/>
          <w:szCs w:val="21"/>
        </w:rPr>
        <w:t>只有中院的一审和高院的复核</w:t>
      </w:r>
      <w:r w:rsidRPr="003C6714">
        <w:rPr>
          <w:rFonts w:ascii="宋体" w:eastAsia="宋体" w:hAnsi="宋体" w:cs="宋体" w:hint="eastAsia"/>
          <w:kern w:val="0"/>
          <w:szCs w:val="21"/>
        </w:rPr>
        <w:t>）</w:t>
      </w:r>
    </w:p>
    <w:tbl>
      <w:tblPr>
        <w:tblStyle w:val="32"/>
        <w:tblW w:w="850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440"/>
        <w:gridCol w:w="1857"/>
        <w:gridCol w:w="3064"/>
        <w:gridCol w:w="1144"/>
      </w:tblGrid>
      <w:tr w:rsidR="0080760E" w:rsidRPr="003C6714" w14:paraId="7D8935DB" w14:textId="77777777" w:rsidTr="00634E1B">
        <w:trPr>
          <w:jc w:val="center"/>
        </w:trPr>
        <w:tc>
          <w:tcPr>
            <w:tcW w:w="2440" w:type="dxa"/>
            <w:vAlign w:val="center"/>
          </w:tcPr>
          <w:p w14:paraId="79D72215" w14:textId="77777777" w:rsidR="0080760E" w:rsidRPr="003C6714" w:rsidRDefault="0080760E" w:rsidP="006312DC">
            <w:pPr>
              <w:spacing w:line="240" w:lineRule="exact"/>
              <w:jc w:val="center"/>
              <w:rPr>
                <w:rFonts w:ascii="宋体" w:hAnsi="宋体" w:cs="等线" w:hint="eastAsia"/>
                <w:bCs/>
                <w:sz w:val="21"/>
                <w:szCs w:val="21"/>
              </w:rPr>
            </w:pPr>
            <w:r w:rsidRPr="003C6714">
              <w:rPr>
                <w:rFonts w:ascii="宋体" w:hAnsi="宋体" w:cs="等线" w:hint="eastAsia"/>
                <w:bCs/>
                <w:sz w:val="21"/>
                <w:szCs w:val="21"/>
              </w:rPr>
              <w:t>情形</w:t>
            </w:r>
          </w:p>
        </w:tc>
        <w:tc>
          <w:tcPr>
            <w:tcW w:w="1857" w:type="dxa"/>
            <w:vAlign w:val="center"/>
          </w:tcPr>
          <w:p w14:paraId="4D438407" w14:textId="77777777" w:rsidR="0080760E" w:rsidRPr="003C6714" w:rsidRDefault="0080760E" w:rsidP="006312DC">
            <w:pPr>
              <w:spacing w:line="240" w:lineRule="exact"/>
              <w:jc w:val="center"/>
              <w:rPr>
                <w:rFonts w:ascii="宋体" w:hAnsi="宋体" w:cs="等线" w:hint="eastAsia"/>
                <w:bCs/>
                <w:sz w:val="21"/>
                <w:szCs w:val="21"/>
              </w:rPr>
            </w:pPr>
            <w:r w:rsidRPr="003C6714">
              <w:rPr>
                <w:rFonts w:ascii="宋体" w:hAnsi="宋体" w:cs="等线" w:hint="eastAsia"/>
                <w:bCs/>
                <w:sz w:val="21"/>
                <w:szCs w:val="21"/>
              </w:rPr>
              <w:t>重审法院</w:t>
            </w:r>
          </w:p>
        </w:tc>
        <w:tc>
          <w:tcPr>
            <w:tcW w:w="4208" w:type="dxa"/>
            <w:gridSpan w:val="2"/>
            <w:vAlign w:val="center"/>
          </w:tcPr>
          <w:p w14:paraId="322CD8E2" w14:textId="77777777" w:rsidR="0080760E" w:rsidRPr="003C6714" w:rsidRDefault="0080760E" w:rsidP="006312DC">
            <w:pPr>
              <w:spacing w:line="240" w:lineRule="exact"/>
              <w:jc w:val="center"/>
              <w:rPr>
                <w:rFonts w:ascii="宋体" w:hAnsi="宋体" w:cs="等线" w:hint="eastAsia"/>
                <w:bCs/>
                <w:sz w:val="21"/>
                <w:szCs w:val="21"/>
              </w:rPr>
            </w:pPr>
            <w:r w:rsidRPr="003C6714">
              <w:rPr>
                <w:rFonts w:ascii="宋体" w:hAnsi="宋体" w:cs="等线" w:hint="eastAsia"/>
                <w:bCs/>
                <w:sz w:val="21"/>
                <w:szCs w:val="21"/>
              </w:rPr>
              <w:t>处理</w:t>
            </w:r>
          </w:p>
        </w:tc>
      </w:tr>
      <w:tr w:rsidR="0080760E" w:rsidRPr="003C6714" w14:paraId="5827497E" w14:textId="77777777" w:rsidTr="00634E1B">
        <w:trPr>
          <w:jc w:val="center"/>
        </w:trPr>
        <w:tc>
          <w:tcPr>
            <w:tcW w:w="2440" w:type="dxa"/>
            <w:vMerge w:val="restart"/>
            <w:vAlign w:val="center"/>
          </w:tcPr>
          <w:p w14:paraId="13E41802"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第一类：即中院一审，高院二审</w:t>
            </w:r>
          </w:p>
        </w:tc>
        <w:tc>
          <w:tcPr>
            <w:tcW w:w="1857" w:type="dxa"/>
            <w:vAlign w:val="center"/>
          </w:tcPr>
          <w:p w14:paraId="3079CB89"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发回一审法院重审</w:t>
            </w:r>
          </w:p>
        </w:tc>
        <w:tc>
          <w:tcPr>
            <w:tcW w:w="4208" w:type="dxa"/>
            <w:gridSpan w:val="2"/>
            <w:vAlign w:val="center"/>
          </w:tcPr>
          <w:p w14:paraId="4B821332"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应当开庭审理</w:t>
            </w:r>
          </w:p>
        </w:tc>
      </w:tr>
      <w:tr w:rsidR="0080760E" w:rsidRPr="003C6714" w14:paraId="7B50CD0A" w14:textId="77777777" w:rsidTr="00634E1B">
        <w:trPr>
          <w:jc w:val="center"/>
        </w:trPr>
        <w:tc>
          <w:tcPr>
            <w:tcW w:w="2440" w:type="dxa"/>
            <w:vMerge/>
            <w:vAlign w:val="center"/>
          </w:tcPr>
          <w:p w14:paraId="763B48ED" w14:textId="77777777" w:rsidR="0080760E" w:rsidRPr="003C6714" w:rsidRDefault="0080760E" w:rsidP="006312DC">
            <w:pPr>
              <w:spacing w:line="240" w:lineRule="exact"/>
              <w:rPr>
                <w:rFonts w:ascii="宋体" w:hAnsi="宋体" w:cs="等线" w:hint="eastAsia"/>
                <w:color w:val="FF0000"/>
                <w:sz w:val="21"/>
                <w:szCs w:val="21"/>
              </w:rPr>
            </w:pPr>
          </w:p>
        </w:tc>
        <w:tc>
          <w:tcPr>
            <w:tcW w:w="1857" w:type="dxa"/>
            <w:vMerge w:val="restart"/>
            <w:vAlign w:val="center"/>
          </w:tcPr>
          <w:p w14:paraId="5B69AA5A" w14:textId="77777777" w:rsidR="0080760E" w:rsidRPr="003C6714" w:rsidRDefault="0080760E" w:rsidP="006312DC">
            <w:pPr>
              <w:spacing w:line="240" w:lineRule="exact"/>
              <w:rPr>
                <w:rFonts w:ascii="宋体" w:hAnsi="宋体" w:cs="等线" w:hint="eastAsia"/>
                <w:b/>
                <w:color w:val="FF0000"/>
                <w:sz w:val="21"/>
                <w:szCs w:val="21"/>
              </w:rPr>
            </w:pPr>
            <w:r w:rsidRPr="003C6714">
              <w:rPr>
                <w:rFonts w:ascii="宋体" w:hAnsi="宋体" w:cs="等线" w:hint="eastAsia"/>
                <w:bCs/>
                <w:color w:val="FF0000"/>
                <w:sz w:val="21"/>
                <w:szCs w:val="21"/>
              </w:rPr>
              <w:t>发回二审法院重审</w:t>
            </w:r>
          </w:p>
        </w:tc>
        <w:tc>
          <w:tcPr>
            <w:tcW w:w="4208" w:type="dxa"/>
            <w:gridSpan w:val="2"/>
            <w:vAlign w:val="center"/>
          </w:tcPr>
          <w:p w14:paraId="7FB91B14"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可以直接改判</w:t>
            </w:r>
          </w:p>
        </w:tc>
      </w:tr>
      <w:tr w:rsidR="0080760E" w:rsidRPr="003C6714" w14:paraId="50109327" w14:textId="77777777" w:rsidTr="00634E1B">
        <w:trPr>
          <w:jc w:val="center"/>
        </w:trPr>
        <w:tc>
          <w:tcPr>
            <w:tcW w:w="2440" w:type="dxa"/>
            <w:vMerge/>
            <w:vAlign w:val="center"/>
          </w:tcPr>
          <w:p w14:paraId="65D705B9" w14:textId="77777777" w:rsidR="0080760E" w:rsidRPr="003C6714" w:rsidRDefault="0080760E" w:rsidP="006312DC">
            <w:pPr>
              <w:spacing w:line="240" w:lineRule="exact"/>
              <w:rPr>
                <w:rFonts w:ascii="宋体" w:hAnsi="宋体" w:cs="等线" w:hint="eastAsia"/>
                <w:color w:val="FF0000"/>
                <w:sz w:val="21"/>
                <w:szCs w:val="21"/>
              </w:rPr>
            </w:pPr>
          </w:p>
        </w:tc>
        <w:tc>
          <w:tcPr>
            <w:tcW w:w="1857" w:type="dxa"/>
            <w:vMerge/>
            <w:vAlign w:val="center"/>
          </w:tcPr>
          <w:p w14:paraId="05036540" w14:textId="77777777" w:rsidR="0080760E" w:rsidRPr="003C6714" w:rsidRDefault="0080760E" w:rsidP="006312DC">
            <w:pPr>
              <w:spacing w:line="240" w:lineRule="exact"/>
              <w:rPr>
                <w:rFonts w:ascii="宋体" w:hAnsi="宋体" w:cs="等线" w:hint="eastAsia"/>
                <w:color w:val="FF0000"/>
                <w:sz w:val="21"/>
                <w:szCs w:val="21"/>
              </w:rPr>
            </w:pPr>
          </w:p>
        </w:tc>
        <w:tc>
          <w:tcPr>
            <w:tcW w:w="3064" w:type="dxa"/>
            <w:vAlign w:val="center"/>
          </w:tcPr>
          <w:p w14:paraId="6E4FEFF6"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必须通过开庭查清事实、核实证据或纠正原审程序违法的</w:t>
            </w:r>
          </w:p>
        </w:tc>
        <w:tc>
          <w:tcPr>
            <w:tcW w:w="1144" w:type="dxa"/>
            <w:vAlign w:val="center"/>
          </w:tcPr>
          <w:p w14:paraId="0BB5948D"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应当开庭审理</w:t>
            </w:r>
          </w:p>
        </w:tc>
      </w:tr>
      <w:tr w:rsidR="0080760E" w:rsidRPr="003C6714" w14:paraId="78B2BCAD" w14:textId="77777777" w:rsidTr="00634E1B">
        <w:trPr>
          <w:jc w:val="center"/>
        </w:trPr>
        <w:tc>
          <w:tcPr>
            <w:tcW w:w="2440" w:type="dxa"/>
            <w:vMerge w:val="restart"/>
            <w:vAlign w:val="center"/>
          </w:tcPr>
          <w:p w14:paraId="26EA2645"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第二类：高级法院复核后报最高法院核准死刑，即中院一审、高院复核</w:t>
            </w:r>
          </w:p>
        </w:tc>
        <w:tc>
          <w:tcPr>
            <w:tcW w:w="1857" w:type="dxa"/>
            <w:vMerge w:val="restart"/>
            <w:vAlign w:val="center"/>
          </w:tcPr>
          <w:p w14:paraId="7FCAFC81"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发回高级法院重审</w:t>
            </w:r>
          </w:p>
        </w:tc>
        <w:tc>
          <w:tcPr>
            <w:tcW w:w="4208" w:type="dxa"/>
            <w:gridSpan w:val="2"/>
            <w:vAlign w:val="center"/>
          </w:tcPr>
          <w:p w14:paraId="2945E018"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可以依照第二审程序提审</w:t>
            </w:r>
          </w:p>
        </w:tc>
      </w:tr>
      <w:tr w:rsidR="0080760E" w:rsidRPr="003C6714" w14:paraId="6B83CA59" w14:textId="77777777" w:rsidTr="00634E1B">
        <w:trPr>
          <w:jc w:val="center"/>
        </w:trPr>
        <w:tc>
          <w:tcPr>
            <w:tcW w:w="2440" w:type="dxa"/>
            <w:vMerge/>
            <w:vAlign w:val="center"/>
          </w:tcPr>
          <w:p w14:paraId="7BFD2F62" w14:textId="77777777" w:rsidR="0080760E" w:rsidRPr="003C6714" w:rsidRDefault="0080760E" w:rsidP="006312DC">
            <w:pPr>
              <w:spacing w:line="240" w:lineRule="exact"/>
              <w:rPr>
                <w:rFonts w:ascii="宋体" w:hAnsi="宋体" w:cs="等线" w:hint="eastAsia"/>
                <w:color w:val="FF0000"/>
                <w:sz w:val="21"/>
                <w:szCs w:val="21"/>
              </w:rPr>
            </w:pPr>
          </w:p>
        </w:tc>
        <w:tc>
          <w:tcPr>
            <w:tcW w:w="1857" w:type="dxa"/>
            <w:vMerge/>
            <w:vAlign w:val="center"/>
          </w:tcPr>
          <w:p w14:paraId="3B0FAA3A" w14:textId="77777777" w:rsidR="0080760E" w:rsidRPr="003C6714" w:rsidRDefault="0080760E" w:rsidP="006312DC">
            <w:pPr>
              <w:spacing w:line="240" w:lineRule="exact"/>
              <w:rPr>
                <w:rFonts w:ascii="宋体" w:hAnsi="宋体" w:cs="等线" w:hint="eastAsia"/>
                <w:color w:val="FF0000"/>
                <w:sz w:val="21"/>
                <w:szCs w:val="21"/>
              </w:rPr>
            </w:pPr>
          </w:p>
        </w:tc>
        <w:tc>
          <w:tcPr>
            <w:tcW w:w="4208" w:type="dxa"/>
            <w:gridSpan w:val="2"/>
            <w:vAlign w:val="center"/>
          </w:tcPr>
          <w:p w14:paraId="63025500" w14:textId="77777777" w:rsidR="0080760E" w:rsidRPr="003C6714" w:rsidRDefault="0080760E" w:rsidP="006312DC">
            <w:pPr>
              <w:spacing w:line="240" w:lineRule="exact"/>
              <w:rPr>
                <w:rFonts w:ascii="宋体" w:hAnsi="宋体" w:cs="等线" w:hint="eastAsia"/>
                <w:color w:val="FF0000"/>
                <w:sz w:val="21"/>
                <w:szCs w:val="21"/>
              </w:rPr>
            </w:pPr>
            <w:r w:rsidRPr="003C6714">
              <w:rPr>
                <w:rFonts w:ascii="宋体" w:hAnsi="宋体" w:cs="等线" w:hint="eastAsia"/>
                <w:color w:val="FF0000"/>
                <w:sz w:val="21"/>
                <w:szCs w:val="21"/>
              </w:rPr>
              <w:t>可以发回重新审判</w:t>
            </w:r>
          </w:p>
        </w:tc>
      </w:tr>
    </w:tbl>
    <w:p w14:paraId="39F6A102" w14:textId="77777777" w:rsidR="0080760E" w:rsidRPr="003C6714" w:rsidRDefault="0080760E"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2．最高人民法院裁定不予核准死刑，发回重新审判的案件，</w:t>
      </w:r>
      <w:r w:rsidRPr="003C6714">
        <w:rPr>
          <w:rFonts w:ascii="宋体" w:eastAsia="宋体" w:hAnsi="宋体" w:cs="等线"/>
          <w:szCs w:val="21"/>
        </w:rPr>
        <w:t>原审人民法院应当另行组成合议庭审理，但复核期间出现新的影响定罪量刑的事实</w:t>
      </w:r>
      <w:r w:rsidRPr="003C6714">
        <w:rPr>
          <w:rFonts w:ascii="宋体" w:eastAsia="宋体" w:hAnsi="宋体" w:cs="等线" w:hint="eastAsia"/>
          <w:szCs w:val="21"/>
        </w:rPr>
        <w:t>、</w:t>
      </w:r>
      <w:r w:rsidRPr="003C6714">
        <w:rPr>
          <w:rFonts w:ascii="宋体" w:eastAsia="宋体" w:hAnsi="宋体" w:cs="等线"/>
          <w:szCs w:val="21"/>
        </w:rPr>
        <w:t>证据或者原判认定事实正确</w:t>
      </w:r>
      <w:r w:rsidRPr="003C6714">
        <w:rPr>
          <w:rFonts w:ascii="宋体" w:eastAsia="宋体" w:hAnsi="宋体" w:cs="等线" w:hint="eastAsia"/>
          <w:szCs w:val="21"/>
        </w:rPr>
        <w:t>，</w:t>
      </w:r>
      <w:r w:rsidRPr="003C6714">
        <w:rPr>
          <w:rFonts w:ascii="宋体" w:eastAsia="宋体" w:hAnsi="宋体" w:cs="等线"/>
          <w:szCs w:val="21"/>
        </w:rPr>
        <w:t>但依法不应当判处死刑的</w:t>
      </w:r>
      <w:r w:rsidRPr="003C6714">
        <w:rPr>
          <w:rFonts w:ascii="宋体" w:eastAsia="宋体" w:hAnsi="宋体" w:cs="等线" w:hint="eastAsia"/>
          <w:szCs w:val="21"/>
        </w:rPr>
        <w:t>案件（即《法院解释》第四百二十九条第四项、第五项规定）</w:t>
      </w:r>
      <w:r w:rsidRPr="003C6714">
        <w:rPr>
          <w:rFonts w:ascii="宋体" w:eastAsia="宋体" w:hAnsi="宋体" w:cs="等线"/>
          <w:color w:val="FF0000"/>
          <w:szCs w:val="21"/>
        </w:rPr>
        <w:t>除外</w:t>
      </w:r>
      <w:r w:rsidRPr="003C6714">
        <w:rPr>
          <w:rFonts w:ascii="宋体" w:eastAsia="宋体" w:hAnsi="宋体" w:cs="等线" w:hint="eastAsia"/>
          <w:szCs w:val="21"/>
        </w:rPr>
        <w:t>。</w:t>
      </w:r>
    </w:p>
    <w:tbl>
      <w:tblPr>
        <w:tblStyle w:val="32"/>
        <w:tblW w:w="850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684"/>
        <w:gridCol w:w="4302"/>
        <w:gridCol w:w="2519"/>
      </w:tblGrid>
      <w:tr w:rsidR="0080760E" w:rsidRPr="003C6714" w14:paraId="46A43BE2" w14:textId="77777777" w:rsidTr="00634E1B">
        <w:trPr>
          <w:jc w:val="center"/>
        </w:trPr>
        <w:tc>
          <w:tcPr>
            <w:tcW w:w="1684" w:type="dxa"/>
            <w:vAlign w:val="center"/>
          </w:tcPr>
          <w:p w14:paraId="458B9A20" w14:textId="77777777" w:rsidR="0080760E" w:rsidRPr="003C6714" w:rsidRDefault="0080760E" w:rsidP="006312DC">
            <w:pPr>
              <w:spacing w:line="240" w:lineRule="exact"/>
              <w:rPr>
                <w:rFonts w:ascii="宋体" w:hAnsi="宋体" w:cs="等线" w:hint="eastAsia"/>
                <w:sz w:val="21"/>
                <w:szCs w:val="21"/>
              </w:rPr>
            </w:pPr>
          </w:p>
        </w:tc>
        <w:tc>
          <w:tcPr>
            <w:tcW w:w="4302" w:type="dxa"/>
            <w:vAlign w:val="center"/>
          </w:tcPr>
          <w:p w14:paraId="17A493A5" w14:textId="77777777" w:rsidR="0080760E" w:rsidRPr="003C6714" w:rsidRDefault="0080760E" w:rsidP="006312DC">
            <w:pPr>
              <w:spacing w:line="240" w:lineRule="exact"/>
              <w:jc w:val="center"/>
              <w:rPr>
                <w:rFonts w:ascii="宋体" w:hAnsi="宋体" w:cs="等线" w:hint="eastAsia"/>
                <w:bCs/>
                <w:sz w:val="21"/>
                <w:szCs w:val="21"/>
              </w:rPr>
            </w:pPr>
            <w:r w:rsidRPr="003C6714">
              <w:rPr>
                <w:rFonts w:ascii="宋体" w:hAnsi="宋体" w:cs="等线" w:hint="eastAsia"/>
                <w:bCs/>
                <w:sz w:val="21"/>
                <w:szCs w:val="21"/>
              </w:rPr>
              <w:t>理由</w:t>
            </w:r>
          </w:p>
        </w:tc>
        <w:tc>
          <w:tcPr>
            <w:tcW w:w="2519" w:type="dxa"/>
            <w:vAlign w:val="center"/>
          </w:tcPr>
          <w:p w14:paraId="1FC0E880" w14:textId="77777777" w:rsidR="0080760E" w:rsidRPr="003C6714" w:rsidRDefault="0080760E" w:rsidP="006312DC">
            <w:pPr>
              <w:spacing w:line="240" w:lineRule="exact"/>
              <w:jc w:val="center"/>
              <w:rPr>
                <w:rFonts w:ascii="宋体" w:hAnsi="宋体" w:cs="等线" w:hint="eastAsia"/>
                <w:bCs/>
                <w:sz w:val="21"/>
                <w:szCs w:val="21"/>
              </w:rPr>
            </w:pPr>
            <w:r w:rsidRPr="003C6714">
              <w:rPr>
                <w:rFonts w:ascii="宋体" w:hAnsi="宋体" w:cs="等线" w:hint="eastAsia"/>
                <w:bCs/>
                <w:sz w:val="21"/>
                <w:szCs w:val="21"/>
              </w:rPr>
              <w:t>是否需要另组合议庭</w:t>
            </w:r>
          </w:p>
        </w:tc>
      </w:tr>
      <w:tr w:rsidR="0080760E" w:rsidRPr="003C6714" w14:paraId="35A73AFE" w14:textId="77777777" w:rsidTr="00634E1B">
        <w:trPr>
          <w:jc w:val="center"/>
        </w:trPr>
        <w:tc>
          <w:tcPr>
            <w:tcW w:w="1684" w:type="dxa"/>
            <w:vMerge w:val="restart"/>
            <w:vAlign w:val="center"/>
          </w:tcPr>
          <w:p w14:paraId="259A2E96" w14:textId="77777777" w:rsidR="0080760E" w:rsidRPr="003C6714" w:rsidRDefault="0080760E" w:rsidP="006312DC">
            <w:pPr>
              <w:spacing w:line="240" w:lineRule="exact"/>
              <w:rPr>
                <w:rFonts w:ascii="宋体" w:hAnsi="宋体" w:cs="等线" w:hint="eastAsia"/>
                <w:b/>
                <w:sz w:val="21"/>
                <w:szCs w:val="21"/>
              </w:rPr>
            </w:pPr>
            <w:r w:rsidRPr="00957C96">
              <w:rPr>
                <w:rFonts w:ascii="宋体" w:hAnsi="宋体" w:cs="等线" w:hint="eastAsia"/>
                <w:bCs/>
                <w:color w:val="FF0000"/>
                <w:sz w:val="21"/>
                <w:szCs w:val="21"/>
              </w:rPr>
              <w:t>不予核准死刑，发回重新审判</w:t>
            </w:r>
          </w:p>
        </w:tc>
        <w:tc>
          <w:tcPr>
            <w:tcW w:w="4302" w:type="dxa"/>
            <w:vAlign w:val="center"/>
          </w:tcPr>
          <w:p w14:paraId="26F9F009" w14:textId="77777777" w:rsidR="0080760E" w:rsidRPr="003C6714" w:rsidRDefault="0080760E" w:rsidP="006312DC">
            <w:pPr>
              <w:spacing w:line="240" w:lineRule="exact"/>
              <w:rPr>
                <w:rFonts w:ascii="宋体" w:hAnsi="宋体" w:cs="等线" w:hint="eastAsia"/>
                <w:sz w:val="21"/>
                <w:szCs w:val="21"/>
              </w:rPr>
            </w:pPr>
            <w:r w:rsidRPr="003C6714">
              <w:rPr>
                <w:rFonts w:ascii="宋体" w:hAnsi="宋体" w:cs="等线" w:hint="eastAsia"/>
                <w:sz w:val="21"/>
                <w:szCs w:val="21"/>
              </w:rPr>
              <w:t>事实不清、证据不足的</w:t>
            </w:r>
          </w:p>
        </w:tc>
        <w:tc>
          <w:tcPr>
            <w:tcW w:w="2519" w:type="dxa"/>
            <w:vMerge w:val="restart"/>
            <w:vAlign w:val="center"/>
          </w:tcPr>
          <w:p w14:paraId="5D7A3DF1" w14:textId="77777777" w:rsidR="0080760E" w:rsidRPr="00957C96" w:rsidRDefault="0080760E" w:rsidP="006312DC">
            <w:pPr>
              <w:spacing w:line="240" w:lineRule="exact"/>
              <w:rPr>
                <w:rFonts w:ascii="宋体" w:hAnsi="宋体" w:cs="等线" w:hint="eastAsia"/>
                <w:color w:val="FF0000"/>
                <w:sz w:val="21"/>
                <w:szCs w:val="21"/>
              </w:rPr>
            </w:pPr>
            <w:r w:rsidRPr="00957C96">
              <w:rPr>
                <w:rFonts w:ascii="宋体" w:hAnsi="宋体" w:cs="等线" w:hint="eastAsia"/>
                <w:color w:val="FF0000"/>
                <w:sz w:val="21"/>
                <w:szCs w:val="21"/>
              </w:rPr>
              <w:t>另行组成合议庭</w:t>
            </w:r>
          </w:p>
        </w:tc>
      </w:tr>
      <w:tr w:rsidR="0080760E" w:rsidRPr="003C6714" w14:paraId="7B58A454" w14:textId="77777777" w:rsidTr="00634E1B">
        <w:trPr>
          <w:jc w:val="center"/>
        </w:trPr>
        <w:tc>
          <w:tcPr>
            <w:tcW w:w="1684" w:type="dxa"/>
            <w:vMerge/>
            <w:vAlign w:val="center"/>
          </w:tcPr>
          <w:p w14:paraId="6B8EE016" w14:textId="77777777" w:rsidR="0080760E" w:rsidRPr="003C6714" w:rsidRDefault="0080760E" w:rsidP="006312DC">
            <w:pPr>
              <w:spacing w:line="240" w:lineRule="exact"/>
              <w:rPr>
                <w:rFonts w:ascii="宋体" w:hAnsi="宋体" w:cs="等线" w:hint="eastAsia"/>
                <w:sz w:val="21"/>
                <w:szCs w:val="21"/>
              </w:rPr>
            </w:pPr>
          </w:p>
        </w:tc>
        <w:tc>
          <w:tcPr>
            <w:tcW w:w="4302" w:type="dxa"/>
            <w:vAlign w:val="center"/>
          </w:tcPr>
          <w:p w14:paraId="6337A693" w14:textId="77777777" w:rsidR="0080760E" w:rsidRPr="003C6714" w:rsidRDefault="0080760E" w:rsidP="006312DC">
            <w:pPr>
              <w:spacing w:line="240" w:lineRule="exact"/>
              <w:rPr>
                <w:rFonts w:ascii="宋体" w:hAnsi="宋体" w:cs="等线" w:hint="eastAsia"/>
                <w:sz w:val="21"/>
                <w:szCs w:val="21"/>
              </w:rPr>
            </w:pPr>
            <w:r w:rsidRPr="003C6714">
              <w:rPr>
                <w:rFonts w:ascii="宋体" w:hAnsi="宋体" w:cs="等线" w:hint="eastAsia"/>
                <w:sz w:val="21"/>
                <w:szCs w:val="21"/>
              </w:rPr>
              <w:t>原审违反法定诉讼程序，可能影响公正审判</w:t>
            </w:r>
          </w:p>
        </w:tc>
        <w:tc>
          <w:tcPr>
            <w:tcW w:w="2519" w:type="dxa"/>
            <w:vMerge/>
            <w:vAlign w:val="center"/>
          </w:tcPr>
          <w:p w14:paraId="68FE3588" w14:textId="77777777" w:rsidR="0080760E" w:rsidRPr="00957C96" w:rsidRDefault="0080760E" w:rsidP="006312DC">
            <w:pPr>
              <w:spacing w:line="240" w:lineRule="exact"/>
              <w:rPr>
                <w:rFonts w:ascii="宋体" w:hAnsi="宋体" w:cs="等线" w:hint="eastAsia"/>
                <w:color w:val="FF0000"/>
                <w:sz w:val="21"/>
                <w:szCs w:val="21"/>
              </w:rPr>
            </w:pPr>
          </w:p>
        </w:tc>
      </w:tr>
      <w:tr w:rsidR="0080760E" w:rsidRPr="003C6714" w14:paraId="4557976F" w14:textId="77777777" w:rsidTr="00634E1B">
        <w:trPr>
          <w:jc w:val="center"/>
        </w:trPr>
        <w:tc>
          <w:tcPr>
            <w:tcW w:w="1684" w:type="dxa"/>
            <w:vMerge/>
            <w:vAlign w:val="center"/>
          </w:tcPr>
          <w:p w14:paraId="12A5295F" w14:textId="77777777" w:rsidR="0080760E" w:rsidRPr="003C6714" w:rsidRDefault="0080760E" w:rsidP="006312DC">
            <w:pPr>
              <w:spacing w:line="240" w:lineRule="exact"/>
              <w:rPr>
                <w:rFonts w:ascii="宋体" w:hAnsi="宋体" w:cs="等线" w:hint="eastAsia"/>
                <w:sz w:val="21"/>
                <w:szCs w:val="21"/>
              </w:rPr>
            </w:pPr>
          </w:p>
        </w:tc>
        <w:tc>
          <w:tcPr>
            <w:tcW w:w="4302" w:type="dxa"/>
            <w:vAlign w:val="center"/>
          </w:tcPr>
          <w:p w14:paraId="6530E8EB" w14:textId="77777777" w:rsidR="0080760E" w:rsidRPr="003C6714" w:rsidRDefault="0080760E" w:rsidP="006312DC">
            <w:pPr>
              <w:spacing w:line="240" w:lineRule="exact"/>
              <w:rPr>
                <w:rFonts w:ascii="宋体" w:hAnsi="宋体" w:cs="等线" w:hint="eastAsia"/>
                <w:sz w:val="21"/>
                <w:szCs w:val="21"/>
              </w:rPr>
            </w:pPr>
            <w:r w:rsidRPr="003C6714">
              <w:rPr>
                <w:rFonts w:ascii="宋体" w:hAnsi="宋体" w:cs="等线" w:hint="eastAsia"/>
                <w:sz w:val="21"/>
                <w:szCs w:val="21"/>
              </w:rPr>
              <w:t>复核期间出现新的影响定罪量刑的事实、证据</w:t>
            </w:r>
          </w:p>
        </w:tc>
        <w:tc>
          <w:tcPr>
            <w:tcW w:w="2519" w:type="dxa"/>
            <w:vMerge w:val="restart"/>
            <w:vAlign w:val="center"/>
          </w:tcPr>
          <w:p w14:paraId="20645D2F" w14:textId="77777777" w:rsidR="0080760E" w:rsidRPr="00957C96" w:rsidRDefault="0080760E" w:rsidP="006312DC">
            <w:pPr>
              <w:spacing w:line="240" w:lineRule="exact"/>
              <w:rPr>
                <w:rFonts w:ascii="宋体" w:hAnsi="宋体" w:cs="等线" w:hint="eastAsia"/>
                <w:color w:val="FF0000"/>
                <w:sz w:val="21"/>
                <w:szCs w:val="21"/>
              </w:rPr>
            </w:pPr>
            <w:r w:rsidRPr="00957C96">
              <w:rPr>
                <w:rFonts w:ascii="宋体" w:hAnsi="宋体" w:cs="等线" w:hint="eastAsia"/>
                <w:color w:val="FF0000"/>
                <w:sz w:val="21"/>
                <w:szCs w:val="21"/>
              </w:rPr>
              <w:t>不需要另行组成合议庭</w:t>
            </w:r>
          </w:p>
        </w:tc>
      </w:tr>
      <w:tr w:rsidR="0080760E" w:rsidRPr="003C6714" w14:paraId="61A60E09" w14:textId="77777777" w:rsidTr="00634E1B">
        <w:trPr>
          <w:jc w:val="center"/>
        </w:trPr>
        <w:tc>
          <w:tcPr>
            <w:tcW w:w="1684" w:type="dxa"/>
            <w:vMerge/>
            <w:vAlign w:val="center"/>
          </w:tcPr>
          <w:p w14:paraId="4C59627A" w14:textId="77777777" w:rsidR="0080760E" w:rsidRPr="003C6714" w:rsidRDefault="0080760E" w:rsidP="006312DC">
            <w:pPr>
              <w:spacing w:line="240" w:lineRule="exact"/>
              <w:rPr>
                <w:rFonts w:ascii="宋体" w:hAnsi="宋体" w:cs="等线" w:hint="eastAsia"/>
                <w:sz w:val="21"/>
                <w:szCs w:val="21"/>
              </w:rPr>
            </w:pPr>
          </w:p>
        </w:tc>
        <w:tc>
          <w:tcPr>
            <w:tcW w:w="4302" w:type="dxa"/>
            <w:vAlign w:val="center"/>
          </w:tcPr>
          <w:p w14:paraId="1C23C467" w14:textId="77777777" w:rsidR="0080760E" w:rsidRPr="003C6714" w:rsidRDefault="0080760E" w:rsidP="006312DC">
            <w:pPr>
              <w:spacing w:line="240" w:lineRule="exact"/>
              <w:rPr>
                <w:rFonts w:ascii="宋体" w:hAnsi="宋体" w:cs="等线" w:hint="eastAsia"/>
                <w:sz w:val="21"/>
                <w:szCs w:val="21"/>
              </w:rPr>
            </w:pPr>
            <w:r w:rsidRPr="003C6714">
              <w:rPr>
                <w:rFonts w:ascii="宋体" w:hAnsi="宋体" w:cs="等线" w:hint="eastAsia"/>
                <w:sz w:val="21"/>
                <w:szCs w:val="21"/>
              </w:rPr>
              <w:t>原判认定事实正确，但依法不应当判处死刑</w:t>
            </w:r>
          </w:p>
        </w:tc>
        <w:tc>
          <w:tcPr>
            <w:tcW w:w="2519" w:type="dxa"/>
            <w:vMerge/>
            <w:vAlign w:val="center"/>
          </w:tcPr>
          <w:p w14:paraId="23327458" w14:textId="77777777" w:rsidR="0080760E" w:rsidRPr="003C6714" w:rsidRDefault="0080760E" w:rsidP="006312DC">
            <w:pPr>
              <w:spacing w:line="240" w:lineRule="exact"/>
              <w:rPr>
                <w:rFonts w:ascii="宋体" w:hAnsi="宋体" w:cs="等线" w:hint="eastAsia"/>
                <w:sz w:val="21"/>
                <w:szCs w:val="21"/>
              </w:rPr>
            </w:pPr>
          </w:p>
        </w:tc>
      </w:tr>
    </w:tbl>
    <w:p w14:paraId="3A7566B5" w14:textId="77777777" w:rsidR="0080760E" w:rsidRPr="003C6714" w:rsidRDefault="0080760E" w:rsidP="006312DC">
      <w:pPr>
        <w:spacing w:line="240" w:lineRule="exact"/>
        <w:ind w:firstLineChars="200" w:firstLine="408"/>
        <w:rPr>
          <w:rFonts w:ascii="宋体" w:eastAsia="宋体" w:hAnsi="宋体" w:cs="等线" w:hint="eastAsia"/>
          <w:color w:val="FF0000"/>
          <w:spacing w:val="-3"/>
          <w:szCs w:val="21"/>
        </w:rPr>
      </w:pPr>
      <w:bookmarkStart w:id="33" w:name="_Toc510879146"/>
      <w:r w:rsidRPr="003C6714">
        <w:rPr>
          <w:rFonts w:ascii="宋体" w:eastAsia="宋体" w:hAnsi="宋体" w:cs="等线" w:hint="eastAsia"/>
          <w:spacing w:val="-3"/>
          <w:szCs w:val="21"/>
        </w:rPr>
        <w:t>3．2021年《法院解释》第433条</w:t>
      </w:r>
      <w:r w:rsidRPr="003C6714">
        <w:rPr>
          <w:rFonts w:ascii="宋体" w:eastAsia="宋体" w:hAnsi="宋体" w:cs="等线" w:hint="eastAsia"/>
          <w:color w:val="FF0000"/>
          <w:spacing w:val="-3"/>
          <w:szCs w:val="21"/>
        </w:rPr>
        <w:t>（新增）</w:t>
      </w:r>
      <w:r w:rsidRPr="003C6714">
        <w:rPr>
          <w:rFonts w:ascii="宋体" w:eastAsia="宋体" w:hAnsi="宋体" w:cs="等线" w:hint="eastAsia"/>
          <w:spacing w:val="-3"/>
          <w:szCs w:val="21"/>
        </w:rPr>
        <w:t>：依照本解释第四百三十条、第四百三十一条发回重新审判的案件（即最高院裁定不予核准，撤销原判发回重审，分两类），第一审人民法院判处死刑、死刑缓期执行的，</w:t>
      </w:r>
      <w:r w:rsidRPr="003C6714">
        <w:rPr>
          <w:rFonts w:ascii="宋体" w:eastAsia="宋体" w:hAnsi="宋体" w:cs="等线" w:hint="eastAsia"/>
          <w:color w:val="FF0000"/>
          <w:spacing w:val="-3"/>
          <w:szCs w:val="21"/>
        </w:rPr>
        <w:t>上一级人民法院依照第二审程序或者复核程序审理后，应当依法作出判决或者裁定，不得再发回重新审判。</w:t>
      </w:r>
      <w:r w:rsidRPr="003C6714">
        <w:rPr>
          <w:rFonts w:ascii="宋体" w:eastAsia="宋体" w:hAnsi="宋体" w:cs="等线" w:hint="eastAsia"/>
          <w:spacing w:val="-3"/>
          <w:szCs w:val="21"/>
        </w:rPr>
        <w:t>但是，第一审人民法院有刑事诉讼法第二百三十八条规定的情形或者违反刑事诉讼法第二百三十九条规定的除外。——</w:t>
      </w:r>
      <w:r w:rsidRPr="003C6714">
        <w:rPr>
          <w:rFonts w:ascii="宋体" w:eastAsia="宋体" w:hAnsi="宋体" w:cs="等线" w:hint="eastAsia"/>
          <w:color w:val="FF0000"/>
          <w:spacing w:val="-3"/>
          <w:szCs w:val="21"/>
        </w:rPr>
        <w:t>死刑复核不予核准发回重审的案件，再次进入二审或者复核程序的，不得再发回，除非是发回重审的案件存在重大程序违法。</w:t>
      </w:r>
      <w:bookmarkStart w:id="34" w:name="_Toc128736551"/>
      <w:bookmarkStart w:id="35" w:name="_Toc66105536"/>
    </w:p>
    <w:p w14:paraId="44F1F5C3" w14:textId="77777777" w:rsidR="0080760E" w:rsidRPr="003C6714" w:rsidRDefault="0080760E" w:rsidP="006312DC">
      <w:pPr>
        <w:spacing w:line="240" w:lineRule="exact"/>
        <w:ind w:firstLineChars="200" w:firstLine="420"/>
        <w:rPr>
          <w:rFonts w:ascii="宋体" w:eastAsia="宋体" w:hAnsi="宋体" w:cs="等线" w:hint="eastAsia"/>
          <w:color w:val="FF0000"/>
          <w:spacing w:val="-3"/>
          <w:szCs w:val="21"/>
        </w:rPr>
      </w:pPr>
      <w:r w:rsidRPr="003C6714">
        <w:rPr>
          <w:rFonts w:ascii="宋体" w:eastAsia="宋体" w:hAnsi="宋体" w:hint="eastAsia"/>
          <w:szCs w:val="21"/>
        </w:rPr>
        <w:t>三、死刑缓期二年执行案件复核后的处理</w:t>
      </w:r>
      <w:bookmarkEnd w:id="33"/>
      <w:bookmarkEnd w:id="34"/>
      <w:bookmarkEnd w:id="35"/>
    </w:p>
    <w:p w14:paraId="116E02AC" w14:textId="77777777" w:rsidR="0080760E" w:rsidRPr="003C6714" w:rsidRDefault="0080760E" w:rsidP="006312DC">
      <w:pPr>
        <w:spacing w:line="240" w:lineRule="exact"/>
        <w:ind w:firstLine="420"/>
        <w:rPr>
          <w:rFonts w:ascii="宋体" w:eastAsia="宋体" w:hAnsi="宋体" w:hint="eastAsia"/>
          <w:color w:val="FF0000"/>
          <w:szCs w:val="21"/>
        </w:rPr>
      </w:pPr>
      <w:r w:rsidRPr="003C6714">
        <w:rPr>
          <w:rFonts w:ascii="宋体" w:eastAsia="宋体" w:hAnsi="宋体" w:hint="eastAsia"/>
          <w:color w:val="FF0000"/>
          <w:szCs w:val="21"/>
        </w:rPr>
        <w:t>复核死刑缓期执行案件，不得加重被告人的刑罚。</w:t>
      </w:r>
    </w:p>
    <w:p w14:paraId="47546BED" w14:textId="5FDA093B" w:rsidR="00E63455" w:rsidRPr="003C6714" w:rsidRDefault="00E63455" w:rsidP="006312DC">
      <w:pPr>
        <w:pStyle w:val="1"/>
        <w:tabs>
          <w:tab w:val="left" w:pos="420"/>
        </w:tabs>
        <w:spacing w:before="10" w:after="0" w:line="240" w:lineRule="exact"/>
        <w:jc w:val="center"/>
        <w:rPr>
          <w:rFonts w:ascii="宋体" w:hAnsi="宋体" w:cs="宋体" w:hint="eastAsia"/>
          <w:bCs w:val="0"/>
          <w:sz w:val="21"/>
          <w:szCs w:val="21"/>
        </w:rPr>
      </w:pPr>
      <w:r w:rsidRPr="003C6714">
        <w:rPr>
          <w:rFonts w:ascii="宋体" w:hAnsi="宋体" w:cs="宋体" w:hint="eastAsia"/>
          <w:bCs w:val="0"/>
          <w:sz w:val="21"/>
          <w:szCs w:val="21"/>
        </w:rPr>
        <w:t>考点</w:t>
      </w:r>
      <w:r w:rsidRPr="003C6714">
        <w:rPr>
          <w:rFonts w:ascii="宋体" w:hAnsi="宋体" w:cs="宋体"/>
          <w:bCs w:val="0"/>
          <w:sz w:val="21"/>
          <w:szCs w:val="21"/>
        </w:rPr>
        <w:t xml:space="preserve">31  </w:t>
      </w:r>
      <w:r w:rsidRPr="003C6714">
        <w:rPr>
          <w:rFonts w:ascii="宋体" w:hAnsi="宋体" w:cs="宋体" w:hint="eastAsia"/>
          <w:bCs w:val="0"/>
          <w:sz w:val="21"/>
          <w:szCs w:val="21"/>
        </w:rPr>
        <w:t>提起审判监督程序的材料</w:t>
      </w:r>
      <w:bookmarkStart w:id="36" w:name="_Toc131149744"/>
      <w:bookmarkStart w:id="37" w:name="_Toc132408738"/>
      <w:bookmarkEnd w:id="7"/>
      <w:r w:rsidRPr="003C6714">
        <w:rPr>
          <w:rFonts w:ascii="宋体" w:hAnsi="宋体" w:cs="宋体" w:hint="eastAsia"/>
          <w:bCs w:val="0"/>
          <w:sz w:val="21"/>
          <w:szCs w:val="21"/>
        </w:rPr>
        <w:t>来源和理由</w:t>
      </w:r>
      <w:bookmarkEnd w:id="36"/>
      <w:bookmarkEnd w:id="37"/>
      <w:r w:rsidR="006B371F" w:rsidRPr="003C6714">
        <w:rPr>
          <w:rFonts w:ascii="宋体" w:hAnsi="宋体" w:cs="宋体" w:hint="eastAsia"/>
          <w:bCs w:val="0"/>
          <w:kern w:val="0"/>
          <w:sz w:val="21"/>
          <w:szCs w:val="21"/>
        </w:rPr>
        <w:t>（</w:t>
      </w:r>
      <w:r w:rsidR="00E63089">
        <w:rPr>
          <w:rFonts w:ascii="宋体" w:hAnsi="宋体" w:cs="宋体" w:hint="eastAsia"/>
          <w:bCs w:val="0"/>
          <w:kern w:val="0"/>
          <w:sz w:val="21"/>
          <w:szCs w:val="21"/>
        </w:rPr>
        <w:t>11</w:t>
      </w:r>
      <w:r w:rsidR="006B371F" w:rsidRPr="003C6714">
        <w:rPr>
          <w:rFonts w:ascii="宋体" w:hAnsi="宋体" w:cs="宋体" w:hint="eastAsia"/>
          <w:bCs w:val="0"/>
          <w:kern w:val="0"/>
          <w:sz w:val="21"/>
          <w:szCs w:val="21"/>
        </w:rPr>
        <w:t>:</w:t>
      </w:r>
      <w:r w:rsidR="00E63089">
        <w:rPr>
          <w:rFonts w:ascii="宋体" w:hAnsi="宋体" w:cs="宋体" w:hint="eastAsia"/>
          <w:bCs w:val="0"/>
          <w:kern w:val="0"/>
          <w:sz w:val="21"/>
          <w:szCs w:val="21"/>
        </w:rPr>
        <w:t>27</w:t>
      </w:r>
      <w:r w:rsidR="006B371F" w:rsidRPr="003C6714">
        <w:rPr>
          <w:rFonts w:ascii="宋体" w:hAnsi="宋体" w:cs="宋体" w:hint="eastAsia"/>
          <w:bCs w:val="0"/>
          <w:kern w:val="0"/>
          <w:sz w:val="21"/>
          <w:szCs w:val="21"/>
        </w:rPr>
        <w:t>:00-</w:t>
      </w:r>
      <w:r w:rsidR="007006C1">
        <w:rPr>
          <w:rFonts w:ascii="宋体" w:hAnsi="宋体" w:cs="宋体" w:hint="eastAsia"/>
          <w:bCs w:val="0"/>
          <w:kern w:val="0"/>
          <w:sz w:val="21"/>
          <w:szCs w:val="21"/>
        </w:rPr>
        <w:t>1</w:t>
      </w:r>
      <w:r w:rsidR="006A2F96" w:rsidRPr="003C6714">
        <w:rPr>
          <w:rFonts w:ascii="宋体" w:hAnsi="宋体" w:cs="宋体"/>
          <w:bCs w:val="0"/>
          <w:kern w:val="0"/>
          <w:sz w:val="21"/>
          <w:szCs w:val="21"/>
        </w:rPr>
        <w:t>1</w:t>
      </w:r>
      <w:r w:rsidR="006B371F" w:rsidRPr="003C6714">
        <w:rPr>
          <w:rFonts w:ascii="宋体" w:hAnsi="宋体" w:cs="宋体" w:hint="eastAsia"/>
          <w:bCs w:val="0"/>
          <w:kern w:val="0"/>
          <w:sz w:val="21"/>
          <w:szCs w:val="21"/>
        </w:rPr>
        <w:t>:</w:t>
      </w:r>
      <w:r w:rsidR="007006C1">
        <w:rPr>
          <w:rFonts w:ascii="宋体" w:hAnsi="宋体" w:cs="宋体" w:hint="eastAsia"/>
          <w:bCs w:val="0"/>
          <w:kern w:val="0"/>
          <w:sz w:val="21"/>
          <w:szCs w:val="21"/>
        </w:rPr>
        <w:t>51</w:t>
      </w:r>
      <w:r w:rsidR="006B371F" w:rsidRPr="003C6714">
        <w:rPr>
          <w:rFonts w:ascii="宋体" w:hAnsi="宋体" w:cs="宋体" w:hint="eastAsia"/>
          <w:bCs w:val="0"/>
          <w:kern w:val="0"/>
          <w:sz w:val="21"/>
          <w:szCs w:val="21"/>
        </w:rPr>
        <w:t>:00）</w:t>
      </w:r>
      <w:r w:rsidR="00FC05FF" w:rsidRPr="003C6714">
        <w:rPr>
          <w:rFonts w:ascii="宋体" w:hAnsi="宋体" w:cs="宋体" w:hint="eastAsia"/>
          <w:bCs w:val="0"/>
          <w:color w:val="FF0000"/>
          <w:kern w:val="0"/>
          <w:sz w:val="21"/>
          <w:szCs w:val="21"/>
        </w:rPr>
        <w:t>（重点掌握法院）</w:t>
      </w:r>
    </w:p>
    <w:p w14:paraId="3FD6BCB7" w14:textId="580CD932" w:rsidR="00E63455" w:rsidRPr="003C6714" w:rsidRDefault="00E63455" w:rsidP="006312DC">
      <w:pPr>
        <w:pStyle w:val="3"/>
        <w:spacing w:line="240" w:lineRule="exact"/>
        <w:ind w:firstLineChars="200" w:firstLine="420"/>
        <w:jc w:val="both"/>
        <w:rPr>
          <w:rFonts w:eastAsia="宋体" w:hint="eastAsia"/>
          <w:color w:val="FF0000"/>
          <w:sz w:val="21"/>
        </w:rPr>
      </w:pPr>
      <w:bookmarkStart w:id="38" w:name="_Toc510879149"/>
      <w:bookmarkStart w:id="39" w:name="_Toc128736559"/>
      <w:r w:rsidRPr="003C6714">
        <w:rPr>
          <w:rFonts w:eastAsia="宋体" w:hint="eastAsia"/>
          <w:color w:val="auto"/>
          <w:sz w:val="21"/>
        </w:rPr>
        <w:t>一、有权提出申诉的主体和期限</w:t>
      </w:r>
      <w:bookmarkEnd w:id="38"/>
      <w:bookmarkEnd w:id="39"/>
      <w:r w:rsidR="00D42C13" w:rsidRPr="003C6714">
        <w:rPr>
          <w:rFonts w:eastAsia="宋体" w:hint="eastAsia"/>
          <w:color w:val="FF0000"/>
          <w:sz w:val="21"/>
        </w:rPr>
        <w:t>（申诉不等于再审）</w:t>
      </w:r>
    </w:p>
    <w:p w14:paraId="5F7E65B8" w14:textId="77777777" w:rsidR="00E63455" w:rsidRPr="003C6714" w:rsidRDefault="00E63455" w:rsidP="006312DC">
      <w:pPr>
        <w:pStyle w:val="4"/>
        <w:spacing w:line="240" w:lineRule="exact"/>
        <w:ind w:firstLineChars="200" w:firstLine="420"/>
        <w:jc w:val="both"/>
        <w:rPr>
          <w:rFonts w:ascii="宋体" w:eastAsia="宋体" w:hAnsi="宋体" w:hint="eastAsia"/>
          <w:color w:val="auto"/>
          <w:sz w:val="21"/>
          <w:szCs w:val="21"/>
        </w:rPr>
      </w:pPr>
      <w:bookmarkStart w:id="40" w:name="_Toc128736560"/>
      <w:r w:rsidRPr="003C6714">
        <w:rPr>
          <w:rFonts w:ascii="宋体" w:eastAsia="宋体" w:hAnsi="宋体" w:hint="eastAsia"/>
          <w:color w:val="auto"/>
          <w:sz w:val="21"/>
          <w:szCs w:val="21"/>
        </w:rPr>
        <w:t>（一）有权提出申诉的主体</w:t>
      </w:r>
      <w:bookmarkEnd w:id="40"/>
    </w:p>
    <w:p w14:paraId="0F11257B" w14:textId="7451CB52" w:rsidR="00E63455" w:rsidRPr="003C6714" w:rsidRDefault="00E63455" w:rsidP="006312DC">
      <w:pPr>
        <w:spacing w:line="240" w:lineRule="exact"/>
        <w:ind w:firstLineChars="200" w:firstLine="420"/>
        <w:rPr>
          <w:rFonts w:ascii="宋体" w:eastAsia="宋体" w:hAnsi="宋体" w:cs="等线" w:hint="eastAsia"/>
          <w:color w:val="FF0000"/>
          <w:szCs w:val="21"/>
        </w:rPr>
      </w:pPr>
      <w:r w:rsidRPr="003C6714">
        <w:rPr>
          <w:rFonts w:ascii="宋体" w:eastAsia="宋体" w:hAnsi="宋体" w:cs="等线" w:hint="eastAsia"/>
          <w:color w:val="FF0000"/>
          <w:szCs w:val="21"/>
        </w:rPr>
        <w:t>当事人及其法定代理人、近亲属、认为生效裁判侵害其合法权益的案外人均可提出申诉。</w:t>
      </w:r>
    </w:p>
    <w:p w14:paraId="2A5B12E8" w14:textId="77777777" w:rsidR="00E63455" w:rsidRPr="003C6714" w:rsidRDefault="00E63455" w:rsidP="006312DC">
      <w:pPr>
        <w:pStyle w:val="4"/>
        <w:spacing w:line="240" w:lineRule="exact"/>
        <w:ind w:firstLineChars="200" w:firstLine="420"/>
        <w:jc w:val="both"/>
        <w:rPr>
          <w:rFonts w:ascii="宋体" w:eastAsia="宋体" w:hAnsi="宋体" w:hint="eastAsia"/>
          <w:color w:val="auto"/>
          <w:sz w:val="21"/>
          <w:szCs w:val="21"/>
        </w:rPr>
      </w:pPr>
      <w:bookmarkStart w:id="41" w:name="_Toc128736561"/>
      <w:r w:rsidRPr="003C6714">
        <w:rPr>
          <w:rFonts w:ascii="宋体" w:eastAsia="宋体" w:hAnsi="宋体" w:hint="eastAsia"/>
          <w:color w:val="auto"/>
          <w:sz w:val="21"/>
          <w:szCs w:val="21"/>
        </w:rPr>
        <w:t>（二）有权提出申诉的期限</w:t>
      </w:r>
      <w:bookmarkEnd w:id="41"/>
    </w:p>
    <w:p w14:paraId="4FA22451" w14:textId="77777777" w:rsidR="009415D8" w:rsidRPr="003C6714" w:rsidRDefault="009415D8" w:rsidP="006312DC">
      <w:pPr>
        <w:spacing w:line="240" w:lineRule="exact"/>
        <w:ind w:firstLine="420"/>
        <w:rPr>
          <w:rFonts w:ascii="宋体" w:eastAsia="宋体" w:hAnsi="宋体" w:hint="eastAsia"/>
          <w:szCs w:val="21"/>
        </w:rPr>
      </w:pPr>
      <w:r w:rsidRPr="003C6714">
        <w:rPr>
          <w:rFonts w:ascii="宋体" w:eastAsia="宋体" w:hAnsi="宋体" w:hint="eastAsia"/>
          <w:color w:val="FF0000"/>
          <w:szCs w:val="21"/>
        </w:rPr>
        <w:t>一般刑罚执行完毕后两年内</w:t>
      </w:r>
      <w:r w:rsidRPr="003C6714">
        <w:rPr>
          <w:rFonts w:ascii="宋体" w:eastAsia="宋体" w:hAnsi="宋体" w:hint="eastAsia"/>
          <w:szCs w:val="21"/>
        </w:rPr>
        <w:t>，例外（1）可能对原审被告人宣告无罪的（2）原审被告人在刑罚执行完毕两年内提出申诉，人民法院未受理的（3）属于疑难、复杂、重大案件的</w:t>
      </w:r>
    </w:p>
    <w:p w14:paraId="7E1F68B9" w14:textId="77777777" w:rsidR="00E63455" w:rsidRPr="003C6714" w:rsidRDefault="00E63455" w:rsidP="006312DC">
      <w:pPr>
        <w:pStyle w:val="3"/>
        <w:spacing w:line="240" w:lineRule="exact"/>
        <w:ind w:firstLineChars="200" w:firstLine="420"/>
        <w:jc w:val="both"/>
        <w:rPr>
          <w:rFonts w:eastAsia="宋体" w:hint="eastAsia"/>
          <w:color w:val="auto"/>
          <w:sz w:val="21"/>
        </w:rPr>
      </w:pPr>
      <w:bookmarkStart w:id="42" w:name="_Toc510879150"/>
      <w:bookmarkStart w:id="43" w:name="_Toc128736562"/>
      <w:r w:rsidRPr="003C6714">
        <w:rPr>
          <w:rFonts w:eastAsia="宋体" w:hint="eastAsia"/>
          <w:color w:val="auto"/>
          <w:sz w:val="21"/>
        </w:rPr>
        <w:t>二、申诉的受理</w:t>
      </w:r>
      <w:bookmarkEnd w:id="42"/>
      <w:bookmarkEnd w:id="43"/>
    </w:p>
    <w:p w14:paraId="52896DFF" w14:textId="77777777" w:rsidR="00E63455" w:rsidRPr="003C6714" w:rsidRDefault="00E63455" w:rsidP="006312DC">
      <w:pPr>
        <w:pStyle w:val="4"/>
        <w:spacing w:line="240" w:lineRule="exact"/>
        <w:ind w:firstLineChars="120" w:firstLine="252"/>
        <w:jc w:val="both"/>
        <w:rPr>
          <w:rFonts w:ascii="宋体" w:eastAsia="宋体" w:hAnsi="宋体" w:hint="eastAsia"/>
          <w:color w:val="auto"/>
          <w:sz w:val="21"/>
          <w:szCs w:val="21"/>
        </w:rPr>
      </w:pPr>
      <w:bookmarkStart w:id="44" w:name="_Toc128736563"/>
      <w:r w:rsidRPr="003C6714">
        <w:rPr>
          <w:rFonts w:ascii="宋体" w:eastAsia="宋体" w:hAnsi="宋体" w:hint="eastAsia"/>
          <w:color w:val="auto"/>
          <w:sz w:val="21"/>
          <w:szCs w:val="21"/>
        </w:rPr>
        <w:t>（一）人民法院对申诉案件的受理</w:t>
      </w:r>
      <w:bookmarkEnd w:id="44"/>
    </w:p>
    <w:p w14:paraId="2ABF7E1C" w14:textId="0BA721F2" w:rsidR="004B687B" w:rsidRPr="003C6714" w:rsidRDefault="004B687B"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（终审法院的）上一级法院未经终审法院审查处理一般情况下告知申诉人向终审法院申诉；案件疑难复杂重大可以直接审查处理</w:t>
      </w:r>
    </w:p>
    <w:p w14:paraId="5BDCB0D3" w14:textId="4589AAC2" w:rsidR="00ED4784" w:rsidRPr="003C6714" w:rsidRDefault="00ED4784"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死刑案件的原核准法院可以直接审查处理，也可交原审人民法院审查，但需层报原核准法院处理</w:t>
      </w:r>
    </w:p>
    <w:p w14:paraId="7CE0CF78" w14:textId="77777777" w:rsidR="00E63455" w:rsidRPr="003C6714" w:rsidRDefault="00E63455" w:rsidP="006312DC">
      <w:pPr>
        <w:pStyle w:val="4"/>
        <w:spacing w:line="240" w:lineRule="exact"/>
        <w:ind w:firstLineChars="120" w:firstLine="252"/>
        <w:jc w:val="both"/>
        <w:rPr>
          <w:rFonts w:ascii="宋体" w:eastAsia="宋体" w:hAnsi="宋体" w:hint="eastAsia"/>
          <w:color w:val="auto"/>
          <w:sz w:val="21"/>
          <w:szCs w:val="21"/>
        </w:rPr>
      </w:pPr>
      <w:bookmarkStart w:id="45" w:name="_Toc128736565"/>
      <w:r w:rsidRPr="003C6714">
        <w:rPr>
          <w:rFonts w:ascii="宋体" w:eastAsia="宋体" w:hAnsi="宋体" w:hint="eastAsia"/>
          <w:color w:val="auto"/>
          <w:sz w:val="21"/>
          <w:szCs w:val="21"/>
        </w:rPr>
        <w:t>（二）人民检察院对申诉案件的受理</w:t>
      </w:r>
      <w:bookmarkEnd w:id="45"/>
    </w:p>
    <w:p w14:paraId="7D63D5C5" w14:textId="77777777" w:rsidR="004B687B" w:rsidRPr="003C6714" w:rsidRDefault="004B687B" w:rsidP="006312DC">
      <w:pPr>
        <w:spacing w:line="240" w:lineRule="exact"/>
        <w:ind w:firstLine="420"/>
        <w:rPr>
          <w:rFonts w:ascii="宋体" w:eastAsia="宋体" w:hAnsi="宋体" w:hint="eastAsia"/>
          <w:szCs w:val="21"/>
        </w:rPr>
      </w:pPr>
      <w:r w:rsidRPr="003C6714">
        <w:rPr>
          <w:rFonts w:ascii="宋体" w:eastAsia="宋体" w:hAnsi="宋体" w:hint="eastAsia"/>
          <w:szCs w:val="21"/>
        </w:rPr>
        <w:t>上级检察院在一般情况下交作出生效裁判的法院的同级检察院受理；案件重大疑难复杂可以直接受理</w:t>
      </w:r>
    </w:p>
    <w:p w14:paraId="5F09FDEF" w14:textId="77777777" w:rsidR="00E63455" w:rsidRPr="003C6714" w:rsidRDefault="00E63455" w:rsidP="006312DC">
      <w:pPr>
        <w:pStyle w:val="3"/>
        <w:spacing w:line="240" w:lineRule="exact"/>
        <w:ind w:firstLineChars="200" w:firstLine="420"/>
        <w:jc w:val="both"/>
        <w:rPr>
          <w:rFonts w:eastAsia="宋体" w:hint="eastAsia"/>
          <w:color w:val="auto"/>
          <w:sz w:val="21"/>
        </w:rPr>
      </w:pPr>
      <w:bookmarkStart w:id="46" w:name="_Toc128736566"/>
      <w:bookmarkStart w:id="47" w:name="_Toc510879151"/>
      <w:r w:rsidRPr="003C6714">
        <w:rPr>
          <w:rFonts w:eastAsia="宋体" w:hint="eastAsia"/>
          <w:color w:val="auto"/>
          <w:sz w:val="21"/>
        </w:rPr>
        <w:t>三、对申诉的审查及期限</w:t>
      </w:r>
      <w:bookmarkEnd w:id="46"/>
      <w:bookmarkEnd w:id="47"/>
    </w:p>
    <w:p w14:paraId="785A1F49" w14:textId="77777777" w:rsidR="00E63455" w:rsidRPr="003C6714" w:rsidRDefault="00E63455" w:rsidP="006312DC">
      <w:pPr>
        <w:pStyle w:val="4"/>
        <w:spacing w:line="240" w:lineRule="exact"/>
        <w:ind w:firstLineChars="120" w:firstLine="252"/>
        <w:jc w:val="both"/>
        <w:rPr>
          <w:rFonts w:ascii="宋体" w:eastAsia="宋体" w:hAnsi="宋体" w:hint="eastAsia"/>
          <w:color w:val="auto"/>
          <w:sz w:val="21"/>
          <w:szCs w:val="21"/>
        </w:rPr>
      </w:pPr>
      <w:bookmarkStart w:id="48" w:name="_Toc128736567"/>
      <w:r w:rsidRPr="003C6714">
        <w:rPr>
          <w:rFonts w:ascii="宋体" w:eastAsia="宋体" w:hAnsi="宋体" w:hint="eastAsia"/>
          <w:color w:val="auto"/>
          <w:sz w:val="21"/>
          <w:szCs w:val="21"/>
        </w:rPr>
        <w:t>（一）申诉审查的内容（提起审判监督程序的理由）</w:t>
      </w:r>
      <w:bookmarkEnd w:id="48"/>
    </w:p>
    <w:p w14:paraId="346F372B" w14:textId="77777777" w:rsidR="00E63455" w:rsidRPr="00CF76A0" w:rsidRDefault="00E63455" w:rsidP="006312DC">
      <w:pPr>
        <w:spacing w:line="240" w:lineRule="exact"/>
        <w:ind w:firstLineChars="200" w:firstLine="420"/>
        <w:rPr>
          <w:rFonts w:ascii="宋体" w:eastAsia="宋体" w:hAnsi="宋体" w:cs="等线" w:hint="eastAsia"/>
          <w:szCs w:val="21"/>
        </w:rPr>
      </w:pPr>
      <w:r w:rsidRPr="00CF76A0">
        <w:rPr>
          <w:rFonts w:ascii="宋体" w:eastAsia="宋体" w:hAnsi="宋体" w:cs="等线" w:hint="eastAsia"/>
          <w:color w:val="FF0000"/>
          <w:szCs w:val="21"/>
        </w:rPr>
        <w:t>对申诉的审查实际上可以分为两步</w:t>
      </w:r>
      <w:r w:rsidRPr="00CF76A0">
        <w:rPr>
          <w:rFonts w:ascii="宋体" w:eastAsia="宋体" w:hAnsi="宋体" w:cs="等线" w:hint="eastAsia"/>
          <w:szCs w:val="21"/>
        </w:rPr>
        <w:t>，第一步是程序性审查，也即审查申诉是否符合形式性要件，包括是否符合管辖、期限的规定，从而决定是否受理；第二步是立案受理后的实体性审查，也即审查申诉理由是否符合人民法院重新审判或人民检察院提出抗诉的条件，从而决定是否对案件予以重新审判。</w:t>
      </w:r>
    </w:p>
    <w:p w14:paraId="4666F22C" w14:textId="77777777" w:rsidR="00C9441A" w:rsidRPr="003C6714" w:rsidRDefault="00C9441A" w:rsidP="006312DC">
      <w:pPr>
        <w:spacing w:line="240" w:lineRule="exact"/>
        <w:ind w:firstLine="420"/>
        <w:rPr>
          <w:rFonts w:ascii="宋体" w:eastAsia="宋体" w:hAnsi="宋体" w:hint="eastAsia"/>
          <w:szCs w:val="21"/>
        </w:rPr>
      </w:pPr>
      <w:r w:rsidRPr="003C6714">
        <w:rPr>
          <w:rFonts w:ascii="宋体" w:eastAsia="宋体" w:hAnsi="宋体" w:hint="eastAsia"/>
          <w:szCs w:val="21"/>
        </w:rPr>
        <w:t>此外，《法院解释》第458条规定：“具有下列情形之一，可能改变原判决、裁定据以定罪量刑的事实的证据，应当认定为刑事诉讼法第二百五十三条第一项规定的“</w:t>
      </w:r>
      <w:r w:rsidRPr="003C6714">
        <w:rPr>
          <w:rFonts w:ascii="宋体" w:eastAsia="宋体" w:hAnsi="宋体" w:hint="eastAsia"/>
          <w:color w:val="FF0000"/>
          <w:szCs w:val="21"/>
        </w:rPr>
        <w:t>新的证据</w:t>
      </w:r>
      <w:r w:rsidRPr="003C6714">
        <w:rPr>
          <w:rFonts w:ascii="宋体" w:eastAsia="宋体" w:hAnsi="宋体" w:hint="eastAsia"/>
          <w:szCs w:val="21"/>
        </w:rPr>
        <w:t>”：（1）原判决、裁定生效后新发现的证据（2）原判决、裁定生效前已经发现，但未予收集的证据（3）原判决、裁定生效前已经收集，但未经质证的证据（4）原判决、裁定所依据的鉴定意见，勘验、检查等笔录或者其他证据被改变或者否定的</w:t>
      </w:r>
    </w:p>
    <w:p w14:paraId="4E62CB9B" w14:textId="77777777" w:rsidR="00E63455" w:rsidRPr="003C6714" w:rsidRDefault="00E63455" w:rsidP="006312DC">
      <w:pPr>
        <w:pStyle w:val="4"/>
        <w:spacing w:line="240" w:lineRule="exact"/>
        <w:ind w:firstLineChars="120" w:firstLine="252"/>
        <w:jc w:val="both"/>
        <w:rPr>
          <w:rFonts w:ascii="宋体" w:eastAsia="宋体" w:hAnsi="宋体" w:hint="eastAsia"/>
          <w:color w:val="auto"/>
          <w:sz w:val="21"/>
          <w:szCs w:val="21"/>
        </w:rPr>
      </w:pPr>
      <w:bookmarkStart w:id="49" w:name="_Toc128736568"/>
      <w:r w:rsidRPr="003C6714">
        <w:rPr>
          <w:rFonts w:ascii="宋体" w:eastAsia="宋体" w:hAnsi="宋体" w:hint="eastAsia"/>
          <w:color w:val="auto"/>
          <w:sz w:val="21"/>
          <w:szCs w:val="21"/>
        </w:rPr>
        <w:t>（二）申诉审查的期限</w:t>
      </w:r>
      <w:bookmarkEnd w:id="49"/>
    </w:p>
    <w:p w14:paraId="2B198169" w14:textId="5FFD099D" w:rsidR="00160A3C" w:rsidRPr="003C6714" w:rsidRDefault="00E63455"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对立案审查的申诉案件，</w:t>
      </w:r>
      <w:r w:rsidRPr="003C6714">
        <w:rPr>
          <w:rFonts w:ascii="宋体" w:eastAsia="宋体" w:hAnsi="宋体" w:cs="等线" w:hint="eastAsia"/>
          <w:color w:val="FF0000"/>
          <w:szCs w:val="21"/>
        </w:rPr>
        <w:t>应当在三个月以内作出决定，至迟不得超过六个月</w:t>
      </w:r>
      <w:r w:rsidRPr="003C6714">
        <w:rPr>
          <w:rFonts w:ascii="宋体" w:eastAsia="宋体" w:hAnsi="宋体" w:cs="等线" w:hint="eastAsia"/>
          <w:szCs w:val="21"/>
        </w:rPr>
        <w:t>。因案件疑难、复杂、重大或者其他特殊原因需要延长审查期限的，参照本解释第二百一十条的规定（报上一级法院申请延期3个月，再延长的需报最高法，予以批准的，可以延长审理期限一至三个月。期限届满案件仍然不能审结的，可以再次提出申请）处理。</w:t>
      </w:r>
      <w:bookmarkStart w:id="50" w:name="_Toc510879152"/>
      <w:bookmarkStart w:id="51" w:name="_Toc128736569"/>
    </w:p>
    <w:p w14:paraId="1771F075" w14:textId="5C831069" w:rsidR="00E63455" w:rsidRPr="003C6714" w:rsidRDefault="00E63455" w:rsidP="006312DC">
      <w:pPr>
        <w:spacing w:line="240" w:lineRule="exact"/>
        <w:ind w:firstLineChars="200" w:firstLine="420"/>
        <w:rPr>
          <w:rFonts w:ascii="宋体" w:eastAsia="宋体" w:hAnsi="宋体" w:cs="等线" w:hint="eastAsia"/>
          <w:szCs w:val="21"/>
        </w:rPr>
      </w:pPr>
      <w:r w:rsidRPr="003C6714">
        <w:rPr>
          <w:rFonts w:ascii="宋体" w:eastAsia="宋体" w:hAnsi="宋体"/>
          <w:szCs w:val="21"/>
        </w:rPr>
        <w:t>四</w:t>
      </w:r>
      <w:r w:rsidRPr="003C6714">
        <w:rPr>
          <w:rFonts w:ascii="宋体" w:eastAsia="宋体" w:hAnsi="宋体" w:hint="eastAsia"/>
          <w:szCs w:val="21"/>
        </w:rPr>
        <w:t>、对再次申诉的处理</w:t>
      </w:r>
      <w:bookmarkEnd w:id="50"/>
      <w:bookmarkEnd w:id="51"/>
    </w:p>
    <w:p w14:paraId="085050F7" w14:textId="77777777" w:rsidR="00E63455" w:rsidRPr="003C6714" w:rsidRDefault="00E63455" w:rsidP="006312DC">
      <w:pPr>
        <w:pStyle w:val="4"/>
        <w:spacing w:line="240" w:lineRule="exact"/>
        <w:ind w:firstLineChars="120" w:firstLine="252"/>
        <w:jc w:val="both"/>
        <w:rPr>
          <w:rFonts w:ascii="宋体" w:eastAsia="宋体" w:hAnsi="宋体" w:hint="eastAsia"/>
          <w:color w:val="auto"/>
          <w:sz w:val="21"/>
          <w:szCs w:val="21"/>
        </w:rPr>
      </w:pPr>
      <w:bookmarkStart w:id="52" w:name="_Toc128736570"/>
      <w:r w:rsidRPr="003C6714">
        <w:rPr>
          <w:rFonts w:ascii="宋体" w:eastAsia="宋体" w:hAnsi="宋体" w:hint="eastAsia"/>
          <w:color w:val="auto"/>
          <w:sz w:val="21"/>
          <w:szCs w:val="21"/>
        </w:rPr>
        <w:t>（一）对驳回申诉的裁定或不予抗诉的决定不服而再次申诉的处理</w:t>
      </w:r>
      <w:bookmarkEnd w:id="52"/>
    </w:p>
    <w:p w14:paraId="2DB353A5" w14:textId="3CB75AED" w:rsidR="000A56AA" w:rsidRPr="003C6714" w:rsidRDefault="00E63455" w:rsidP="006312DC">
      <w:pPr>
        <w:spacing w:line="240" w:lineRule="exact"/>
        <w:ind w:firstLineChars="200" w:firstLine="420"/>
        <w:rPr>
          <w:rFonts w:ascii="宋体" w:eastAsia="宋体" w:hAnsi="宋体" w:cs="等线" w:hint="eastAsia"/>
          <w:bCs/>
          <w:szCs w:val="21"/>
        </w:rPr>
      </w:pPr>
      <w:r w:rsidRPr="003C6714">
        <w:rPr>
          <w:rFonts w:ascii="宋体" w:eastAsia="宋体" w:hAnsi="宋体" w:cs="等线" w:hint="eastAsia"/>
          <w:bCs/>
          <w:szCs w:val="21"/>
        </w:rPr>
        <w:t>1．对人民法院驳回申诉</w:t>
      </w:r>
      <w:r w:rsidR="000A56AA" w:rsidRPr="003C6714">
        <w:rPr>
          <w:rFonts w:ascii="宋体" w:eastAsia="宋体" w:hAnsi="宋体" w:cs="等线" w:hint="eastAsia"/>
          <w:bCs/>
          <w:szCs w:val="21"/>
        </w:rPr>
        <w:t>的裁定不服而再次申诉</w:t>
      </w:r>
    </w:p>
    <w:p w14:paraId="3DD1A22B" w14:textId="3A6E1F4B" w:rsidR="000A56AA" w:rsidRPr="003C6714" w:rsidRDefault="000A56AA" w:rsidP="006312DC">
      <w:pPr>
        <w:spacing w:line="240" w:lineRule="exact"/>
        <w:ind w:firstLine="420"/>
        <w:rPr>
          <w:rFonts w:ascii="宋体" w:eastAsia="宋体" w:hAnsi="宋体" w:hint="eastAsia"/>
          <w:color w:val="FF0000"/>
          <w:szCs w:val="21"/>
        </w:rPr>
      </w:pPr>
      <w:r w:rsidRPr="003C6714">
        <w:rPr>
          <w:rFonts w:ascii="宋体" w:eastAsia="宋体" w:hAnsi="宋体" w:hint="eastAsia"/>
          <w:color w:val="FF0000"/>
          <w:szCs w:val="21"/>
        </w:rPr>
        <w:t>被驳回申诉后向上一级法院申诉的应当受理，申诉符合重新审判的条件决定重新审判；申诉不符合重新审判的条件，说服申诉人撤回申诉，申诉人坚持，驳回申诉、通知不予重新审判。</w:t>
      </w:r>
    </w:p>
    <w:p w14:paraId="51B777BE" w14:textId="77777777" w:rsidR="00E63455" w:rsidRPr="003C6714" w:rsidRDefault="00E63455" w:rsidP="006312DC">
      <w:pPr>
        <w:spacing w:line="240" w:lineRule="exact"/>
        <w:ind w:firstLineChars="200" w:firstLine="420"/>
        <w:rPr>
          <w:rFonts w:ascii="宋体" w:eastAsia="宋体" w:hAnsi="宋体" w:cs="等线" w:hint="eastAsia"/>
          <w:bCs/>
          <w:szCs w:val="21"/>
        </w:rPr>
      </w:pPr>
      <w:r w:rsidRPr="003C6714">
        <w:rPr>
          <w:rFonts w:ascii="宋体" w:eastAsia="宋体" w:hAnsi="宋体" w:cs="等线" w:hint="eastAsia"/>
          <w:bCs/>
          <w:szCs w:val="21"/>
        </w:rPr>
        <w:t>2．对人民检察院不予抗诉的决定不服而再次申诉</w:t>
      </w:r>
    </w:p>
    <w:p w14:paraId="0679A40C" w14:textId="65863954" w:rsidR="00E63455" w:rsidRPr="003C6714" w:rsidRDefault="000A56AA"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 xml:space="preserve"> </w:t>
      </w:r>
      <w:r w:rsidR="00E63455" w:rsidRPr="003C6714">
        <w:rPr>
          <w:rFonts w:ascii="宋体" w:eastAsia="宋体" w:hAnsi="宋体" w:cs="宋体" w:hint="eastAsia"/>
          <w:kern w:val="0"/>
          <w:szCs w:val="21"/>
        </w:rPr>
        <w:t>当事人及其法定代理人、近亲属对人民法院已经发生法律效力的判决、裁定提出申诉，经人民检察院复查决定不予抗诉后继续提出申诉的，</w:t>
      </w:r>
      <w:r w:rsidR="00E63455" w:rsidRPr="003C6714">
        <w:rPr>
          <w:rFonts w:ascii="宋体" w:eastAsia="宋体" w:hAnsi="宋体" w:cs="宋体"/>
          <w:color w:val="FF0000"/>
          <w:kern w:val="0"/>
          <w:szCs w:val="21"/>
        </w:rPr>
        <w:t>上一级人民检察院应当受理</w:t>
      </w:r>
      <w:r w:rsidR="00E63455" w:rsidRPr="003C6714">
        <w:rPr>
          <w:rFonts w:ascii="宋体" w:eastAsia="宋体" w:hAnsi="宋体" w:cs="宋体"/>
          <w:kern w:val="0"/>
          <w:szCs w:val="21"/>
        </w:rPr>
        <w:t>。</w:t>
      </w:r>
    </w:p>
    <w:p w14:paraId="534E8807" w14:textId="77777777" w:rsidR="00E63455" w:rsidRPr="003C6714" w:rsidRDefault="00E63455" w:rsidP="006312DC">
      <w:pPr>
        <w:pStyle w:val="4"/>
        <w:spacing w:line="240" w:lineRule="exact"/>
        <w:ind w:firstLineChars="120" w:firstLine="252"/>
        <w:jc w:val="both"/>
        <w:rPr>
          <w:rFonts w:ascii="宋体" w:eastAsia="宋体" w:hAnsi="宋体" w:hint="eastAsia"/>
          <w:color w:val="auto"/>
          <w:sz w:val="21"/>
          <w:szCs w:val="21"/>
        </w:rPr>
      </w:pPr>
      <w:bookmarkStart w:id="53" w:name="_Toc128736571"/>
      <w:r w:rsidRPr="003C6714">
        <w:rPr>
          <w:rFonts w:ascii="宋体" w:eastAsia="宋体" w:hAnsi="宋体" w:hint="eastAsia"/>
          <w:color w:val="auto"/>
          <w:sz w:val="21"/>
          <w:szCs w:val="21"/>
        </w:rPr>
        <w:t>（二）对经审监程序维持原判或经两级法院复查驳回或经两级检察院办理且经省级检察院复查后再次申诉的处理</w:t>
      </w:r>
      <w:bookmarkEnd w:id="53"/>
    </w:p>
    <w:p w14:paraId="06C564F0" w14:textId="6952493E" w:rsidR="00E63455" w:rsidRPr="003C6714" w:rsidRDefault="00E63455" w:rsidP="006312DC">
      <w:pPr>
        <w:spacing w:line="240" w:lineRule="exact"/>
        <w:ind w:firstLineChars="200" w:firstLine="420"/>
        <w:rPr>
          <w:rFonts w:ascii="宋体" w:eastAsia="宋体" w:hAnsi="宋体" w:cs="等线" w:hint="eastAsia"/>
          <w:bCs/>
          <w:szCs w:val="21"/>
        </w:rPr>
      </w:pPr>
      <w:r w:rsidRPr="003C6714">
        <w:rPr>
          <w:rFonts w:ascii="宋体" w:eastAsia="宋体" w:hAnsi="宋体" w:cs="等线" w:hint="eastAsia"/>
          <w:bCs/>
          <w:szCs w:val="21"/>
        </w:rPr>
        <w:t>1．人民法院对经审监程序维持原判或经两级法院复查均驳回而再次申诉的处理</w:t>
      </w:r>
    </w:p>
    <w:p w14:paraId="28088E70" w14:textId="77777777" w:rsidR="000A56AA" w:rsidRPr="003C6714" w:rsidRDefault="000A56AA" w:rsidP="006312DC">
      <w:pPr>
        <w:spacing w:line="240" w:lineRule="exact"/>
        <w:ind w:firstLine="420"/>
        <w:rPr>
          <w:rFonts w:ascii="宋体" w:eastAsia="宋体" w:hAnsi="宋体" w:hint="eastAsia"/>
          <w:szCs w:val="21"/>
        </w:rPr>
      </w:pPr>
      <w:r w:rsidRPr="003C6714">
        <w:rPr>
          <w:rFonts w:ascii="宋体" w:eastAsia="宋体" w:hAnsi="宋体" w:cs="汉仪中黑简" w:hint="eastAsia"/>
          <w:bCs/>
          <w:kern w:val="44"/>
          <w:szCs w:val="21"/>
        </w:rPr>
        <w:t>经终审法院的上一级法院依审监程序审理后维持原判或</w:t>
      </w:r>
      <w:r w:rsidRPr="003C6714">
        <w:rPr>
          <w:rFonts w:ascii="宋体" w:eastAsia="宋体" w:hAnsi="宋体" w:cs="汉仪中黑简"/>
          <w:bCs/>
          <w:kern w:val="44"/>
          <w:szCs w:val="21"/>
        </w:rPr>
        <w:t>经两级法院依审监程序复查均</w:t>
      </w:r>
      <w:r w:rsidRPr="003C6714">
        <w:rPr>
          <w:rFonts w:ascii="宋体" w:eastAsia="宋体" w:hAnsi="宋体" w:cs="汉仪中黑简"/>
          <w:bCs/>
          <w:kern w:val="44"/>
          <w:szCs w:val="21"/>
        </w:rPr>
        <w:lastRenderedPageBreak/>
        <w:t>驳回</w:t>
      </w:r>
      <w:r w:rsidRPr="003C6714">
        <w:rPr>
          <w:rFonts w:ascii="宋体" w:eastAsia="宋体" w:hAnsi="宋体" w:cs="汉仪中黑简" w:hint="eastAsia"/>
          <w:bCs/>
          <w:kern w:val="44"/>
          <w:szCs w:val="21"/>
        </w:rPr>
        <w:t>，</w:t>
      </w:r>
      <w:r w:rsidRPr="003C6714">
        <w:rPr>
          <w:rFonts w:ascii="宋体" w:eastAsia="宋体" w:hAnsi="宋体" w:hint="eastAsia"/>
          <w:szCs w:val="21"/>
        </w:rPr>
        <w:t>一般情况下不予受理。在以下情况受理，（1）提出新的事实和理由，且符合重新审判的条件（2）原审被告人可能被宣告无罪（3）判决、裁定有其他重大错误可能</w:t>
      </w:r>
    </w:p>
    <w:p w14:paraId="6B4D2831" w14:textId="77777777" w:rsidR="000A56AA" w:rsidRPr="00CF76A0" w:rsidRDefault="000A56AA" w:rsidP="006312DC">
      <w:pPr>
        <w:spacing w:line="240" w:lineRule="exact"/>
        <w:ind w:firstLine="420"/>
        <w:rPr>
          <w:rFonts w:ascii="宋体" w:eastAsia="宋体" w:hAnsi="宋体" w:hint="eastAsia"/>
          <w:szCs w:val="21"/>
        </w:rPr>
      </w:pPr>
      <w:r w:rsidRPr="003C6714">
        <w:rPr>
          <w:rFonts w:ascii="宋体" w:eastAsia="宋体" w:hAnsi="宋体" w:hint="eastAsia"/>
          <w:color w:val="FF0000"/>
          <w:szCs w:val="21"/>
        </w:rPr>
        <w:t>本规定存在不合理之处</w:t>
      </w:r>
      <w:r w:rsidRPr="00CF76A0">
        <w:rPr>
          <w:rFonts w:ascii="宋体" w:eastAsia="宋体" w:hAnsi="宋体" w:hint="eastAsia"/>
          <w:szCs w:val="21"/>
        </w:rPr>
        <w:t>：根据《法院解释》的规定，对申诉案件是否符合重新审判的条件应当是在立案后进行审查的，审查结果是决定是否重新审判；而本规定却要求在受理前就对申诉是否符合人民法院重新审判的条件予以审查，并依此来决定是否受理案件。这显然是不合理的。</w:t>
      </w:r>
    </w:p>
    <w:p w14:paraId="0156D5EC" w14:textId="0B986C93" w:rsidR="00E63455" w:rsidRPr="003C6714" w:rsidRDefault="00E63455" w:rsidP="006312DC">
      <w:pPr>
        <w:spacing w:line="240" w:lineRule="exact"/>
        <w:ind w:firstLineChars="200" w:firstLine="420"/>
        <w:rPr>
          <w:rFonts w:ascii="宋体" w:eastAsia="宋体" w:hAnsi="宋体" w:cs="等线" w:hint="eastAsia"/>
          <w:bCs/>
          <w:szCs w:val="21"/>
        </w:rPr>
      </w:pPr>
      <w:r w:rsidRPr="003C6714">
        <w:rPr>
          <w:rFonts w:ascii="宋体" w:eastAsia="宋体" w:hAnsi="宋体" w:cs="等线" w:hint="eastAsia"/>
          <w:bCs/>
          <w:szCs w:val="21"/>
        </w:rPr>
        <w:t>2．人民检察院对经两级检察院办理且经省级检察院复查后再次申诉的处理</w:t>
      </w:r>
    </w:p>
    <w:p w14:paraId="27592409" w14:textId="77777777" w:rsidR="0054715C" w:rsidRPr="003C6714" w:rsidRDefault="000A56AA" w:rsidP="006312DC">
      <w:pPr>
        <w:spacing w:line="240" w:lineRule="exact"/>
        <w:ind w:firstLine="420"/>
        <w:rPr>
          <w:rFonts w:ascii="宋体" w:eastAsia="宋体" w:hAnsi="宋体" w:hint="eastAsia"/>
          <w:szCs w:val="21"/>
        </w:rPr>
      </w:pPr>
      <w:r w:rsidRPr="003C6714">
        <w:rPr>
          <w:rFonts w:ascii="宋体" w:eastAsia="宋体" w:hAnsi="宋体" w:hint="eastAsia"/>
          <w:szCs w:val="21"/>
        </w:rPr>
        <w:t>经两级人民检察院办理且省级人民检察院已经复查，一般情况下不再立案复查。在以下情形立案复查（1）提出新的事实和理由（2）原审被告人可能被宣告无罪（3）判决、裁定有其他重大错误可能。</w:t>
      </w:r>
      <w:bookmarkStart w:id="54" w:name="_Toc66105539"/>
      <w:bookmarkStart w:id="55" w:name="_Toc510879153"/>
      <w:bookmarkStart w:id="56" w:name="_Toc128736572"/>
    </w:p>
    <w:p w14:paraId="78D29161" w14:textId="112A85BB" w:rsidR="00E63455" w:rsidRPr="003C6714" w:rsidRDefault="00E63455" w:rsidP="006312DC">
      <w:pPr>
        <w:spacing w:line="240" w:lineRule="exact"/>
        <w:ind w:firstLine="420"/>
        <w:rPr>
          <w:rFonts w:ascii="宋体" w:eastAsia="宋体" w:hAnsi="宋体" w:hint="eastAsia"/>
          <w:szCs w:val="21"/>
        </w:rPr>
      </w:pPr>
      <w:r w:rsidRPr="003C6714">
        <w:rPr>
          <w:rFonts w:ascii="宋体" w:eastAsia="宋体" w:hAnsi="宋体" w:hint="eastAsia"/>
          <w:szCs w:val="21"/>
        </w:rPr>
        <w:t>五、申诉的效力</w:t>
      </w:r>
      <w:bookmarkEnd w:id="54"/>
      <w:bookmarkEnd w:id="55"/>
      <w:bookmarkEnd w:id="56"/>
      <w:r w:rsidR="000A56AA" w:rsidRPr="003C6714">
        <w:rPr>
          <w:rFonts w:ascii="宋体" w:eastAsia="宋体" w:hAnsi="宋体" w:hint="eastAsia"/>
          <w:szCs w:val="21"/>
        </w:rPr>
        <w:t>：</w:t>
      </w:r>
      <w:r w:rsidRPr="003C6714">
        <w:rPr>
          <w:rFonts w:ascii="宋体" w:eastAsia="宋体" w:hAnsi="宋体"/>
          <w:szCs w:val="21"/>
        </w:rPr>
        <w:t>申诉不停止判决、裁定的执行。</w:t>
      </w:r>
    </w:p>
    <w:p w14:paraId="04B8BC86" w14:textId="4F0242CD" w:rsidR="00E63455" w:rsidRPr="003C6714" w:rsidRDefault="00E63455" w:rsidP="006312DC">
      <w:pPr>
        <w:pStyle w:val="1"/>
        <w:tabs>
          <w:tab w:val="left" w:pos="420"/>
        </w:tabs>
        <w:spacing w:before="10" w:after="0" w:line="240" w:lineRule="exact"/>
        <w:jc w:val="center"/>
        <w:rPr>
          <w:rFonts w:ascii="宋体" w:hAnsi="宋体" w:cs="宋体" w:hint="eastAsia"/>
          <w:bCs w:val="0"/>
          <w:sz w:val="21"/>
          <w:szCs w:val="21"/>
        </w:rPr>
      </w:pPr>
      <w:bookmarkStart w:id="57" w:name="_Toc64384731"/>
      <w:bookmarkStart w:id="58" w:name="_Toc510879155"/>
      <w:bookmarkStart w:id="59" w:name="_Toc128736574"/>
      <w:bookmarkStart w:id="60" w:name="_Toc4844153"/>
      <w:bookmarkStart w:id="61" w:name="_Toc132408739"/>
      <w:r w:rsidRPr="003C6714">
        <w:rPr>
          <w:rFonts w:ascii="宋体" w:hAnsi="宋体" w:cs="宋体" w:hint="eastAsia"/>
          <w:bCs w:val="0"/>
          <w:sz w:val="21"/>
          <w:szCs w:val="21"/>
        </w:rPr>
        <w:t>考点</w:t>
      </w:r>
      <w:r w:rsidRPr="003C6714">
        <w:rPr>
          <w:rFonts w:ascii="宋体" w:hAnsi="宋体" w:cs="宋体"/>
          <w:bCs w:val="0"/>
          <w:sz w:val="21"/>
          <w:szCs w:val="21"/>
        </w:rPr>
        <w:t>32</w:t>
      </w:r>
      <w:r w:rsidRPr="003C6714">
        <w:rPr>
          <w:rFonts w:ascii="宋体" w:hAnsi="宋体" w:cs="宋体" w:hint="eastAsia"/>
          <w:bCs w:val="0"/>
          <w:sz w:val="21"/>
          <w:szCs w:val="21"/>
        </w:rPr>
        <w:t xml:space="preserve">  提起审判监督程序的主体和方式</w:t>
      </w:r>
      <w:bookmarkEnd w:id="57"/>
      <w:bookmarkEnd w:id="58"/>
      <w:bookmarkEnd w:id="59"/>
      <w:bookmarkEnd w:id="60"/>
      <w:bookmarkEnd w:id="61"/>
      <w:r w:rsidR="006A2F96" w:rsidRPr="003C6714">
        <w:rPr>
          <w:rFonts w:ascii="宋体" w:hAnsi="宋体" w:cs="宋体"/>
          <w:bCs w:val="0"/>
          <w:sz w:val="21"/>
          <w:szCs w:val="21"/>
        </w:rPr>
        <w:t>（</w:t>
      </w:r>
      <w:r w:rsidR="007006C1">
        <w:rPr>
          <w:rFonts w:ascii="宋体" w:hAnsi="宋体" w:cs="宋体" w:hint="eastAsia"/>
          <w:bCs w:val="0"/>
          <w:sz w:val="21"/>
          <w:szCs w:val="21"/>
        </w:rPr>
        <w:t>11</w:t>
      </w:r>
      <w:r w:rsidR="006A2F96" w:rsidRPr="003C6714">
        <w:rPr>
          <w:rFonts w:ascii="宋体" w:hAnsi="宋体" w:cs="宋体"/>
          <w:bCs w:val="0"/>
          <w:sz w:val="21"/>
          <w:szCs w:val="21"/>
        </w:rPr>
        <w:t>:</w:t>
      </w:r>
      <w:r w:rsidR="007006C1">
        <w:rPr>
          <w:rFonts w:ascii="宋体" w:hAnsi="宋体" w:cs="宋体" w:hint="eastAsia"/>
          <w:bCs w:val="0"/>
          <w:sz w:val="21"/>
          <w:szCs w:val="21"/>
        </w:rPr>
        <w:t>51</w:t>
      </w:r>
      <w:r w:rsidR="006A2F96" w:rsidRPr="003C6714">
        <w:rPr>
          <w:rFonts w:ascii="宋体" w:hAnsi="宋体" w:cs="宋体"/>
          <w:bCs w:val="0"/>
          <w:sz w:val="21"/>
          <w:szCs w:val="21"/>
        </w:rPr>
        <w:t>:00-</w:t>
      </w:r>
      <w:r w:rsidR="005B5786">
        <w:rPr>
          <w:rFonts w:ascii="宋体" w:hAnsi="宋体" w:cs="宋体" w:hint="eastAsia"/>
          <w:bCs w:val="0"/>
          <w:sz w:val="21"/>
          <w:szCs w:val="21"/>
        </w:rPr>
        <w:t>12</w:t>
      </w:r>
      <w:r w:rsidR="006A2F96" w:rsidRPr="003C6714">
        <w:rPr>
          <w:rFonts w:ascii="宋体" w:hAnsi="宋体" w:cs="宋体"/>
          <w:bCs w:val="0"/>
          <w:sz w:val="21"/>
          <w:szCs w:val="21"/>
        </w:rPr>
        <w:t>:</w:t>
      </w:r>
      <w:r w:rsidR="005B5786">
        <w:rPr>
          <w:rFonts w:ascii="宋体" w:hAnsi="宋体" w:cs="宋体" w:hint="eastAsia"/>
          <w:bCs w:val="0"/>
          <w:sz w:val="21"/>
          <w:szCs w:val="21"/>
        </w:rPr>
        <w:t>2</w:t>
      </w:r>
      <w:r w:rsidR="00BB273F">
        <w:rPr>
          <w:rFonts w:ascii="宋体" w:hAnsi="宋体" w:cs="宋体" w:hint="eastAsia"/>
          <w:bCs w:val="0"/>
          <w:sz w:val="21"/>
          <w:szCs w:val="21"/>
        </w:rPr>
        <w:t>2</w:t>
      </w:r>
      <w:r w:rsidR="006A2F96" w:rsidRPr="003C6714">
        <w:rPr>
          <w:rFonts w:ascii="宋体" w:hAnsi="宋体" w:cs="宋体"/>
          <w:bCs w:val="0"/>
          <w:sz w:val="21"/>
          <w:szCs w:val="21"/>
        </w:rPr>
        <w:t>:00）</w:t>
      </w:r>
    </w:p>
    <w:p w14:paraId="1106396D" w14:textId="5CD89916" w:rsidR="008B223A" w:rsidRPr="003C6714" w:rsidRDefault="008B223A" w:rsidP="006312DC">
      <w:pPr>
        <w:spacing w:line="240" w:lineRule="exact"/>
        <w:ind w:firstLineChars="200" w:firstLine="420"/>
        <w:rPr>
          <w:rFonts w:ascii="宋体" w:eastAsia="宋体" w:hAnsi="宋体" w:hint="eastAsia"/>
          <w:color w:val="00B0F0"/>
          <w:szCs w:val="21"/>
        </w:rPr>
      </w:pPr>
      <w:r w:rsidRPr="003C6714">
        <w:rPr>
          <w:rFonts w:ascii="宋体" w:eastAsia="宋体" w:hAnsi="宋体" w:hint="eastAsia"/>
          <w:color w:val="00B0F0"/>
          <w:szCs w:val="21"/>
        </w:rPr>
        <w:t>（破题的关键是找准原生效裁判到底是哪个法院通过何种程序作出的）（解题的关键是哪个法院现在按照何种程序来重审此案）</w:t>
      </w:r>
    </w:p>
    <w:p w14:paraId="6D532B37" w14:textId="77777777" w:rsidR="00E63455" w:rsidRPr="003C6714" w:rsidRDefault="00E63455" w:rsidP="006312DC">
      <w:pPr>
        <w:pStyle w:val="3"/>
        <w:spacing w:line="240" w:lineRule="exact"/>
        <w:ind w:firstLineChars="200" w:firstLine="420"/>
        <w:jc w:val="both"/>
        <w:rPr>
          <w:rFonts w:eastAsia="宋体" w:hint="eastAsia"/>
          <w:color w:val="auto"/>
          <w:sz w:val="21"/>
        </w:rPr>
      </w:pPr>
      <w:bookmarkStart w:id="62" w:name="_Toc510879156"/>
      <w:bookmarkStart w:id="63" w:name="_Toc128736575"/>
      <w:r w:rsidRPr="003C6714">
        <w:rPr>
          <w:rFonts w:eastAsia="宋体" w:hint="eastAsia"/>
          <w:color w:val="auto"/>
          <w:sz w:val="21"/>
        </w:rPr>
        <w:t>一、提起审判监督程序的主体和方式</w:t>
      </w:r>
      <w:bookmarkEnd w:id="62"/>
      <w:bookmarkEnd w:id="63"/>
    </w:p>
    <w:p w14:paraId="4609E014" w14:textId="77777777" w:rsidR="00480414" w:rsidRPr="00C63870" w:rsidRDefault="00E46394" w:rsidP="006312DC">
      <w:pPr>
        <w:spacing w:line="240" w:lineRule="exact"/>
        <w:ind w:firstLine="420"/>
        <w:rPr>
          <w:rFonts w:ascii="宋体" w:eastAsia="宋体" w:hAnsi="宋体" w:hint="eastAsia"/>
          <w:szCs w:val="21"/>
        </w:rPr>
      </w:pPr>
      <w:r w:rsidRPr="00C63870">
        <w:rPr>
          <w:rFonts w:ascii="宋体" w:eastAsia="宋体" w:hAnsi="宋体" w:hint="eastAsia"/>
          <w:szCs w:val="21"/>
        </w:rPr>
        <w:t>（1）各级法院院长经提交审委会讨论决定本院生效裁判的再审。（2）最高人民法院对各级法院生效裁判、上级人民法院对</w:t>
      </w:r>
      <w:r w:rsidRPr="00C63870">
        <w:rPr>
          <w:rFonts w:ascii="宋体" w:eastAsia="宋体" w:hAnsi="宋体"/>
          <w:szCs w:val="21"/>
        </w:rPr>
        <w:t>下级法院生效裁判</w:t>
      </w:r>
      <w:r w:rsidRPr="00C63870">
        <w:rPr>
          <w:rFonts w:ascii="宋体" w:eastAsia="宋体" w:hAnsi="宋体" w:hint="eastAsia"/>
          <w:szCs w:val="21"/>
        </w:rPr>
        <w:t>可以指令再审或决定提审。（3）最高人民检察院对各级法院生效裁判、上级人民检察院对下级法院生效裁判可以提出抗诉</w:t>
      </w:r>
    </w:p>
    <w:p w14:paraId="2A2B919D" w14:textId="1D0438F5" w:rsidR="00E63455" w:rsidRPr="003C6714" w:rsidRDefault="00E63455" w:rsidP="006312DC">
      <w:pPr>
        <w:spacing w:line="240" w:lineRule="exact"/>
        <w:ind w:firstLine="420"/>
        <w:rPr>
          <w:rFonts w:ascii="宋体" w:eastAsia="宋体" w:hAnsi="宋体" w:hint="eastAsia"/>
          <w:color w:val="FF0000"/>
          <w:szCs w:val="21"/>
        </w:rPr>
      </w:pPr>
      <w:r w:rsidRPr="003C6714">
        <w:rPr>
          <w:rFonts w:ascii="宋体" w:eastAsia="宋体" w:hAnsi="宋体" w:hint="eastAsia"/>
          <w:szCs w:val="21"/>
        </w:rPr>
        <w:t>（一）法院启动</w:t>
      </w:r>
    </w:p>
    <w:p w14:paraId="4E01D46F" w14:textId="4A221CA6" w:rsidR="00E63455" w:rsidRPr="003C6714" w:rsidRDefault="00E63455" w:rsidP="006312DC">
      <w:pPr>
        <w:spacing w:line="240" w:lineRule="exact"/>
        <w:ind w:firstLineChars="200" w:firstLine="420"/>
        <w:rPr>
          <w:rFonts w:ascii="宋体" w:eastAsia="宋体" w:hAnsi="宋体" w:hint="eastAsia"/>
          <w:szCs w:val="21"/>
        </w:rPr>
      </w:pPr>
      <w:r w:rsidRPr="003C6714">
        <w:rPr>
          <w:rFonts w:ascii="宋体" w:eastAsia="宋体" w:hAnsi="宋体" w:hint="eastAsia"/>
          <w:szCs w:val="21"/>
        </w:rPr>
        <w:t>1．本院决定再审2．上级提审或者指令再审</w:t>
      </w:r>
    </w:p>
    <w:p w14:paraId="373F796C" w14:textId="77777777" w:rsidR="00E63455" w:rsidRPr="003C6714" w:rsidRDefault="00E63455" w:rsidP="006312DC">
      <w:pPr>
        <w:spacing w:line="240" w:lineRule="exact"/>
        <w:ind w:firstLineChars="196" w:firstLine="412"/>
        <w:rPr>
          <w:rFonts w:ascii="宋体" w:eastAsia="宋体" w:hAnsi="宋体" w:cs="仿宋_GB2312" w:hint="eastAsia"/>
          <w:szCs w:val="21"/>
        </w:rPr>
      </w:pPr>
      <w:r w:rsidRPr="003C6714">
        <w:rPr>
          <w:rFonts w:ascii="宋体" w:eastAsia="宋体" w:hAnsi="宋体" w:cs="仿宋_GB2312" w:hint="eastAsia"/>
          <w:szCs w:val="21"/>
        </w:rPr>
        <w:t>（1）决定提审</w:t>
      </w:r>
    </w:p>
    <w:p w14:paraId="1921E892" w14:textId="77777777" w:rsidR="00E63455" w:rsidRPr="003C6714" w:rsidRDefault="00E63455" w:rsidP="006312DC">
      <w:pPr>
        <w:spacing w:line="240" w:lineRule="exact"/>
        <w:ind w:firstLineChars="200" w:firstLine="420"/>
        <w:rPr>
          <w:rFonts w:ascii="宋体" w:eastAsia="宋体" w:hAnsi="宋体" w:hint="eastAsia"/>
          <w:szCs w:val="21"/>
        </w:rPr>
      </w:pPr>
      <w:r w:rsidRPr="003C6714">
        <w:rPr>
          <w:rFonts w:ascii="宋体" w:eastAsia="宋体" w:hAnsi="宋体" w:hint="eastAsia"/>
          <w:szCs w:val="21"/>
        </w:rPr>
        <w:t>上级人民法院发现下级人民法院已经发生法律效力的判决、裁定认定事实正确但适用法律错误，或者案件疑难、复杂、重大，或者有不宜由原审人民法院审理情形的，也可以提审。</w:t>
      </w:r>
    </w:p>
    <w:p w14:paraId="13CD8FCA" w14:textId="77777777" w:rsidR="00E63455" w:rsidRPr="003C6714" w:rsidRDefault="00E63455" w:rsidP="006312DC">
      <w:pPr>
        <w:spacing w:line="240" w:lineRule="exact"/>
        <w:ind w:firstLineChars="200" w:firstLine="420"/>
        <w:rPr>
          <w:rFonts w:ascii="宋体" w:eastAsia="宋体" w:hAnsi="宋体" w:cs="仿宋_GB2312" w:hint="eastAsia"/>
          <w:szCs w:val="21"/>
        </w:rPr>
      </w:pPr>
      <w:r w:rsidRPr="003C6714">
        <w:rPr>
          <w:rFonts w:ascii="宋体" w:eastAsia="宋体" w:hAnsi="宋体" w:cs="仿宋_GB2312" w:hint="eastAsia"/>
          <w:szCs w:val="21"/>
        </w:rPr>
        <w:t>（2）指令再审</w:t>
      </w:r>
    </w:p>
    <w:p w14:paraId="5AEE2474" w14:textId="3E610A88" w:rsidR="00E63455" w:rsidRPr="003C6714" w:rsidRDefault="00E63455" w:rsidP="006312DC">
      <w:pPr>
        <w:spacing w:line="240" w:lineRule="exact"/>
        <w:ind w:firstLineChars="200" w:firstLine="420"/>
        <w:rPr>
          <w:rFonts w:ascii="宋体" w:eastAsia="宋体" w:hAnsi="宋体" w:hint="eastAsia"/>
          <w:color w:val="FF0000"/>
          <w:szCs w:val="21"/>
        </w:rPr>
      </w:pPr>
      <w:r w:rsidRPr="003C6714">
        <w:rPr>
          <w:rFonts w:ascii="宋体" w:eastAsia="宋体" w:hAnsi="宋体" w:hint="eastAsia"/>
          <w:szCs w:val="21"/>
        </w:rPr>
        <w:t>上级人民法院指令下级人民法院再审的，</w:t>
      </w:r>
      <w:r w:rsidRPr="003C6714">
        <w:rPr>
          <w:rFonts w:ascii="宋体" w:eastAsia="宋体" w:hAnsi="宋体" w:hint="eastAsia"/>
          <w:color w:val="FF0000"/>
          <w:szCs w:val="21"/>
        </w:rPr>
        <w:t>一般应当指令原审人民法院以外的下级人民法院审理；由原审人民法院审理更有利于查明案件事实、纠正裁判错误的，可以指令原审人民法院审理。</w:t>
      </w:r>
      <w:r w:rsidRPr="003C6714">
        <w:rPr>
          <w:rFonts w:ascii="宋体" w:eastAsia="宋体" w:hAnsi="宋体" w:hint="eastAsia"/>
          <w:szCs w:val="21"/>
        </w:rPr>
        <w:t>对于指令再审的案件，如果</w:t>
      </w:r>
      <w:r w:rsidRPr="003C6714">
        <w:rPr>
          <w:rFonts w:ascii="宋体" w:eastAsia="宋体" w:hAnsi="宋体" w:hint="eastAsia"/>
          <w:color w:val="FF0000"/>
          <w:szCs w:val="21"/>
        </w:rPr>
        <w:t>原来是第一审案件</w:t>
      </w:r>
      <w:r w:rsidRPr="003C6714">
        <w:rPr>
          <w:rFonts w:ascii="宋体" w:eastAsia="宋体" w:hAnsi="宋体" w:hint="eastAsia"/>
          <w:szCs w:val="21"/>
        </w:rPr>
        <w:t>，接受抗诉的人民法院应当指令第一审人民法院依照第一审程序进行审判，所作的判决、裁定，可以上诉、抗诉；如果</w:t>
      </w:r>
      <w:r w:rsidRPr="003C6714">
        <w:rPr>
          <w:rFonts w:ascii="宋体" w:eastAsia="宋体" w:hAnsi="宋体" w:hint="eastAsia"/>
          <w:color w:val="FF0000"/>
          <w:szCs w:val="21"/>
        </w:rPr>
        <w:t>原来是第二审案件，接受抗诉的人民法院应当指令第二审人民法院依照第二审程序进行审判</w:t>
      </w:r>
      <w:r w:rsidRPr="003C6714">
        <w:rPr>
          <w:rFonts w:ascii="宋体" w:eastAsia="宋体" w:hAnsi="宋体" w:hint="eastAsia"/>
          <w:szCs w:val="21"/>
        </w:rPr>
        <w:t>，所作的判决、裁定，是终审的判决、裁定。</w:t>
      </w:r>
    </w:p>
    <w:p w14:paraId="7F2707FD" w14:textId="77777777" w:rsidR="00E63455" w:rsidRPr="003C6714" w:rsidRDefault="00E63455" w:rsidP="006312DC">
      <w:pPr>
        <w:pStyle w:val="4"/>
        <w:spacing w:line="240" w:lineRule="exact"/>
        <w:ind w:firstLineChars="120" w:firstLine="252"/>
        <w:jc w:val="both"/>
        <w:rPr>
          <w:rFonts w:ascii="宋体" w:eastAsia="宋体" w:hAnsi="宋体" w:hint="eastAsia"/>
          <w:color w:val="auto"/>
          <w:sz w:val="21"/>
          <w:szCs w:val="21"/>
        </w:rPr>
      </w:pPr>
      <w:r w:rsidRPr="003C6714">
        <w:rPr>
          <w:rFonts w:ascii="宋体" w:eastAsia="宋体" w:hAnsi="宋体" w:hint="eastAsia"/>
          <w:color w:val="auto"/>
          <w:sz w:val="21"/>
          <w:szCs w:val="21"/>
        </w:rPr>
        <w:t>（二）检察院抗诉引发再审</w:t>
      </w:r>
    </w:p>
    <w:p w14:paraId="176A7351" w14:textId="1BD875F9" w:rsidR="00E63455" w:rsidRPr="003C6714" w:rsidRDefault="00E63455" w:rsidP="006312DC">
      <w:pPr>
        <w:pStyle w:val="4"/>
        <w:spacing w:line="240" w:lineRule="exact"/>
        <w:ind w:firstLineChars="200" w:firstLine="420"/>
        <w:jc w:val="both"/>
        <w:rPr>
          <w:rFonts w:ascii="宋体" w:eastAsia="宋体" w:hAnsi="宋体" w:hint="eastAsia"/>
          <w:color w:val="auto"/>
          <w:sz w:val="21"/>
          <w:szCs w:val="21"/>
        </w:rPr>
      </w:pPr>
      <w:r w:rsidRPr="003C6714">
        <w:rPr>
          <w:rFonts w:ascii="宋体" w:eastAsia="宋体" w:hAnsi="宋体" w:hint="eastAsia"/>
          <w:color w:val="auto"/>
          <w:sz w:val="21"/>
          <w:szCs w:val="21"/>
        </w:rPr>
        <w:t>1．对抗诉的程序性审查及处理</w:t>
      </w:r>
    </w:p>
    <w:p w14:paraId="69D6AE62" w14:textId="0C56C42A" w:rsidR="00E63455" w:rsidRPr="003C6714" w:rsidRDefault="00E63455" w:rsidP="006312DC">
      <w:pPr>
        <w:spacing w:line="240" w:lineRule="exact"/>
        <w:ind w:firstLineChars="200" w:firstLine="408"/>
        <w:jc w:val="left"/>
        <w:rPr>
          <w:rFonts w:ascii="宋体" w:eastAsia="宋体" w:hAnsi="宋体" w:cs="等线" w:hint="eastAsia"/>
          <w:b/>
          <w:spacing w:val="-3"/>
          <w:szCs w:val="21"/>
          <w:shd w:val="clear" w:color="auto" w:fill="FFFFFF"/>
        </w:rPr>
      </w:pPr>
      <w:r w:rsidRPr="003C6714">
        <w:rPr>
          <w:rFonts w:ascii="宋体" w:eastAsia="宋体" w:hAnsi="宋体" w:cs="等线"/>
          <w:spacing w:val="-3"/>
          <w:szCs w:val="21"/>
        </w:rPr>
        <w:t>对人民检察院依照审判监督程序提出抗诉的案件，人民法院应当在收到抗诉书后一个月内立案。但是，有下列情形之一的，应当区别情况予以处理：（</w:t>
      </w:r>
      <w:r w:rsidR="00D61571" w:rsidRPr="003C6714">
        <w:rPr>
          <w:rFonts w:ascii="宋体" w:eastAsia="宋体" w:hAnsi="宋体" w:cs="等线" w:hint="eastAsia"/>
          <w:spacing w:val="-3"/>
          <w:szCs w:val="21"/>
        </w:rPr>
        <w:t>1</w:t>
      </w:r>
      <w:r w:rsidRPr="003C6714">
        <w:rPr>
          <w:rFonts w:ascii="宋体" w:eastAsia="宋体" w:hAnsi="宋体" w:cs="等线"/>
          <w:spacing w:val="-3"/>
          <w:szCs w:val="21"/>
        </w:rPr>
        <w:t>）对不属于本院管辖的，应当将案件退回人民检察院；（</w:t>
      </w:r>
      <w:r w:rsidR="00D61571" w:rsidRPr="003C6714">
        <w:rPr>
          <w:rFonts w:ascii="宋体" w:eastAsia="宋体" w:hAnsi="宋体" w:cs="等线" w:hint="eastAsia"/>
          <w:spacing w:val="-3"/>
          <w:szCs w:val="21"/>
        </w:rPr>
        <w:t>2</w:t>
      </w:r>
      <w:r w:rsidRPr="003C6714">
        <w:rPr>
          <w:rFonts w:ascii="宋体" w:eastAsia="宋体" w:hAnsi="宋体" w:cs="等线"/>
          <w:spacing w:val="-3"/>
          <w:szCs w:val="21"/>
        </w:rPr>
        <w:t>）按照抗诉书提供的住址无法向被抗诉的原审被告人送达抗诉书的，应当通知人民检察院在三日内重新提供原审被告人的住址；逾期未提供的，将案件退回人民检察院；（</w:t>
      </w:r>
      <w:r w:rsidR="00D61571" w:rsidRPr="003C6714">
        <w:rPr>
          <w:rFonts w:ascii="宋体" w:eastAsia="宋体" w:hAnsi="宋体" w:cs="等线" w:hint="eastAsia"/>
          <w:spacing w:val="-3"/>
          <w:szCs w:val="21"/>
        </w:rPr>
        <w:t>3</w:t>
      </w:r>
      <w:r w:rsidRPr="003C6714">
        <w:rPr>
          <w:rFonts w:ascii="宋体" w:eastAsia="宋体" w:hAnsi="宋体" w:cs="等线"/>
          <w:spacing w:val="-3"/>
          <w:szCs w:val="21"/>
        </w:rPr>
        <w:t>）以有新的证据为由提出抗诉，但未附相关证据材料或者有关证据不是指向原起诉事实的，应当通知人民检察院在三日内补送相关材料；逾期未补送的，将案件退回人民检察院。决定退回的抗诉案件，人民检察院经补充相关材料后再次抗诉，经审查符合受理条件的，人民法院应当受理。</w:t>
      </w:r>
    </w:p>
    <w:p w14:paraId="48791B4C" w14:textId="77777777" w:rsidR="00E63455" w:rsidRPr="003C6714" w:rsidRDefault="00E63455" w:rsidP="006312DC">
      <w:pPr>
        <w:pStyle w:val="4"/>
        <w:spacing w:line="240" w:lineRule="exact"/>
        <w:ind w:firstLineChars="200" w:firstLine="420"/>
        <w:jc w:val="both"/>
        <w:rPr>
          <w:rFonts w:ascii="宋体" w:eastAsia="宋体" w:hAnsi="宋体" w:hint="eastAsia"/>
          <w:color w:val="auto"/>
          <w:sz w:val="21"/>
          <w:szCs w:val="21"/>
        </w:rPr>
      </w:pPr>
      <w:bookmarkStart w:id="64" w:name="_Toc128736577"/>
      <w:r w:rsidRPr="003C6714">
        <w:rPr>
          <w:rFonts w:ascii="宋体" w:eastAsia="宋体" w:hAnsi="宋体" w:hint="eastAsia"/>
          <w:color w:val="auto"/>
          <w:sz w:val="21"/>
          <w:szCs w:val="21"/>
        </w:rPr>
        <w:t>2</w:t>
      </w:r>
      <w:r w:rsidRPr="003C6714">
        <w:rPr>
          <w:rFonts w:ascii="宋体" w:eastAsia="宋体" w:hAnsi="宋体"/>
          <w:color w:val="auto"/>
          <w:sz w:val="21"/>
          <w:szCs w:val="21"/>
        </w:rPr>
        <w:t>．接受抗诉的人民法院</w:t>
      </w:r>
      <w:r w:rsidRPr="003C6714">
        <w:rPr>
          <w:rFonts w:ascii="宋体" w:eastAsia="宋体" w:hAnsi="宋体"/>
          <w:color w:val="FF0000"/>
          <w:sz w:val="21"/>
          <w:szCs w:val="21"/>
        </w:rPr>
        <w:t>应当组成合议庭重新审理</w:t>
      </w:r>
      <w:r w:rsidRPr="003C6714">
        <w:rPr>
          <w:rFonts w:ascii="宋体" w:eastAsia="宋体" w:hAnsi="宋体" w:hint="eastAsia"/>
          <w:color w:val="auto"/>
          <w:sz w:val="21"/>
          <w:szCs w:val="21"/>
        </w:rPr>
        <w:t>，对于原判决事实不清楚或者证据不足的可以指令下级人民法院再审</w:t>
      </w:r>
      <w:bookmarkEnd w:id="64"/>
    </w:p>
    <w:p w14:paraId="25703FA3" w14:textId="77777777" w:rsidR="00D61571" w:rsidRPr="003C6714" w:rsidRDefault="00E63455" w:rsidP="006312DC">
      <w:pPr>
        <w:spacing w:line="240" w:lineRule="exact"/>
        <w:ind w:firstLineChars="200" w:firstLine="420"/>
        <w:rPr>
          <w:rFonts w:ascii="宋体" w:eastAsia="宋体" w:hAnsi="宋体" w:cs="等线" w:hint="eastAsia"/>
          <w:szCs w:val="21"/>
        </w:rPr>
      </w:pPr>
      <w:r w:rsidRPr="003C6714">
        <w:rPr>
          <w:rFonts w:ascii="宋体" w:eastAsia="宋体" w:hAnsi="宋体" w:cs="宋体"/>
          <w:kern w:val="0"/>
          <w:szCs w:val="21"/>
        </w:rPr>
        <w:t>人民检察院抗诉的案件，接受抗诉的人民法院应当组成合议庭重新审理，对于原判决事实不清楚或者证据不足的，可以指令下级人民法院再审</w:t>
      </w:r>
      <w:r w:rsidRPr="003C6714">
        <w:rPr>
          <w:rFonts w:ascii="宋体" w:eastAsia="宋体" w:hAnsi="宋体" w:cs="宋体" w:hint="eastAsia"/>
          <w:kern w:val="0"/>
          <w:szCs w:val="21"/>
        </w:rPr>
        <w:t>。</w:t>
      </w:r>
    </w:p>
    <w:p w14:paraId="599AAE44" w14:textId="46901D66" w:rsidR="00E41C56" w:rsidRPr="003C6714" w:rsidRDefault="00E63455" w:rsidP="006312DC">
      <w:pPr>
        <w:spacing w:line="240" w:lineRule="exact"/>
        <w:ind w:firstLineChars="200" w:firstLine="420"/>
        <w:rPr>
          <w:rFonts w:ascii="宋体" w:eastAsia="宋体" w:hAnsi="宋体" w:cs="等线" w:hint="eastAsia"/>
          <w:szCs w:val="21"/>
        </w:rPr>
      </w:pPr>
      <w:r w:rsidRPr="003C6714">
        <w:rPr>
          <w:rFonts w:ascii="宋体" w:eastAsia="宋体" w:hAnsi="宋体" w:cs="等线" w:hint="eastAsia"/>
          <w:szCs w:val="21"/>
        </w:rPr>
        <w:t>对人民检察院依照审判监督程序提出抗诉的案件，接受抗诉的人民法院应当组成合议庭审理。对原判事实不清、证据不足，包括有新的证据证明原判可能有错误，需要指令下级人民法院再审的，应当在立案之日起一个月内作出决定，并将指令再审决定书送达抗诉的人民检察院。</w:t>
      </w:r>
      <w:bookmarkStart w:id="65" w:name="_Toc510879161"/>
      <w:bookmarkEnd w:id="65"/>
    </w:p>
    <w:sectPr w:rsidR="00E41C56" w:rsidRPr="003C6714">
      <w:head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A363FC" w14:textId="77777777" w:rsidR="006C5703" w:rsidRDefault="006C5703" w:rsidP="00512FF1">
      <w:pPr>
        <w:rPr>
          <w:rFonts w:hint="eastAsia"/>
        </w:rPr>
      </w:pPr>
      <w:r>
        <w:separator/>
      </w:r>
    </w:p>
  </w:endnote>
  <w:endnote w:type="continuationSeparator" w:id="0">
    <w:p w14:paraId="0299A6BA" w14:textId="77777777" w:rsidR="006C5703" w:rsidRDefault="006C5703" w:rsidP="00512FF1">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汉仪大宋简">
    <w:altName w:val="宋体"/>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中黑简">
    <w:altName w:val="微软雅黑"/>
    <w:charset w:val="86"/>
    <w:family w:val="modern"/>
    <w:pitch w:val="fixed"/>
    <w:sig w:usb0="00000001" w:usb1="080E0800" w:usb2="00000012" w:usb3="00000000" w:csb0="00040000" w:csb1="00000000"/>
  </w:font>
  <w:font w:name="仿宋_GB2312">
    <w:altName w:val="微软雅黑"/>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AB1DD5" w14:textId="77777777" w:rsidR="006C5703" w:rsidRDefault="006C5703" w:rsidP="00512FF1">
      <w:pPr>
        <w:rPr>
          <w:rFonts w:hint="eastAsia"/>
        </w:rPr>
      </w:pPr>
      <w:r>
        <w:separator/>
      </w:r>
    </w:p>
  </w:footnote>
  <w:footnote w:type="continuationSeparator" w:id="0">
    <w:p w14:paraId="5EF7225F" w14:textId="77777777" w:rsidR="006C5703" w:rsidRDefault="006C5703" w:rsidP="00512FF1">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1FCA7" w14:textId="677C3B0F" w:rsidR="00512FF1" w:rsidRDefault="00512FF1" w:rsidP="00512FF1">
    <w:pPr>
      <w:pStyle w:val="ad"/>
      <w:jc w:val="right"/>
      <w:rPr>
        <w:rFonts w:hint="eastAsia"/>
      </w:rPr>
    </w:pPr>
    <w:r>
      <w:rPr>
        <w:rFonts w:hint="eastAsia"/>
      </w:rPr>
      <w:t>桑磊法考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9AB169"/>
    <w:multiLevelType w:val="singleLevel"/>
    <w:tmpl w:val="4C9AB169"/>
    <w:lvl w:ilvl="0">
      <w:start w:val="2"/>
      <w:numFmt w:val="chineseCounting"/>
      <w:suff w:val="nothing"/>
      <w:lvlText w:val="（%1）"/>
      <w:lvlJc w:val="left"/>
      <w:rPr>
        <w:rFonts w:hint="eastAsia"/>
      </w:rPr>
    </w:lvl>
  </w:abstractNum>
  <w:num w:numId="1" w16cid:durableId="4149354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455"/>
    <w:rsid w:val="00016B96"/>
    <w:rsid w:val="00045B3F"/>
    <w:rsid w:val="000620A3"/>
    <w:rsid w:val="00094D17"/>
    <w:rsid w:val="000A56AA"/>
    <w:rsid w:val="000B4CC5"/>
    <w:rsid w:val="000F2E49"/>
    <w:rsid w:val="001125AB"/>
    <w:rsid w:val="001352EF"/>
    <w:rsid w:val="00160A3C"/>
    <w:rsid w:val="0016665D"/>
    <w:rsid w:val="00182AE5"/>
    <w:rsid w:val="001B5FBB"/>
    <w:rsid w:val="001C76AF"/>
    <w:rsid w:val="001D0495"/>
    <w:rsid w:val="001F1ABF"/>
    <w:rsid w:val="00232EAA"/>
    <w:rsid w:val="00234DDA"/>
    <w:rsid w:val="0025130E"/>
    <w:rsid w:val="00294C67"/>
    <w:rsid w:val="00350110"/>
    <w:rsid w:val="00363FE6"/>
    <w:rsid w:val="0039656E"/>
    <w:rsid w:val="003C6714"/>
    <w:rsid w:val="003C6C18"/>
    <w:rsid w:val="003E1E7D"/>
    <w:rsid w:val="004063B4"/>
    <w:rsid w:val="0042237F"/>
    <w:rsid w:val="00443823"/>
    <w:rsid w:val="004531DF"/>
    <w:rsid w:val="00460EDC"/>
    <w:rsid w:val="00461EF3"/>
    <w:rsid w:val="00480414"/>
    <w:rsid w:val="00481C5A"/>
    <w:rsid w:val="00486765"/>
    <w:rsid w:val="00493639"/>
    <w:rsid w:val="0049531E"/>
    <w:rsid w:val="004B27B4"/>
    <w:rsid w:val="004B687B"/>
    <w:rsid w:val="004E4A44"/>
    <w:rsid w:val="00512FF1"/>
    <w:rsid w:val="005208D3"/>
    <w:rsid w:val="00527C9D"/>
    <w:rsid w:val="0054715C"/>
    <w:rsid w:val="00594E81"/>
    <w:rsid w:val="005A44B1"/>
    <w:rsid w:val="005B0E06"/>
    <w:rsid w:val="005B5786"/>
    <w:rsid w:val="005E3EF1"/>
    <w:rsid w:val="006312DC"/>
    <w:rsid w:val="00676A4D"/>
    <w:rsid w:val="006801DD"/>
    <w:rsid w:val="006A2F96"/>
    <w:rsid w:val="006B371F"/>
    <w:rsid w:val="006B440E"/>
    <w:rsid w:val="006C5703"/>
    <w:rsid w:val="006E4ABD"/>
    <w:rsid w:val="006E7213"/>
    <w:rsid w:val="007006C1"/>
    <w:rsid w:val="00741BA7"/>
    <w:rsid w:val="007905D4"/>
    <w:rsid w:val="00795357"/>
    <w:rsid w:val="0080760E"/>
    <w:rsid w:val="00822C63"/>
    <w:rsid w:val="008B071C"/>
    <w:rsid w:val="008B223A"/>
    <w:rsid w:val="008D3C76"/>
    <w:rsid w:val="008D481C"/>
    <w:rsid w:val="008E47C2"/>
    <w:rsid w:val="009036A2"/>
    <w:rsid w:val="009415D8"/>
    <w:rsid w:val="00942736"/>
    <w:rsid w:val="00952AEF"/>
    <w:rsid w:val="00957C96"/>
    <w:rsid w:val="00981264"/>
    <w:rsid w:val="009D258C"/>
    <w:rsid w:val="00A04322"/>
    <w:rsid w:val="00A24E10"/>
    <w:rsid w:val="00A51BCC"/>
    <w:rsid w:val="00A9782B"/>
    <w:rsid w:val="00AD0458"/>
    <w:rsid w:val="00AE155F"/>
    <w:rsid w:val="00AE2E45"/>
    <w:rsid w:val="00AF30D4"/>
    <w:rsid w:val="00B32DA3"/>
    <w:rsid w:val="00B345A8"/>
    <w:rsid w:val="00B46316"/>
    <w:rsid w:val="00B81057"/>
    <w:rsid w:val="00B94967"/>
    <w:rsid w:val="00BB273F"/>
    <w:rsid w:val="00BB2AE2"/>
    <w:rsid w:val="00BE1DF5"/>
    <w:rsid w:val="00BF667D"/>
    <w:rsid w:val="00C327C9"/>
    <w:rsid w:val="00C43293"/>
    <w:rsid w:val="00C60996"/>
    <w:rsid w:val="00C63870"/>
    <w:rsid w:val="00C9441A"/>
    <w:rsid w:val="00CA27F0"/>
    <w:rsid w:val="00CB6BBA"/>
    <w:rsid w:val="00CC5B68"/>
    <w:rsid w:val="00CF76A0"/>
    <w:rsid w:val="00D06E25"/>
    <w:rsid w:val="00D4193A"/>
    <w:rsid w:val="00D4227A"/>
    <w:rsid w:val="00D42C13"/>
    <w:rsid w:val="00D61571"/>
    <w:rsid w:val="00D668A1"/>
    <w:rsid w:val="00D80A4A"/>
    <w:rsid w:val="00DD1570"/>
    <w:rsid w:val="00E41C56"/>
    <w:rsid w:val="00E46394"/>
    <w:rsid w:val="00E61C3F"/>
    <w:rsid w:val="00E63089"/>
    <w:rsid w:val="00E63455"/>
    <w:rsid w:val="00E70BDA"/>
    <w:rsid w:val="00E746AA"/>
    <w:rsid w:val="00ED3156"/>
    <w:rsid w:val="00ED4784"/>
    <w:rsid w:val="00EF7243"/>
    <w:rsid w:val="00F17EB8"/>
    <w:rsid w:val="00F431CE"/>
    <w:rsid w:val="00F650DD"/>
    <w:rsid w:val="00F82960"/>
    <w:rsid w:val="00F82D57"/>
    <w:rsid w:val="00F96625"/>
    <w:rsid w:val="00FA3662"/>
    <w:rsid w:val="00FC05FF"/>
    <w:rsid w:val="00FD04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AAFF236"/>
  <w15:chartTrackingRefBased/>
  <w15:docId w15:val="{89C36CB7-91CD-4D48-B3DC-E24B46D3F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qFormat="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3455"/>
    <w:pPr>
      <w:widowControl w:val="0"/>
      <w:jc w:val="both"/>
    </w:pPr>
  </w:style>
  <w:style w:type="paragraph" w:styleId="1">
    <w:name w:val="heading 1"/>
    <w:basedOn w:val="a"/>
    <w:next w:val="a"/>
    <w:link w:val="10"/>
    <w:uiPriority w:val="9"/>
    <w:qFormat/>
    <w:rsid w:val="00E63455"/>
    <w:pPr>
      <w:keepNext/>
      <w:keepLines/>
      <w:spacing w:before="340" w:after="330" w:line="578" w:lineRule="auto"/>
      <w:outlineLvl w:val="0"/>
    </w:pPr>
    <w:rPr>
      <w:rFonts w:ascii="Calibri" w:eastAsia="宋体" w:hAnsi="Calibri" w:cs="Times New Roman"/>
      <w:b/>
      <w:bCs/>
      <w:kern w:val="44"/>
      <w:sz w:val="44"/>
      <w:szCs w:val="44"/>
    </w:rPr>
  </w:style>
  <w:style w:type="paragraph" w:styleId="2">
    <w:name w:val="heading 2"/>
    <w:basedOn w:val="a"/>
    <w:next w:val="a"/>
    <w:link w:val="20"/>
    <w:uiPriority w:val="9"/>
    <w:unhideWhenUsed/>
    <w:qFormat/>
    <w:rsid w:val="00E6345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E63455"/>
    <w:pPr>
      <w:keepNext/>
      <w:keepLines/>
      <w:tabs>
        <w:tab w:val="left" w:pos="420"/>
      </w:tabs>
      <w:spacing w:line="384" w:lineRule="exact"/>
      <w:jc w:val="left"/>
      <w:outlineLvl w:val="2"/>
    </w:pPr>
    <w:rPr>
      <w:rFonts w:ascii="宋体" w:eastAsia="汉仪大宋简" w:hAnsi="宋体" w:cs="宋体"/>
      <w:color w:val="000000" w:themeColor="text1"/>
      <w:sz w:val="26"/>
      <w:szCs w:val="21"/>
    </w:rPr>
  </w:style>
  <w:style w:type="paragraph" w:styleId="4">
    <w:name w:val="heading 4"/>
    <w:basedOn w:val="a"/>
    <w:next w:val="a"/>
    <w:link w:val="40"/>
    <w:uiPriority w:val="9"/>
    <w:unhideWhenUsed/>
    <w:qFormat/>
    <w:rsid w:val="00E63455"/>
    <w:pPr>
      <w:keepNext/>
      <w:keepLines/>
      <w:tabs>
        <w:tab w:val="left" w:pos="420"/>
      </w:tabs>
      <w:spacing w:line="384" w:lineRule="exact"/>
      <w:jc w:val="left"/>
      <w:outlineLvl w:val="3"/>
    </w:pPr>
    <w:rPr>
      <w:rFonts w:asciiTheme="majorHAnsi" w:eastAsia="汉仪大宋简" w:hAnsiTheme="majorHAnsi" w:cstheme="majorBidi"/>
      <w:bCs/>
      <w:color w:val="000000" w:themeColor="text1"/>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E63455"/>
    <w:rPr>
      <w:rFonts w:ascii="Calibri" w:eastAsia="宋体" w:hAnsi="Calibri" w:cs="Times New Roman"/>
      <w:b/>
      <w:bCs/>
      <w:kern w:val="44"/>
      <w:sz w:val="44"/>
      <w:szCs w:val="44"/>
    </w:rPr>
  </w:style>
  <w:style w:type="character" w:customStyle="1" w:styleId="20">
    <w:name w:val="标题 2 字符"/>
    <w:basedOn w:val="a0"/>
    <w:link w:val="2"/>
    <w:uiPriority w:val="9"/>
    <w:qFormat/>
    <w:rsid w:val="00E63455"/>
    <w:rPr>
      <w:rFonts w:asciiTheme="majorHAnsi" w:eastAsiaTheme="majorEastAsia" w:hAnsiTheme="majorHAnsi" w:cstheme="majorBidi"/>
      <w:b/>
      <w:bCs/>
      <w:sz w:val="32"/>
      <w:szCs w:val="32"/>
    </w:rPr>
  </w:style>
  <w:style w:type="character" w:customStyle="1" w:styleId="30">
    <w:name w:val="标题 3 字符"/>
    <w:basedOn w:val="a0"/>
    <w:link w:val="3"/>
    <w:uiPriority w:val="9"/>
    <w:qFormat/>
    <w:rsid w:val="00E63455"/>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E63455"/>
    <w:rPr>
      <w:rFonts w:asciiTheme="majorHAnsi" w:eastAsia="汉仪大宋简" w:hAnsiTheme="majorHAnsi" w:cstheme="majorBidi"/>
      <w:bCs/>
      <w:color w:val="000000" w:themeColor="text1"/>
      <w:sz w:val="24"/>
      <w:szCs w:val="28"/>
    </w:rPr>
  </w:style>
  <w:style w:type="paragraph" w:styleId="TOC7">
    <w:name w:val="toc 7"/>
    <w:basedOn w:val="a"/>
    <w:next w:val="a"/>
    <w:uiPriority w:val="39"/>
    <w:unhideWhenUsed/>
    <w:qFormat/>
    <w:rsid w:val="00E63455"/>
    <w:pPr>
      <w:ind w:left="1260"/>
    </w:pPr>
  </w:style>
  <w:style w:type="paragraph" w:styleId="8">
    <w:name w:val="index 8"/>
    <w:basedOn w:val="a"/>
    <w:next w:val="a"/>
    <w:uiPriority w:val="99"/>
    <w:unhideWhenUsed/>
    <w:qFormat/>
    <w:rsid w:val="00E63455"/>
    <w:pPr>
      <w:ind w:left="1680" w:hanging="210"/>
    </w:pPr>
  </w:style>
  <w:style w:type="paragraph" w:styleId="5">
    <w:name w:val="index 5"/>
    <w:basedOn w:val="a"/>
    <w:next w:val="a"/>
    <w:uiPriority w:val="99"/>
    <w:unhideWhenUsed/>
    <w:qFormat/>
    <w:rsid w:val="00E63455"/>
    <w:pPr>
      <w:ind w:left="1050" w:hanging="210"/>
    </w:pPr>
  </w:style>
  <w:style w:type="paragraph" w:styleId="a3">
    <w:name w:val="Document Map"/>
    <w:basedOn w:val="a"/>
    <w:link w:val="a4"/>
    <w:uiPriority w:val="99"/>
    <w:unhideWhenUsed/>
    <w:qFormat/>
    <w:rsid w:val="00E63455"/>
    <w:rPr>
      <w:rFonts w:ascii="宋体" w:eastAsia="宋体" w:hAnsi="宋体" w:cs="宋体"/>
      <w:color w:val="000000" w:themeColor="text1"/>
      <w:sz w:val="24"/>
      <w:szCs w:val="24"/>
    </w:rPr>
  </w:style>
  <w:style w:type="character" w:customStyle="1" w:styleId="a4">
    <w:name w:val="文档结构图 字符"/>
    <w:basedOn w:val="a0"/>
    <w:link w:val="a3"/>
    <w:uiPriority w:val="99"/>
    <w:qFormat/>
    <w:rsid w:val="00E63455"/>
    <w:rPr>
      <w:rFonts w:ascii="宋体" w:eastAsia="宋体" w:hAnsi="宋体" w:cs="宋体"/>
      <w:color w:val="000000" w:themeColor="text1"/>
      <w:sz w:val="24"/>
      <w:szCs w:val="24"/>
    </w:rPr>
  </w:style>
  <w:style w:type="paragraph" w:styleId="a5">
    <w:name w:val="annotation text"/>
    <w:basedOn w:val="a"/>
    <w:link w:val="a6"/>
    <w:uiPriority w:val="99"/>
    <w:semiHidden/>
    <w:unhideWhenUsed/>
    <w:qFormat/>
    <w:rsid w:val="00E63455"/>
    <w:pPr>
      <w:jc w:val="left"/>
    </w:pPr>
    <w:rPr>
      <w:sz w:val="24"/>
      <w:szCs w:val="24"/>
    </w:rPr>
  </w:style>
  <w:style w:type="character" w:customStyle="1" w:styleId="a6">
    <w:name w:val="批注文字 字符"/>
    <w:basedOn w:val="a0"/>
    <w:link w:val="a5"/>
    <w:uiPriority w:val="99"/>
    <w:semiHidden/>
    <w:qFormat/>
    <w:rsid w:val="00E63455"/>
    <w:rPr>
      <w:sz w:val="24"/>
      <w:szCs w:val="24"/>
    </w:rPr>
  </w:style>
  <w:style w:type="paragraph" w:styleId="6">
    <w:name w:val="index 6"/>
    <w:basedOn w:val="a"/>
    <w:next w:val="a"/>
    <w:uiPriority w:val="99"/>
    <w:unhideWhenUsed/>
    <w:qFormat/>
    <w:rsid w:val="00E63455"/>
    <w:pPr>
      <w:ind w:left="1260" w:hanging="210"/>
    </w:pPr>
  </w:style>
  <w:style w:type="paragraph" w:styleId="41">
    <w:name w:val="index 4"/>
    <w:basedOn w:val="a"/>
    <w:next w:val="a"/>
    <w:uiPriority w:val="99"/>
    <w:unhideWhenUsed/>
    <w:qFormat/>
    <w:rsid w:val="00E63455"/>
    <w:pPr>
      <w:ind w:left="840" w:hanging="210"/>
    </w:pPr>
  </w:style>
  <w:style w:type="paragraph" w:styleId="TOC5">
    <w:name w:val="toc 5"/>
    <w:basedOn w:val="a"/>
    <w:next w:val="a"/>
    <w:uiPriority w:val="39"/>
    <w:unhideWhenUsed/>
    <w:qFormat/>
    <w:rsid w:val="00E63455"/>
    <w:pPr>
      <w:ind w:left="840"/>
    </w:pPr>
  </w:style>
  <w:style w:type="paragraph" w:styleId="TOC3">
    <w:name w:val="toc 3"/>
    <w:basedOn w:val="a"/>
    <w:next w:val="a"/>
    <w:uiPriority w:val="39"/>
    <w:unhideWhenUsed/>
    <w:qFormat/>
    <w:rsid w:val="00E63455"/>
    <w:pPr>
      <w:ind w:left="420"/>
    </w:pPr>
  </w:style>
  <w:style w:type="paragraph" w:styleId="a7">
    <w:name w:val="Plain Text"/>
    <w:basedOn w:val="a"/>
    <w:link w:val="a8"/>
    <w:uiPriority w:val="99"/>
    <w:unhideWhenUsed/>
    <w:qFormat/>
    <w:rsid w:val="00E63455"/>
    <w:rPr>
      <w:rFonts w:ascii="宋体" w:eastAsia="宋体" w:hAnsi="Courier New" w:cs="Courier New"/>
      <w:kern w:val="0"/>
      <w:sz w:val="20"/>
      <w:szCs w:val="21"/>
    </w:rPr>
  </w:style>
  <w:style w:type="character" w:customStyle="1" w:styleId="a8">
    <w:name w:val="纯文本 字符"/>
    <w:basedOn w:val="a0"/>
    <w:link w:val="a7"/>
    <w:uiPriority w:val="99"/>
    <w:qFormat/>
    <w:rsid w:val="00E63455"/>
    <w:rPr>
      <w:rFonts w:ascii="宋体" w:eastAsia="宋体" w:hAnsi="Courier New" w:cs="Courier New"/>
      <w:kern w:val="0"/>
      <w:sz w:val="20"/>
      <w:szCs w:val="21"/>
    </w:rPr>
  </w:style>
  <w:style w:type="paragraph" w:styleId="TOC8">
    <w:name w:val="toc 8"/>
    <w:basedOn w:val="a"/>
    <w:next w:val="a"/>
    <w:uiPriority w:val="39"/>
    <w:unhideWhenUsed/>
    <w:qFormat/>
    <w:rsid w:val="00E63455"/>
    <w:pPr>
      <w:ind w:left="1470"/>
    </w:pPr>
  </w:style>
  <w:style w:type="paragraph" w:styleId="31">
    <w:name w:val="index 3"/>
    <w:basedOn w:val="a"/>
    <w:next w:val="a"/>
    <w:uiPriority w:val="99"/>
    <w:unhideWhenUsed/>
    <w:qFormat/>
    <w:rsid w:val="00E63455"/>
    <w:pPr>
      <w:ind w:left="630" w:hanging="210"/>
    </w:pPr>
  </w:style>
  <w:style w:type="paragraph" w:styleId="a9">
    <w:name w:val="Balloon Text"/>
    <w:basedOn w:val="a"/>
    <w:link w:val="aa"/>
    <w:uiPriority w:val="99"/>
    <w:unhideWhenUsed/>
    <w:qFormat/>
    <w:rsid w:val="00E63455"/>
    <w:rPr>
      <w:sz w:val="18"/>
      <w:szCs w:val="18"/>
    </w:rPr>
  </w:style>
  <w:style w:type="character" w:customStyle="1" w:styleId="aa">
    <w:name w:val="批注框文本 字符"/>
    <w:basedOn w:val="a0"/>
    <w:link w:val="a9"/>
    <w:uiPriority w:val="99"/>
    <w:qFormat/>
    <w:rsid w:val="00E63455"/>
    <w:rPr>
      <w:sz w:val="18"/>
      <w:szCs w:val="18"/>
    </w:rPr>
  </w:style>
  <w:style w:type="paragraph" w:styleId="ab">
    <w:name w:val="footer"/>
    <w:basedOn w:val="a"/>
    <w:link w:val="ac"/>
    <w:uiPriority w:val="99"/>
    <w:unhideWhenUsed/>
    <w:qFormat/>
    <w:rsid w:val="00E63455"/>
    <w:pPr>
      <w:tabs>
        <w:tab w:val="center" w:pos="4153"/>
        <w:tab w:val="right" w:pos="8306"/>
      </w:tabs>
      <w:snapToGrid w:val="0"/>
      <w:jc w:val="left"/>
    </w:pPr>
    <w:rPr>
      <w:rFonts w:ascii="宋体" w:eastAsia="宋体" w:hAnsi="宋体" w:cs="宋体"/>
      <w:color w:val="000000" w:themeColor="text1"/>
      <w:sz w:val="18"/>
      <w:szCs w:val="18"/>
    </w:rPr>
  </w:style>
  <w:style w:type="character" w:customStyle="1" w:styleId="ac">
    <w:name w:val="页脚 字符"/>
    <w:basedOn w:val="a0"/>
    <w:link w:val="ab"/>
    <w:uiPriority w:val="99"/>
    <w:qFormat/>
    <w:rsid w:val="00E63455"/>
    <w:rPr>
      <w:rFonts w:ascii="宋体" w:eastAsia="宋体" w:hAnsi="宋体" w:cs="宋体"/>
      <w:color w:val="000000" w:themeColor="text1"/>
      <w:sz w:val="18"/>
      <w:szCs w:val="18"/>
    </w:rPr>
  </w:style>
  <w:style w:type="paragraph" w:styleId="ad">
    <w:name w:val="header"/>
    <w:basedOn w:val="a"/>
    <w:link w:val="ae"/>
    <w:uiPriority w:val="99"/>
    <w:unhideWhenUsed/>
    <w:qFormat/>
    <w:rsid w:val="00E63455"/>
    <w:pPr>
      <w:pBdr>
        <w:bottom w:val="single" w:sz="6" w:space="1" w:color="auto"/>
      </w:pBdr>
      <w:tabs>
        <w:tab w:val="center" w:pos="4153"/>
        <w:tab w:val="right" w:pos="8306"/>
      </w:tabs>
      <w:snapToGrid w:val="0"/>
      <w:jc w:val="center"/>
    </w:pPr>
    <w:rPr>
      <w:rFonts w:ascii="宋体" w:eastAsia="宋体" w:hAnsi="宋体" w:cs="宋体"/>
      <w:color w:val="000000" w:themeColor="text1"/>
      <w:sz w:val="18"/>
      <w:szCs w:val="18"/>
    </w:rPr>
  </w:style>
  <w:style w:type="character" w:customStyle="1" w:styleId="ae">
    <w:name w:val="页眉 字符"/>
    <w:basedOn w:val="a0"/>
    <w:link w:val="ad"/>
    <w:uiPriority w:val="99"/>
    <w:qFormat/>
    <w:rsid w:val="00E63455"/>
    <w:rPr>
      <w:rFonts w:ascii="宋体" w:eastAsia="宋体" w:hAnsi="宋体" w:cs="宋体"/>
      <w:color w:val="000000" w:themeColor="text1"/>
      <w:sz w:val="18"/>
      <w:szCs w:val="18"/>
    </w:rPr>
  </w:style>
  <w:style w:type="paragraph" w:styleId="TOC1">
    <w:name w:val="toc 1"/>
    <w:basedOn w:val="a"/>
    <w:next w:val="a"/>
    <w:uiPriority w:val="39"/>
    <w:unhideWhenUsed/>
    <w:qFormat/>
    <w:rsid w:val="00E63455"/>
  </w:style>
  <w:style w:type="paragraph" w:styleId="TOC4">
    <w:name w:val="toc 4"/>
    <w:basedOn w:val="a"/>
    <w:next w:val="a"/>
    <w:uiPriority w:val="39"/>
    <w:unhideWhenUsed/>
    <w:qFormat/>
    <w:rsid w:val="00E63455"/>
    <w:pPr>
      <w:ind w:left="630"/>
    </w:pPr>
  </w:style>
  <w:style w:type="paragraph" w:styleId="11">
    <w:name w:val="index 1"/>
    <w:basedOn w:val="a"/>
    <w:next w:val="a"/>
    <w:autoRedefine/>
    <w:uiPriority w:val="99"/>
    <w:unhideWhenUsed/>
    <w:qFormat/>
    <w:rsid w:val="00E63455"/>
  </w:style>
  <w:style w:type="paragraph" w:styleId="af">
    <w:name w:val="index heading"/>
    <w:basedOn w:val="a"/>
    <w:next w:val="11"/>
    <w:uiPriority w:val="99"/>
    <w:unhideWhenUsed/>
    <w:qFormat/>
    <w:rsid w:val="00E63455"/>
  </w:style>
  <w:style w:type="paragraph" w:styleId="af0">
    <w:name w:val="footnote text"/>
    <w:basedOn w:val="a"/>
    <w:link w:val="af1"/>
    <w:semiHidden/>
    <w:qFormat/>
    <w:rsid w:val="00E63455"/>
    <w:pPr>
      <w:snapToGrid w:val="0"/>
      <w:jc w:val="left"/>
    </w:pPr>
    <w:rPr>
      <w:rFonts w:ascii="Times New Roman" w:eastAsia="宋体" w:hAnsi="Times New Roman" w:cs="Times New Roman"/>
      <w:sz w:val="18"/>
      <w:szCs w:val="18"/>
    </w:rPr>
  </w:style>
  <w:style w:type="character" w:customStyle="1" w:styleId="af1">
    <w:name w:val="脚注文本 字符"/>
    <w:basedOn w:val="a0"/>
    <w:link w:val="af0"/>
    <w:semiHidden/>
    <w:qFormat/>
    <w:rsid w:val="00E63455"/>
    <w:rPr>
      <w:rFonts w:ascii="Times New Roman" w:eastAsia="宋体" w:hAnsi="Times New Roman" w:cs="Times New Roman"/>
      <w:sz w:val="18"/>
      <w:szCs w:val="18"/>
    </w:rPr>
  </w:style>
  <w:style w:type="paragraph" w:styleId="TOC6">
    <w:name w:val="toc 6"/>
    <w:basedOn w:val="a"/>
    <w:next w:val="a"/>
    <w:uiPriority w:val="39"/>
    <w:unhideWhenUsed/>
    <w:qFormat/>
    <w:rsid w:val="00E63455"/>
    <w:pPr>
      <w:ind w:left="1050"/>
    </w:pPr>
  </w:style>
  <w:style w:type="paragraph" w:styleId="7">
    <w:name w:val="index 7"/>
    <w:basedOn w:val="a"/>
    <w:next w:val="a"/>
    <w:uiPriority w:val="99"/>
    <w:unhideWhenUsed/>
    <w:qFormat/>
    <w:rsid w:val="00E63455"/>
    <w:pPr>
      <w:ind w:left="1470" w:hanging="210"/>
    </w:pPr>
  </w:style>
  <w:style w:type="paragraph" w:styleId="9">
    <w:name w:val="index 9"/>
    <w:basedOn w:val="a"/>
    <w:next w:val="a"/>
    <w:uiPriority w:val="99"/>
    <w:unhideWhenUsed/>
    <w:qFormat/>
    <w:rsid w:val="00E63455"/>
    <w:pPr>
      <w:ind w:left="1890" w:hanging="210"/>
    </w:pPr>
  </w:style>
  <w:style w:type="paragraph" w:styleId="TOC2">
    <w:name w:val="toc 2"/>
    <w:basedOn w:val="a"/>
    <w:next w:val="a"/>
    <w:uiPriority w:val="39"/>
    <w:unhideWhenUsed/>
    <w:qFormat/>
    <w:rsid w:val="00E63455"/>
    <w:pPr>
      <w:ind w:left="210"/>
    </w:pPr>
  </w:style>
  <w:style w:type="paragraph" w:styleId="TOC9">
    <w:name w:val="toc 9"/>
    <w:basedOn w:val="a"/>
    <w:next w:val="a"/>
    <w:uiPriority w:val="39"/>
    <w:unhideWhenUsed/>
    <w:qFormat/>
    <w:rsid w:val="00E63455"/>
    <w:pPr>
      <w:ind w:left="1680"/>
    </w:pPr>
  </w:style>
  <w:style w:type="paragraph" w:styleId="HTML">
    <w:name w:val="HTML Preformatted"/>
    <w:basedOn w:val="a"/>
    <w:link w:val="HTML0"/>
    <w:uiPriority w:val="99"/>
    <w:semiHidden/>
    <w:unhideWhenUsed/>
    <w:qFormat/>
    <w:rsid w:val="00E6345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kern w:val="0"/>
      <w:sz w:val="20"/>
      <w:szCs w:val="20"/>
    </w:rPr>
  </w:style>
  <w:style w:type="character" w:customStyle="1" w:styleId="HTML0">
    <w:name w:val="HTML 预设格式 字符"/>
    <w:basedOn w:val="a0"/>
    <w:link w:val="HTML"/>
    <w:uiPriority w:val="99"/>
    <w:semiHidden/>
    <w:qFormat/>
    <w:rsid w:val="00E63455"/>
    <w:rPr>
      <w:rFonts w:ascii="Courier New" w:hAnsi="Courier New" w:cs="Courier New"/>
      <w:kern w:val="0"/>
      <w:sz w:val="20"/>
      <w:szCs w:val="20"/>
    </w:rPr>
  </w:style>
  <w:style w:type="paragraph" w:styleId="af2">
    <w:name w:val="Normal (Web)"/>
    <w:basedOn w:val="a"/>
    <w:uiPriority w:val="99"/>
    <w:unhideWhenUsed/>
    <w:qFormat/>
    <w:rsid w:val="00E63455"/>
    <w:pPr>
      <w:widowControl/>
      <w:spacing w:before="100" w:beforeAutospacing="1" w:after="100" w:afterAutospacing="1"/>
      <w:jc w:val="left"/>
    </w:pPr>
    <w:rPr>
      <w:kern w:val="0"/>
      <w:sz w:val="24"/>
      <w:szCs w:val="24"/>
    </w:rPr>
  </w:style>
  <w:style w:type="paragraph" w:styleId="21">
    <w:name w:val="index 2"/>
    <w:basedOn w:val="a"/>
    <w:next w:val="a"/>
    <w:uiPriority w:val="99"/>
    <w:unhideWhenUsed/>
    <w:qFormat/>
    <w:rsid w:val="00E63455"/>
    <w:pPr>
      <w:ind w:left="420" w:hanging="210"/>
    </w:pPr>
  </w:style>
  <w:style w:type="paragraph" w:styleId="af3">
    <w:name w:val="Title"/>
    <w:basedOn w:val="a"/>
    <w:next w:val="a"/>
    <w:link w:val="af4"/>
    <w:uiPriority w:val="10"/>
    <w:qFormat/>
    <w:rsid w:val="00E63455"/>
    <w:pPr>
      <w:spacing w:before="240" w:after="60"/>
      <w:jc w:val="center"/>
      <w:outlineLvl w:val="0"/>
    </w:pPr>
    <w:rPr>
      <w:rFonts w:asciiTheme="majorHAnsi" w:eastAsiaTheme="majorEastAsia" w:hAnsiTheme="majorHAnsi" w:cstheme="majorBidi"/>
      <w:b/>
      <w:bCs/>
      <w:color w:val="000000" w:themeColor="text1"/>
      <w:sz w:val="32"/>
      <w:szCs w:val="32"/>
    </w:rPr>
  </w:style>
  <w:style w:type="character" w:customStyle="1" w:styleId="af4">
    <w:name w:val="标题 字符"/>
    <w:basedOn w:val="a0"/>
    <w:link w:val="af3"/>
    <w:uiPriority w:val="10"/>
    <w:qFormat/>
    <w:rsid w:val="00E63455"/>
    <w:rPr>
      <w:rFonts w:asciiTheme="majorHAnsi" w:eastAsiaTheme="majorEastAsia" w:hAnsiTheme="majorHAnsi" w:cstheme="majorBidi"/>
      <w:b/>
      <w:bCs/>
      <w:color w:val="000000" w:themeColor="text1"/>
      <w:sz w:val="32"/>
      <w:szCs w:val="32"/>
    </w:rPr>
  </w:style>
  <w:style w:type="paragraph" w:styleId="af5">
    <w:name w:val="annotation subject"/>
    <w:basedOn w:val="a5"/>
    <w:next w:val="a5"/>
    <w:link w:val="af6"/>
    <w:uiPriority w:val="99"/>
    <w:semiHidden/>
    <w:unhideWhenUsed/>
    <w:qFormat/>
    <w:rsid w:val="00E63455"/>
    <w:rPr>
      <w:b/>
      <w:bCs/>
    </w:rPr>
  </w:style>
  <w:style w:type="character" w:customStyle="1" w:styleId="af6">
    <w:name w:val="批注主题 字符"/>
    <w:basedOn w:val="a6"/>
    <w:link w:val="af5"/>
    <w:uiPriority w:val="99"/>
    <w:semiHidden/>
    <w:qFormat/>
    <w:rsid w:val="00E63455"/>
    <w:rPr>
      <w:b/>
      <w:bCs/>
      <w:sz w:val="24"/>
      <w:szCs w:val="24"/>
    </w:rPr>
  </w:style>
  <w:style w:type="table" w:styleId="af7">
    <w:name w:val="Table Grid"/>
    <w:basedOn w:val="a1"/>
    <w:uiPriority w:val="59"/>
    <w:qFormat/>
    <w:rsid w:val="00E63455"/>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sid w:val="00E63455"/>
    <w:rPr>
      <w:b/>
      <w:bCs/>
    </w:rPr>
  </w:style>
  <w:style w:type="character" w:styleId="af9">
    <w:name w:val="page number"/>
    <w:basedOn w:val="a0"/>
    <w:uiPriority w:val="99"/>
    <w:unhideWhenUsed/>
    <w:qFormat/>
    <w:rsid w:val="00E63455"/>
  </w:style>
  <w:style w:type="character" w:styleId="afa">
    <w:name w:val="Emphasis"/>
    <w:basedOn w:val="a0"/>
    <w:uiPriority w:val="20"/>
    <w:qFormat/>
    <w:rsid w:val="00E63455"/>
    <w:rPr>
      <w:i/>
      <w:iCs/>
    </w:rPr>
  </w:style>
  <w:style w:type="character" w:styleId="afb">
    <w:name w:val="Hyperlink"/>
    <w:basedOn w:val="a0"/>
    <w:uiPriority w:val="99"/>
    <w:unhideWhenUsed/>
    <w:qFormat/>
    <w:rsid w:val="00E63455"/>
    <w:rPr>
      <w:color w:val="0563C1" w:themeColor="hyperlink"/>
      <w:u w:val="single"/>
    </w:rPr>
  </w:style>
  <w:style w:type="character" w:styleId="afc">
    <w:name w:val="annotation reference"/>
    <w:basedOn w:val="a0"/>
    <w:uiPriority w:val="99"/>
    <w:semiHidden/>
    <w:unhideWhenUsed/>
    <w:qFormat/>
    <w:rsid w:val="00E63455"/>
    <w:rPr>
      <w:sz w:val="21"/>
      <w:szCs w:val="21"/>
    </w:rPr>
  </w:style>
  <w:style w:type="character" w:styleId="afd">
    <w:name w:val="footnote reference"/>
    <w:basedOn w:val="a0"/>
    <w:semiHidden/>
    <w:qFormat/>
    <w:rsid w:val="00E63455"/>
    <w:rPr>
      <w:vertAlign w:val="superscript"/>
    </w:rPr>
  </w:style>
  <w:style w:type="paragraph" w:customStyle="1" w:styleId="12">
    <w:name w:val="列表段落1"/>
    <w:basedOn w:val="a"/>
    <w:uiPriority w:val="34"/>
    <w:qFormat/>
    <w:rsid w:val="00E63455"/>
    <w:pPr>
      <w:ind w:firstLineChars="200" w:firstLine="420"/>
    </w:pPr>
    <w:rPr>
      <w:rFonts w:ascii="Calibri" w:eastAsia="宋体" w:hAnsi="Calibri" w:cs="Times New Roman"/>
    </w:rPr>
  </w:style>
  <w:style w:type="table" w:customStyle="1" w:styleId="13">
    <w:name w:val="网格型1"/>
    <w:basedOn w:val="a1"/>
    <w:qFormat/>
    <w:rsid w:val="00E63455"/>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纯文本 Char"/>
    <w:basedOn w:val="a0"/>
    <w:uiPriority w:val="99"/>
    <w:semiHidden/>
    <w:qFormat/>
    <w:rsid w:val="00E63455"/>
    <w:rPr>
      <w:rFonts w:ascii="宋体" w:eastAsia="宋体" w:hAnsi="Courier New" w:cs="Courier New"/>
      <w:szCs w:val="21"/>
    </w:rPr>
  </w:style>
  <w:style w:type="table" w:customStyle="1" w:styleId="22">
    <w:name w:val="网格型2"/>
    <w:basedOn w:val="a1"/>
    <w:uiPriority w:val="39"/>
    <w:qFormat/>
    <w:rsid w:val="00E634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表格标题1"/>
    <w:basedOn w:val="a"/>
    <w:qFormat/>
    <w:rsid w:val="00E63455"/>
    <w:pPr>
      <w:tabs>
        <w:tab w:val="left" w:pos="420"/>
      </w:tabs>
      <w:spacing w:beforeLines="10" w:before="10" w:afterLines="20" w:after="20" w:line="280" w:lineRule="exact"/>
      <w:jc w:val="center"/>
    </w:pPr>
    <w:rPr>
      <w:rFonts w:ascii="宋体" w:eastAsia="汉仪中黑简" w:hAnsi="宋体" w:cs="宋体"/>
      <w:color w:val="FF0000"/>
      <w:sz w:val="20"/>
      <w:szCs w:val="21"/>
    </w:rPr>
  </w:style>
  <w:style w:type="paragraph" w:styleId="afe">
    <w:name w:val="List Paragraph"/>
    <w:basedOn w:val="a"/>
    <w:uiPriority w:val="34"/>
    <w:qFormat/>
    <w:rsid w:val="00E63455"/>
    <w:pPr>
      <w:ind w:firstLineChars="200" w:firstLine="420"/>
    </w:pPr>
  </w:style>
  <w:style w:type="table" w:customStyle="1" w:styleId="32">
    <w:name w:val="网格型3"/>
    <w:basedOn w:val="a1"/>
    <w:uiPriority w:val="59"/>
    <w:qFormat/>
    <w:rsid w:val="00E63455"/>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网格型11"/>
    <w:basedOn w:val="a1"/>
    <w:uiPriority w:val="59"/>
    <w:qFormat/>
    <w:rsid w:val="00E6345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qFormat/>
    <w:rsid w:val="00E63455"/>
  </w:style>
  <w:style w:type="table" w:customStyle="1" w:styleId="111">
    <w:name w:val="网格型111"/>
    <w:basedOn w:val="a1"/>
    <w:uiPriority w:val="59"/>
    <w:qFormat/>
    <w:rsid w:val="00E63455"/>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rsid w:val="00E63455"/>
    <w:pPr>
      <w:widowControl/>
      <w:spacing w:before="480" w:after="0" w:line="276" w:lineRule="auto"/>
      <w:jc w:val="left"/>
      <w:outlineLvl w:val="9"/>
    </w:pPr>
    <w:rPr>
      <w:rFonts w:ascii="等线 Light" w:eastAsia="等线 Light" w:hAnsi="等线 Light" w:cs="等线 Light"/>
      <w:color w:val="2F5496"/>
      <w:kern w:val="0"/>
      <w:sz w:val="28"/>
      <w:szCs w:val="28"/>
    </w:rPr>
  </w:style>
  <w:style w:type="table" w:customStyle="1" w:styleId="120">
    <w:name w:val="网格型12"/>
    <w:basedOn w:val="a1"/>
    <w:uiPriority w:val="59"/>
    <w:qFormat/>
    <w:rsid w:val="00E63455"/>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E63455"/>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E63455"/>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网格型21"/>
    <w:basedOn w:val="a1"/>
    <w:uiPriority w:val="59"/>
    <w:qFormat/>
    <w:rsid w:val="00E6345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网格型31"/>
    <w:basedOn w:val="a1"/>
    <w:uiPriority w:val="59"/>
    <w:qFormat/>
    <w:rsid w:val="00E6345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网格型4"/>
    <w:basedOn w:val="a1"/>
    <w:uiPriority w:val="59"/>
    <w:qFormat/>
    <w:rsid w:val="00E6345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0">
    <w:name w:val="网格型5"/>
    <w:basedOn w:val="a1"/>
    <w:uiPriority w:val="39"/>
    <w:qFormat/>
    <w:rsid w:val="00E6345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0">
    <w:name w:val="网格型6"/>
    <w:basedOn w:val="a1"/>
    <w:uiPriority w:val="39"/>
    <w:qFormat/>
    <w:rsid w:val="00E6345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未处理的提及1"/>
    <w:basedOn w:val="a0"/>
    <w:uiPriority w:val="99"/>
    <w:semiHidden/>
    <w:unhideWhenUsed/>
    <w:rsid w:val="00E634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575AA0-63AB-4E9E-A34D-9E4D1DD45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5</Pages>
  <Words>4222</Words>
  <Characters>4265</Characters>
  <Application>Microsoft Office Word</Application>
  <DocSecurity>0</DocSecurity>
  <Lines>157</Lines>
  <Paragraphs>148</Paragraphs>
  <ScaleCrop>false</ScaleCrop>
  <Company/>
  <LinksUpToDate>false</LinksUpToDate>
  <CharactersWithSpaces>8339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97</cp:revision>
  <dcterms:created xsi:type="dcterms:W3CDTF">2023-05-17T14:12:00Z</dcterms:created>
  <dcterms:modified xsi:type="dcterms:W3CDTF">2025-05-03T04:25:00Z</dcterms:modified>
</cp:coreProperties>
</file>