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79BDA" w14:textId="32C78883" w:rsidR="00631F6F" w:rsidRPr="00631F6F" w:rsidRDefault="00631F6F" w:rsidP="00631F6F">
      <w:pPr>
        <w:pStyle w:val="1"/>
        <w:spacing w:before="0" w:line="240" w:lineRule="auto"/>
        <w:rPr>
          <w:rFonts w:ascii="宋体" w:eastAsia="宋体" w:hAnsi="宋体" w:hint="eastAsia"/>
          <w:b/>
          <w:bCs w:val="0"/>
          <w:color w:val="auto"/>
          <w:sz w:val="21"/>
          <w:szCs w:val="21"/>
        </w:rPr>
      </w:pPr>
      <w:bookmarkStart w:id="0" w:name="_Toc126331822"/>
      <w:bookmarkStart w:id="1" w:name="_Toc64384731"/>
      <w:bookmarkStart w:id="2" w:name="_Toc4844153"/>
      <w:bookmarkStart w:id="3" w:name="_Toc510879155"/>
      <w:bookmarkStart w:id="4" w:name="_Toc126331824"/>
      <w:bookmarkStart w:id="5" w:name="_Toc126331826"/>
      <w:bookmarkStart w:id="6" w:name="_Toc4844156"/>
      <w:bookmarkStart w:id="7" w:name="_Toc64384735"/>
      <w:bookmarkStart w:id="8" w:name="_Toc126331828"/>
      <w:r w:rsidRPr="00631F6F">
        <w:rPr>
          <w:rFonts w:ascii="宋体" w:eastAsia="宋体" w:hAnsi="宋体" w:hint="eastAsia"/>
          <w:b/>
          <w:bCs w:val="0"/>
          <w:color w:val="auto"/>
          <w:sz w:val="22"/>
          <w:szCs w:val="22"/>
        </w:rPr>
        <w:t>考点5</w:t>
      </w:r>
      <w:r w:rsidR="001D46C2">
        <w:rPr>
          <w:rFonts w:ascii="宋体" w:eastAsia="宋体" w:hAnsi="宋体" w:hint="eastAsia"/>
          <w:b/>
          <w:bCs w:val="0"/>
          <w:color w:val="auto"/>
          <w:sz w:val="22"/>
          <w:szCs w:val="22"/>
        </w:rPr>
        <w:t>1</w:t>
      </w:r>
      <w:r w:rsidRPr="00631F6F">
        <w:rPr>
          <w:rFonts w:ascii="宋体" w:eastAsia="宋体" w:hAnsi="宋体" w:hint="eastAsia"/>
          <w:b/>
          <w:bCs w:val="0"/>
          <w:color w:val="auto"/>
          <w:sz w:val="22"/>
          <w:szCs w:val="22"/>
        </w:rPr>
        <w:t xml:space="preserve"> 剩余内容</w:t>
      </w:r>
      <w:r w:rsidRPr="00631F6F">
        <w:rPr>
          <w:rFonts w:ascii="宋体" w:eastAsia="宋体" w:hAnsi="宋体" w:hint="eastAsia"/>
          <w:b/>
          <w:bCs w:val="0"/>
          <w:color w:val="auto"/>
          <w:sz w:val="21"/>
          <w:szCs w:val="21"/>
        </w:rPr>
        <w:t>（</w:t>
      </w:r>
      <w:r w:rsidR="00CF1E45">
        <w:rPr>
          <w:rFonts w:ascii="宋体" w:eastAsia="宋体" w:hAnsi="宋体" w:hint="eastAsia"/>
          <w:b/>
          <w:bCs w:val="0"/>
          <w:color w:val="auto"/>
          <w:sz w:val="21"/>
          <w:szCs w:val="21"/>
        </w:rPr>
        <w:t>19</w:t>
      </w:r>
      <w:r w:rsidRPr="00631F6F">
        <w:rPr>
          <w:rFonts w:ascii="宋体" w:eastAsia="宋体" w:hAnsi="宋体"/>
          <w:b/>
          <w:bCs w:val="0"/>
          <w:color w:val="auto"/>
          <w:sz w:val="21"/>
          <w:szCs w:val="21"/>
        </w:rPr>
        <w:t>:</w:t>
      </w:r>
      <w:r w:rsidR="00CF1E45">
        <w:rPr>
          <w:rFonts w:ascii="宋体" w:eastAsia="宋体" w:hAnsi="宋体" w:hint="eastAsia"/>
          <w:b/>
          <w:bCs w:val="0"/>
          <w:color w:val="auto"/>
          <w:sz w:val="21"/>
          <w:szCs w:val="21"/>
        </w:rPr>
        <w:t>30</w:t>
      </w:r>
      <w:r w:rsidRPr="00631F6F">
        <w:rPr>
          <w:rFonts w:ascii="宋体" w:eastAsia="宋体" w:hAnsi="宋体"/>
          <w:b/>
          <w:bCs w:val="0"/>
          <w:color w:val="auto"/>
          <w:sz w:val="21"/>
          <w:szCs w:val="21"/>
        </w:rPr>
        <w:t>:00-</w:t>
      </w:r>
      <w:r w:rsidR="007916D5">
        <w:rPr>
          <w:rFonts w:ascii="宋体" w:eastAsia="宋体" w:hAnsi="宋体" w:hint="eastAsia"/>
          <w:b/>
          <w:bCs w:val="0"/>
          <w:color w:val="auto"/>
          <w:sz w:val="21"/>
          <w:szCs w:val="21"/>
        </w:rPr>
        <w:t>19</w:t>
      </w:r>
      <w:r w:rsidRPr="00631F6F">
        <w:rPr>
          <w:rFonts w:ascii="宋体" w:eastAsia="宋体" w:hAnsi="宋体"/>
          <w:b/>
          <w:bCs w:val="0"/>
          <w:color w:val="auto"/>
          <w:sz w:val="21"/>
          <w:szCs w:val="21"/>
        </w:rPr>
        <w:t>:</w:t>
      </w:r>
      <w:r w:rsidR="007916D5">
        <w:rPr>
          <w:rFonts w:ascii="宋体" w:eastAsia="宋体" w:hAnsi="宋体" w:hint="eastAsia"/>
          <w:b/>
          <w:bCs w:val="0"/>
          <w:color w:val="auto"/>
          <w:sz w:val="21"/>
          <w:szCs w:val="21"/>
        </w:rPr>
        <w:t>51</w:t>
      </w:r>
      <w:r w:rsidRPr="00631F6F">
        <w:rPr>
          <w:rFonts w:ascii="宋体" w:eastAsia="宋体" w:hAnsi="宋体"/>
          <w:b/>
          <w:bCs w:val="0"/>
          <w:color w:val="auto"/>
          <w:sz w:val="21"/>
          <w:szCs w:val="21"/>
        </w:rPr>
        <w:t>:00）</w:t>
      </w:r>
    </w:p>
    <w:p w14:paraId="2A2D62E2" w14:textId="77777777" w:rsidR="00631F6F" w:rsidRPr="009D40E2" w:rsidRDefault="00631F6F" w:rsidP="00631F6F">
      <w:pPr>
        <w:pStyle w:val="3"/>
        <w:spacing w:line="240" w:lineRule="auto"/>
        <w:ind w:firstLineChars="200" w:firstLine="422"/>
        <w:rPr>
          <w:rFonts w:eastAsia="宋体" w:hint="eastAsia"/>
          <w:b/>
          <w:bCs/>
          <w:color w:val="FF0000"/>
          <w:sz w:val="21"/>
        </w:rPr>
      </w:pPr>
      <w:r w:rsidRPr="009D40E2">
        <w:rPr>
          <w:rFonts w:eastAsia="宋体" w:hint="eastAsia"/>
          <w:b/>
          <w:bCs/>
          <w:color w:val="FF0000"/>
          <w:sz w:val="21"/>
        </w:rPr>
        <w:t>二、二审案件开庭审理的范围</w:t>
      </w:r>
    </w:p>
    <w:p w14:paraId="2A3732EC" w14:textId="77777777" w:rsidR="00631F6F" w:rsidRDefault="00631F6F" w:rsidP="00631F6F">
      <w:pPr>
        <w:spacing w:line="240" w:lineRule="auto"/>
        <w:ind w:firstLine="420"/>
        <w:rPr>
          <w:rFonts w:eastAsia="宋体" w:hint="eastAsia"/>
        </w:rPr>
      </w:pPr>
      <w:r>
        <w:rPr>
          <w:rFonts w:eastAsia="宋体" w:hint="eastAsia"/>
        </w:rPr>
        <w:t>（1）</w:t>
      </w:r>
      <w:r w:rsidRPr="006F1F16">
        <w:rPr>
          <w:rFonts w:eastAsia="宋体" w:hint="eastAsia"/>
        </w:rPr>
        <w:t>被告人、自诉人及其法定代理人对第一审认定的事实、证据提出异议，可能影响定罪量刑的上诉案件</w:t>
      </w:r>
      <w:r>
        <w:rPr>
          <w:rFonts w:eastAsia="宋体" w:hint="eastAsia"/>
        </w:rPr>
        <w:t>（2）</w:t>
      </w:r>
      <w:r w:rsidRPr="006F1F16">
        <w:rPr>
          <w:rFonts w:eastAsia="宋体" w:hint="eastAsia"/>
        </w:rPr>
        <w:t>被告人被判处死刑（包括死缓）的上诉案件（含被判处死刑立即执行的被告人没有上诉，同案其他被告人上诉的案件）</w:t>
      </w:r>
      <w:r>
        <w:rPr>
          <w:rFonts w:eastAsia="宋体" w:hint="eastAsia"/>
        </w:rPr>
        <w:t>（3）</w:t>
      </w:r>
      <w:r w:rsidRPr="006F1F16">
        <w:rPr>
          <w:rFonts w:eastAsia="宋体" w:hint="eastAsia"/>
        </w:rPr>
        <w:t>人民检察院抗诉的案件</w:t>
      </w:r>
      <w:bookmarkStart w:id="9" w:name="_Toc510879136"/>
      <w:bookmarkEnd w:id="9"/>
    </w:p>
    <w:p w14:paraId="22A951C4" w14:textId="77777777" w:rsidR="00631F6F" w:rsidRPr="00C1391E" w:rsidRDefault="00631F6F" w:rsidP="00631F6F">
      <w:pPr>
        <w:spacing w:line="240" w:lineRule="auto"/>
        <w:ind w:firstLine="420"/>
        <w:rPr>
          <w:rFonts w:eastAsia="宋体" w:hint="eastAsia"/>
        </w:rPr>
      </w:pPr>
      <w:r w:rsidRPr="00C1391E">
        <w:rPr>
          <w:rFonts w:eastAsia="宋体" w:hint="eastAsia"/>
        </w:rPr>
        <w:t>三、二审案件开庭审理的方式和程序</w:t>
      </w:r>
    </w:p>
    <w:p w14:paraId="54B2915C" w14:textId="77777777" w:rsidR="00631F6F" w:rsidRPr="00C1391E" w:rsidRDefault="00631F6F" w:rsidP="00631F6F">
      <w:pPr>
        <w:pStyle w:val="4"/>
        <w:spacing w:line="240" w:lineRule="auto"/>
        <w:ind w:firstLineChars="120" w:firstLine="252"/>
        <w:rPr>
          <w:rFonts w:ascii="宋体" w:eastAsia="宋体" w:hAnsi="宋体" w:hint="eastAsia"/>
          <w:sz w:val="21"/>
          <w:szCs w:val="21"/>
        </w:rPr>
      </w:pPr>
      <w:r w:rsidRPr="00C1391E">
        <w:rPr>
          <w:rFonts w:ascii="宋体" w:eastAsia="宋体" w:hAnsi="宋体" w:hint="eastAsia"/>
          <w:sz w:val="21"/>
          <w:szCs w:val="21"/>
        </w:rPr>
        <w:t>（一）地点</w:t>
      </w:r>
      <w:r w:rsidRPr="00C1391E">
        <w:rPr>
          <w:rFonts w:eastAsia="宋体" w:hint="eastAsia"/>
          <w:sz w:val="21"/>
          <w:szCs w:val="21"/>
        </w:rPr>
        <w:t>可以到</w:t>
      </w:r>
      <w:r w:rsidRPr="00752C68">
        <w:rPr>
          <w:rFonts w:eastAsia="宋体" w:hint="eastAsia"/>
          <w:color w:val="auto"/>
          <w:sz w:val="21"/>
          <w:szCs w:val="21"/>
        </w:rPr>
        <w:t>案件发生地或者原审人民法院所在地进行</w:t>
      </w:r>
      <w:r w:rsidRPr="00C1391E">
        <w:rPr>
          <w:rFonts w:eastAsia="宋体" w:hint="eastAsia"/>
          <w:sz w:val="21"/>
          <w:szCs w:val="21"/>
        </w:rPr>
        <w:t>。</w:t>
      </w:r>
    </w:p>
    <w:p w14:paraId="617F695C" w14:textId="77777777" w:rsidR="00631F6F" w:rsidRPr="00C1391E" w:rsidRDefault="00631F6F" w:rsidP="00631F6F">
      <w:pPr>
        <w:pStyle w:val="4"/>
        <w:spacing w:line="240" w:lineRule="auto"/>
        <w:ind w:firstLineChars="120" w:firstLine="252"/>
        <w:rPr>
          <w:rFonts w:ascii="宋体" w:eastAsia="宋体" w:hAnsi="宋体" w:hint="eastAsia"/>
          <w:sz w:val="21"/>
          <w:szCs w:val="21"/>
        </w:rPr>
      </w:pPr>
      <w:r w:rsidRPr="00C1391E">
        <w:rPr>
          <w:rFonts w:ascii="宋体" w:eastAsia="宋体" w:hAnsi="宋体" w:hint="eastAsia"/>
          <w:sz w:val="21"/>
          <w:szCs w:val="21"/>
        </w:rPr>
        <w:t>（二）审理程序</w:t>
      </w:r>
    </w:p>
    <w:p w14:paraId="6FF9E0AF" w14:textId="77777777" w:rsidR="00631F6F" w:rsidRPr="00752C68" w:rsidRDefault="00631F6F" w:rsidP="00631F6F">
      <w:pPr>
        <w:pStyle w:val="a3"/>
        <w:spacing w:line="240" w:lineRule="auto"/>
        <w:ind w:firstLine="420"/>
        <w:rPr>
          <w:rFonts w:eastAsia="宋体" w:hAnsi="宋体" w:cs="宋体" w:hint="eastAsia"/>
          <w:b/>
          <w:bCs/>
          <w:sz w:val="21"/>
        </w:rPr>
      </w:pPr>
      <w:r w:rsidRPr="00C1391E">
        <w:rPr>
          <w:rFonts w:eastAsia="宋体" w:hAnsi="宋体"/>
          <w:sz w:val="21"/>
        </w:rPr>
        <w:t>开庭审理上诉、抗诉案件，除参照适用第一审程序的有关规定外，</w:t>
      </w:r>
      <w:r w:rsidRPr="00752C68">
        <w:rPr>
          <w:rFonts w:eastAsia="宋体" w:hAnsi="宋体" w:cs="宋体" w:hint="eastAsia"/>
          <w:b/>
          <w:bCs/>
          <w:color w:val="FF0000"/>
          <w:sz w:val="21"/>
        </w:rPr>
        <w:t>上诉案件上诉方优先；抗诉案件和既有上诉又有抗诉的案件，抗诉方优先</w:t>
      </w:r>
      <w:r w:rsidRPr="00752C68">
        <w:rPr>
          <w:rFonts w:eastAsia="宋体" w:hAnsi="宋体" w:cs="宋体" w:hint="eastAsia"/>
          <w:b/>
          <w:bCs/>
          <w:sz w:val="21"/>
        </w:rPr>
        <w:t>。</w:t>
      </w:r>
    </w:p>
    <w:p w14:paraId="602D99DA" w14:textId="77777777" w:rsidR="00631F6F" w:rsidRPr="00C1391E" w:rsidRDefault="00631F6F" w:rsidP="00631F6F">
      <w:pPr>
        <w:pStyle w:val="a3"/>
        <w:spacing w:line="240" w:lineRule="auto"/>
        <w:ind w:firstLine="420"/>
        <w:rPr>
          <w:rFonts w:eastAsia="宋体" w:hAnsi="宋体" w:cs="宋体" w:hint="eastAsia"/>
          <w:sz w:val="21"/>
        </w:rPr>
      </w:pPr>
      <w:bookmarkStart w:id="10" w:name="_Toc510879137"/>
      <w:r w:rsidRPr="00C1391E">
        <w:rPr>
          <w:rFonts w:eastAsia="宋体" w:hint="eastAsia"/>
          <w:sz w:val="21"/>
        </w:rPr>
        <w:t>四、二审案件不开庭审理的方式和程序</w:t>
      </w:r>
      <w:bookmarkEnd w:id="10"/>
    </w:p>
    <w:p w14:paraId="507418D6" w14:textId="77777777" w:rsidR="00631F6F" w:rsidRPr="00C1391E" w:rsidRDefault="00631F6F" w:rsidP="00631F6F">
      <w:pPr>
        <w:spacing w:line="240" w:lineRule="auto"/>
        <w:ind w:firstLine="420"/>
        <w:rPr>
          <w:rFonts w:eastAsia="宋体" w:hint="eastAsia"/>
          <w:color w:val="FF0000"/>
        </w:rPr>
      </w:pPr>
      <w:r w:rsidRPr="00C1391E">
        <w:rPr>
          <w:rFonts w:eastAsia="宋体" w:hint="eastAsia"/>
        </w:rPr>
        <w:t>第二审案件依法不开庭审理的，</w:t>
      </w:r>
      <w:r w:rsidRPr="00752C68">
        <w:rPr>
          <w:rFonts w:eastAsia="宋体" w:hint="eastAsia"/>
          <w:b/>
          <w:bCs/>
          <w:color w:val="FF0000"/>
        </w:rPr>
        <w:t>应当讯问被告人，听取其他当事人、辩护人、诉讼代理人的意见。合议庭全体成员应当阅卷，必要时应当提交书面阅卷意见。</w:t>
      </w:r>
    </w:p>
    <w:p w14:paraId="10E99F04" w14:textId="77777777" w:rsidR="00631F6F" w:rsidRPr="00030C16" w:rsidRDefault="00631F6F" w:rsidP="00631F6F">
      <w:pPr>
        <w:pStyle w:val="a3"/>
        <w:spacing w:line="240" w:lineRule="auto"/>
        <w:ind w:firstLine="420"/>
        <w:rPr>
          <w:rFonts w:eastAsia="宋体" w:hAnsi="宋体" w:cs="宋体" w:hint="eastAsia"/>
          <w:sz w:val="21"/>
        </w:rPr>
      </w:pPr>
      <w:bookmarkStart w:id="11" w:name="_Toc510879138"/>
      <w:r w:rsidRPr="00C1391E">
        <w:rPr>
          <w:rFonts w:eastAsia="宋体" w:hint="eastAsia"/>
          <w:sz w:val="21"/>
        </w:rPr>
        <w:t>五、二审程序中的委托</w:t>
      </w:r>
      <w:r w:rsidRPr="00A13FFD">
        <w:rPr>
          <w:rFonts w:eastAsia="宋体" w:hint="eastAsia"/>
          <w:sz w:val="21"/>
        </w:rPr>
        <w:t>辩护</w:t>
      </w:r>
      <w:bookmarkEnd w:id="11"/>
    </w:p>
    <w:p w14:paraId="6D8604B0" w14:textId="77777777" w:rsidR="00631F6F" w:rsidRPr="00BD158A" w:rsidRDefault="00631F6F" w:rsidP="00631F6F">
      <w:pPr>
        <w:pStyle w:val="a3"/>
        <w:spacing w:line="240" w:lineRule="auto"/>
        <w:ind w:firstLine="420"/>
        <w:rPr>
          <w:rFonts w:eastAsia="宋体" w:hAnsi="宋体" w:hint="eastAsia"/>
          <w:b/>
          <w:bCs/>
          <w:sz w:val="21"/>
        </w:rPr>
      </w:pPr>
      <w:r w:rsidRPr="00752C68">
        <w:rPr>
          <w:rFonts w:eastAsia="宋体" w:hAnsi="宋体"/>
          <w:color w:val="auto"/>
          <w:sz w:val="21"/>
        </w:rPr>
        <w:t>二审期间被告人除自行辩护外，还可以继续委托第一审辩护人或者另行委托辩护人辩护。</w:t>
      </w:r>
      <w:r w:rsidRPr="00A13FFD">
        <w:rPr>
          <w:rFonts w:eastAsia="宋体" w:hAnsi="宋体"/>
          <w:sz w:val="21"/>
        </w:rPr>
        <w:t>共同犯罪案件，只有部分被告人提出上诉，或者自诉人只对部分被告人的判决提出上诉，或者人民检察院只对部分被告人的判决提出抗诉的，</w:t>
      </w:r>
      <w:r w:rsidRPr="00BD158A">
        <w:rPr>
          <w:rFonts w:eastAsia="宋体" w:hAnsi="宋体"/>
          <w:b/>
          <w:bCs/>
          <w:color w:val="FF0000"/>
          <w:sz w:val="21"/>
        </w:rPr>
        <w:t>其他同案被告人也可以委托辩护人辩护</w:t>
      </w:r>
      <w:r w:rsidRPr="00BD158A">
        <w:rPr>
          <w:rFonts w:eastAsia="宋体" w:hAnsi="宋体"/>
          <w:b/>
          <w:bCs/>
          <w:sz w:val="21"/>
        </w:rPr>
        <w:t>。</w:t>
      </w:r>
    </w:p>
    <w:p w14:paraId="496EC288" w14:textId="3A4835B5" w:rsidR="00631F6F" w:rsidRPr="00325EE9" w:rsidRDefault="00631F6F" w:rsidP="00631F6F">
      <w:pPr>
        <w:pStyle w:val="1"/>
        <w:spacing w:before="0" w:line="240" w:lineRule="auto"/>
        <w:rPr>
          <w:rFonts w:ascii="宋体" w:eastAsia="宋体" w:hAnsi="宋体" w:hint="eastAsia"/>
          <w:b/>
          <w:bCs w:val="0"/>
          <w:color w:val="FF0000"/>
          <w:sz w:val="22"/>
          <w:szCs w:val="22"/>
        </w:rPr>
      </w:pPr>
      <w:r w:rsidRPr="00325EE9">
        <w:rPr>
          <w:rFonts w:ascii="宋体" w:eastAsia="宋体" w:hAnsi="宋体" w:hint="eastAsia"/>
          <w:b/>
          <w:bCs w:val="0"/>
          <w:color w:val="FF0000"/>
          <w:sz w:val="22"/>
          <w:szCs w:val="22"/>
        </w:rPr>
        <w:t>考点</w:t>
      </w:r>
      <w:r>
        <w:rPr>
          <w:rFonts w:ascii="宋体" w:eastAsia="宋体" w:hAnsi="宋体" w:hint="eastAsia"/>
          <w:b/>
          <w:bCs w:val="0"/>
          <w:color w:val="FF0000"/>
          <w:sz w:val="22"/>
          <w:szCs w:val="22"/>
        </w:rPr>
        <w:t>52</w:t>
      </w:r>
      <w:r w:rsidRPr="00325EE9">
        <w:rPr>
          <w:rFonts w:ascii="宋体" w:eastAsia="宋体" w:hAnsi="宋体" w:hint="eastAsia"/>
          <w:b/>
          <w:bCs w:val="0"/>
          <w:color w:val="FF0000"/>
          <w:sz w:val="22"/>
          <w:szCs w:val="22"/>
        </w:rPr>
        <w:t xml:space="preserve">  对上诉、抗诉案件审理后的处理（</w:t>
      </w:r>
      <w:r w:rsidR="007916D5">
        <w:rPr>
          <w:rFonts w:ascii="宋体" w:eastAsia="宋体" w:hAnsi="宋体" w:hint="eastAsia"/>
          <w:b/>
          <w:bCs w:val="0"/>
          <w:color w:val="FF0000"/>
          <w:sz w:val="22"/>
          <w:szCs w:val="22"/>
        </w:rPr>
        <w:t>19</w:t>
      </w:r>
      <w:r w:rsidRPr="00325EE9">
        <w:rPr>
          <w:rFonts w:ascii="宋体" w:eastAsia="宋体" w:hAnsi="宋体"/>
          <w:b/>
          <w:bCs w:val="0"/>
          <w:color w:val="FF0000"/>
          <w:sz w:val="22"/>
          <w:szCs w:val="22"/>
        </w:rPr>
        <w:t>:</w:t>
      </w:r>
      <w:r w:rsidR="007916D5">
        <w:rPr>
          <w:rFonts w:ascii="宋体" w:eastAsia="宋体" w:hAnsi="宋体" w:hint="eastAsia"/>
          <w:b/>
          <w:bCs w:val="0"/>
          <w:color w:val="FF0000"/>
          <w:sz w:val="22"/>
          <w:szCs w:val="22"/>
        </w:rPr>
        <w:t>51</w:t>
      </w:r>
      <w:r w:rsidRPr="00325EE9">
        <w:rPr>
          <w:rFonts w:ascii="宋体" w:eastAsia="宋体" w:hAnsi="宋体"/>
          <w:b/>
          <w:bCs w:val="0"/>
          <w:color w:val="FF0000"/>
          <w:sz w:val="22"/>
          <w:szCs w:val="22"/>
        </w:rPr>
        <w:t>:00-</w:t>
      </w:r>
      <w:r>
        <w:rPr>
          <w:rFonts w:ascii="宋体" w:eastAsia="宋体" w:hAnsi="宋体" w:hint="eastAsia"/>
          <w:b/>
          <w:bCs w:val="0"/>
          <w:color w:val="FF0000"/>
          <w:sz w:val="22"/>
          <w:szCs w:val="22"/>
        </w:rPr>
        <w:t>20</w:t>
      </w:r>
      <w:r w:rsidRPr="00325EE9">
        <w:rPr>
          <w:rFonts w:ascii="宋体" w:eastAsia="宋体" w:hAnsi="宋体"/>
          <w:b/>
          <w:bCs w:val="0"/>
          <w:color w:val="FF0000"/>
          <w:sz w:val="22"/>
          <w:szCs w:val="22"/>
        </w:rPr>
        <w:t>:</w:t>
      </w:r>
      <w:r w:rsidR="00DC7D8E">
        <w:rPr>
          <w:rFonts w:ascii="宋体" w:eastAsia="宋体" w:hAnsi="宋体" w:hint="eastAsia"/>
          <w:b/>
          <w:bCs w:val="0"/>
          <w:color w:val="FF0000"/>
          <w:sz w:val="22"/>
          <w:szCs w:val="22"/>
        </w:rPr>
        <w:t>29</w:t>
      </w:r>
      <w:r w:rsidRPr="00325EE9">
        <w:rPr>
          <w:rFonts w:ascii="宋体" w:eastAsia="宋体" w:hAnsi="宋体"/>
          <w:b/>
          <w:bCs w:val="0"/>
          <w:color w:val="FF0000"/>
          <w:sz w:val="22"/>
          <w:szCs w:val="22"/>
        </w:rPr>
        <w:t>:00）</w:t>
      </w:r>
    </w:p>
    <w:p w14:paraId="3929B924" w14:textId="77777777" w:rsidR="00631F6F" w:rsidRPr="00A13FFD" w:rsidRDefault="00631F6F" w:rsidP="00631F6F">
      <w:pPr>
        <w:pStyle w:val="3"/>
        <w:spacing w:line="240" w:lineRule="auto"/>
        <w:ind w:firstLineChars="200" w:firstLine="420"/>
        <w:rPr>
          <w:rFonts w:eastAsia="宋体" w:hint="eastAsia"/>
          <w:sz w:val="21"/>
        </w:rPr>
      </w:pPr>
      <w:r w:rsidRPr="00A13FFD">
        <w:rPr>
          <w:rFonts w:eastAsia="宋体" w:hint="eastAsia"/>
          <w:sz w:val="21"/>
        </w:rPr>
        <w:t>一、</w:t>
      </w:r>
      <w:r w:rsidRPr="00A13FFD">
        <w:rPr>
          <w:rFonts w:eastAsia="宋体"/>
          <w:sz w:val="21"/>
        </w:rPr>
        <w:t>对上诉</w:t>
      </w:r>
      <w:r w:rsidRPr="00A13FFD">
        <w:rPr>
          <w:rFonts w:eastAsia="宋体" w:hint="eastAsia"/>
          <w:sz w:val="21"/>
        </w:rPr>
        <w:t>、</w:t>
      </w:r>
      <w:r w:rsidRPr="00A13FFD">
        <w:rPr>
          <w:rFonts w:eastAsia="宋体"/>
          <w:sz w:val="21"/>
        </w:rPr>
        <w:t>抗诉案件审理后的处理</w:t>
      </w:r>
    </w:p>
    <w:p w14:paraId="10B07CD6" w14:textId="77777777" w:rsidR="00631F6F" w:rsidRPr="00E42333" w:rsidRDefault="00631F6F" w:rsidP="00631F6F">
      <w:pPr>
        <w:spacing w:line="240" w:lineRule="auto"/>
        <w:ind w:firstLine="420"/>
        <w:rPr>
          <w:rFonts w:eastAsia="宋体" w:hint="eastAsia"/>
          <w:color w:val="auto"/>
        </w:rPr>
      </w:pPr>
      <w:r w:rsidRPr="00A13FFD">
        <w:rPr>
          <w:rFonts w:eastAsia="宋体" w:hint="eastAsia"/>
        </w:rPr>
        <w:t>事实不清楚或证据不足</w:t>
      </w:r>
      <w:r w:rsidRPr="00030C16">
        <w:rPr>
          <w:rFonts w:eastAsia="宋体" w:hint="eastAsia"/>
        </w:rPr>
        <w:t>既可以在查清事实后改判，也可以裁定撤销原判发回重审。</w:t>
      </w:r>
      <w:r w:rsidRPr="00DA4A43">
        <w:rPr>
          <w:rFonts w:eastAsia="宋体" w:hint="eastAsia"/>
          <w:color w:val="FF0000"/>
        </w:rPr>
        <w:t>新增，要注意：</w:t>
      </w:r>
      <w:r w:rsidRPr="00E42333">
        <w:rPr>
          <w:rFonts w:eastAsia="宋体" w:hint="eastAsia"/>
          <w:color w:val="auto"/>
        </w:rPr>
        <w:t>有多名被告人的案件，部分被告人的犯罪事实不清、证据不足或者有新的犯罪事实需要追诉，且有关犯罪与其他同案被告人没有关联的，第二审人民法院根据案件情况，可以对该部分被告人分案处理，将该部分被告人发回原审人民法院重新审判。原审人民法院重新作出判决后，被告人上诉或者人民检察院抗诉，其他被告人的案件尚未作出第二审判决、裁定的，第二审人民法院可以并案审理</w:t>
      </w:r>
    </w:p>
    <w:p w14:paraId="5DB1E0A7" w14:textId="77777777" w:rsidR="00631F6F" w:rsidRDefault="00631F6F" w:rsidP="00631F6F">
      <w:pPr>
        <w:spacing w:line="240" w:lineRule="auto"/>
        <w:ind w:firstLine="422"/>
        <w:rPr>
          <w:rFonts w:eastAsia="宋体" w:hint="eastAsia"/>
        </w:rPr>
      </w:pPr>
      <w:r w:rsidRPr="009E2443">
        <w:rPr>
          <w:rFonts w:eastAsia="宋体" w:hint="eastAsia"/>
          <w:b/>
          <w:bCs/>
          <w:color w:val="FF0000"/>
        </w:rPr>
        <w:t>裁定撤销原判，发回原审人民法院重新审判</w:t>
      </w:r>
      <w:r>
        <w:rPr>
          <w:rFonts w:eastAsia="宋体" w:hint="eastAsia"/>
          <w:b/>
          <w:bCs/>
          <w:color w:val="FF0000"/>
        </w:rPr>
        <w:t>：</w:t>
      </w:r>
      <w:r w:rsidRPr="00E42333">
        <w:rPr>
          <w:rFonts w:eastAsia="宋体" w:hint="eastAsia"/>
          <w:color w:val="auto"/>
        </w:rPr>
        <w:t>（1）违反公开审判的规定（2）违反回避制度的（3）剥夺或限制当事人的法定诉讼权利，可能影响公正审判（4）审判组织的组成不合法（5）其他违反法定诉讼程序可能影响公正审判</w:t>
      </w:r>
      <w:bookmarkStart w:id="12" w:name="_Toc510879141"/>
    </w:p>
    <w:p w14:paraId="0C044861" w14:textId="77777777" w:rsidR="00631F6F" w:rsidRPr="00A13FFD" w:rsidRDefault="00631F6F" w:rsidP="00631F6F">
      <w:pPr>
        <w:spacing w:line="240" w:lineRule="auto"/>
        <w:ind w:firstLine="420"/>
        <w:rPr>
          <w:rFonts w:eastAsia="宋体" w:hint="eastAsia"/>
        </w:rPr>
      </w:pPr>
      <w:r w:rsidRPr="00A13FFD">
        <w:rPr>
          <w:rFonts w:eastAsia="宋体" w:hint="eastAsia"/>
        </w:rPr>
        <w:t>二、</w:t>
      </w:r>
      <w:r w:rsidRPr="00A13FFD">
        <w:rPr>
          <w:rFonts w:eastAsia="宋体"/>
        </w:rPr>
        <w:t>对</w:t>
      </w:r>
      <w:r w:rsidRPr="00A13FFD">
        <w:rPr>
          <w:rFonts w:eastAsia="宋体" w:hint="eastAsia"/>
        </w:rPr>
        <w:t>发回</w:t>
      </w:r>
      <w:r w:rsidRPr="00A13FFD">
        <w:rPr>
          <w:rFonts w:eastAsia="宋体"/>
        </w:rPr>
        <w:t>重审的案件的处理</w:t>
      </w:r>
      <w:bookmarkEnd w:id="12"/>
    </w:p>
    <w:p w14:paraId="1B595F52" w14:textId="77777777" w:rsidR="00631F6F" w:rsidRPr="004D585F" w:rsidRDefault="00631F6F" w:rsidP="00631F6F">
      <w:pPr>
        <w:spacing w:line="240" w:lineRule="auto"/>
        <w:ind w:firstLine="420"/>
        <w:rPr>
          <w:rFonts w:eastAsia="宋体" w:hint="eastAsia"/>
          <w:color w:val="auto"/>
        </w:rPr>
      </w:pPr>
      <w:r w:rsidRPr="00C337A9">
        <w:rPr>
          <w:rFonts w:eastAsia="宋体" w:hint="eastAsia"/>
        </w:rPr>
        <w:t>因原判决事实不清、证据不足发回重审</w:t>
      </w:r>
      <w:r>
        <w:rPr>
          <w:rFonts w:eastAsia="宋体" w:hint="eastAsia"/>
        </w:rPr>
        <w:t>以及</w:t>
      </w:r>
      <w:r w:rsidRPr="00C337A9">
        <w:rPr>
          <w:rFonts w:eastAsia="宋体" w:hint="eastAsia"/>
        </w:rPr>
        <w:t>因原一审程序违反法定程序发回重审</w:t>
      </w:r>
      <w:r>
        <w:rPr>
          <w:rFonts w:eastAsia="宋体" w:hint="eastAsia"/>
        </w:rPr>
        <w:t>，应</w:t>
      </w:r>
      <w:r w:rsidRPr="00A13FFD">
        <w:rPr>
          <w:rFonts w:eastAsia="宋体" w:hint="eastAsia"/>
        </w:rPr>
        <w:t>另行组成合议庭，依照第一审程序进行审判</w:t>
      </w:r>
      <w:r>
        <w:rPr>
          <w:rFonts w:eastAsia="宋体" w:hint="eastAsia"/>
        </w:rPr>
        <w:t>。</w:t>
      </w:r>
      <w:r w:rsidRPr="004F45D1">
        <w:rPr>
          <w:rFonts w:eastAsia="宋体" w:hint="eastAsia"/>
          <w:color w:val="FF0000"/>
        </w:rPr>
        <w:t>（</w:t>
      </w:r>
      <w:r w:rsidRPr="004D585F">
        <w:rPr>
          <w:rFonts w:eastAsia="宋体" w:hint="eastAsia"/>
          <w:color w:val="FF0000"/>
        </w:rPr>
        <w:t>不需要另行组合合议庭的情形：</w:t>
      </w:r>
      <w:r w:rsidRPr="004D585F">
        <w:rPr>
          <w:rFonts w:eastAsia="宋体" w:hint="eastAsia"/>
          <w:color w:val="auto"/>
        </w:rPr>
        <w:t>（1）</w:t>
      </w:r>
      <w:r w:rsidRPr="004D585F">
        <w:rPr>
          <w:rFonts w:eastAsia="宋体"/>
          <w:color w:val="auto"/>
        </w:rPr>
        <w:t>第一审人民法院作出裁判后又进入第二审程序</w:t>
      </w:r>
      <w:r w:rsidRPr="004D585F">
        <w:rPr>
          <w:rFonts w:eastAsia="宋体" w:hint="eastAsia"/>
          <w:color w:val="auto"/>
        </w:rPr>
        <w:t>（</w:t>
      </w:r>
      <w:r w:rsidRPr="004D585F">
        <w:rPr>
          <w:rFonts w:eastAsia="宋体"/>
          <w:color w:val="auto"/>
        </w:rPr>
        <w:t>2</w:t>
      </w:r>
      <w:r w:rsidRPr="004D585F">
        <w:rPr>
          <w:rFonts w:eastAsia="宋体" w:hint="eastAsia"/>
          <w:color w:val="auto"/>
        </w:rPr>
        <w:t>）</w:t>
      </w:r>
      <w:r w:rsidRPr="004D585F">
        <w:rPr>
          <w:rFonts w:eastAsia="宋体"/>
          <w:color w:val="auto"/>
        </w:rPr>
        <w:t>在法定刑以下判处刑罚的复核程序</w:t>
      </w:r>
      <w:r w:rsidRPr="004D585F">
        <w:rPr>
          <w:rFonts w:eastAsia="宋体" w:hint="eastAsia"/>
          <w:color w:val="auto"/>
        </w:rPr>
        <w:t>（</w:t>
      </w:r>
      <w:r w:rsidRPr="004D585F">
        <w:rPr>
          <w:rFonts w:eastAsia="宋体"/>
          <w:color w:val="auto"/>
        </w:rPr>
        <w:t>3</w:t>
      </w:r>
      <w:r w:rsidRPr="004D585F">
        <w:rPr>
          <w:rFonts w:eastAsia="宋体" w:hint="eastAsia"/>
          <w:color w:val="auto"/>
        </w:rPr>
        <w:t>）</w:t>
      </w:r>
      <w:r w:rsidRPr="004D585F">
        <w:rPr>
          <w:rFonts w:eastAsia="宋体"/>
          <w:color w:val="auto"/>
        </w:rPr>
        <w:t>死刑复核程序</w:t>
      </w:r>
      <w:r w:rsidRPr="004D585F">
        <w:rPr>
          <w:rFonts w:eastAsia="宋体" w:hint="eastAsia"/>
          <w:color w:val="auto"/>
        </w:rPr>
        <w:t>，</w:t>
      </w:r>
      <w:r w:rsidRPr="004D585F">
        <w:rPr>
          <w:rFonts w:eastAsia="宋体"/>
          <w:color w:val="auto"/>
        </w:rPr>
        <w:t>原第二审程序、在法定刑以下判处刑罚的复核程序或者死刑复核程序中的合议庭组成人员</w:t>
      </w:r>
      <w:r w:rsidRPr="004D585F">
        <w:rPr>
          <w:rFonts w:eastAsia="宋体" w:hint="eastAsia"/>
          <w:color w:val="auto"/>
        </w:rPr>
        <w:t>不需要另行组合合议庭。）</w:t>
      </w:r>
    </w:p>
    <w:p w14:paraId="4EAA9B77" w14:textId="553CCABC" w:rsidR="00631F6F" w:rsidRPr="00103300" w:rsidRDefault="00631F6F" w:rsidP="00631F6F">
      <w:pPr>
        <w:pStyle w:val="1"/>
        <w:spacing w:before="0" w:line="240" w:lineRule="auto"/>
        <w:rPr>
          <w:rFonts w:ascii="宋体" w:eastAsia="宋体" w:hAnsi="宋体" w:hint="eastAsia"/>
          <w:b/>
          <w:bCs w:val="0"/>
          <w:color w:val="FF0000"/>
          <w:sz w:val="21"/>
          <w:szCs w:val="21"/>
        </w:rPr>
      </w:pPr>
      <w:r w:rsidRPr="0055777C">
        <w:rPr>
          <w:rFonts w:ascii="宋体" w:eastAsia="宋体" w:hAnsi="宋体" w:hint="eastAsia"/>
          <w:b/>
          <w:bCs w:val="0"/>
          <w:color w:val="auto"/>
          <w:sz w:val="21"/>
          <w:szCs w:val="21"/>
        </w:rPr>
        <w:t>考点</w:t>
      </w:r>
      <w:r>
        <w:rPr>
          <w:rFonts w:ascii="宋体" w:eastAsia="宋体" w:hAnsi="宋体" w:hint="eastAsia"/>
          <w:b/>
          <w:bCs w:val="0"/>
          <w:color w:val="auto"/>
          <w:sz w:val="21"/>
          <w:szCs w:val="21"/>
        </w:rPr>
        <w:t>53</w:t>
      </w:r>
      <w:r w:rsidRPr="0055777C">
        <w:rPr>
          <w:rFonts w:ascii="宋体" w:eastAsia="宋体" w:hAnsi="宋体" w:hint="eastAsia"/>
          <w:b/>
          <w:bCs w:val="0"/>
          <w:color w:val="auto"/>
          <w:sz w:val="21"/>
          <w:szCs w:val="21"/>
        </w:rPr>
        <w:t xml:space="preserve">  对涉案财物的处理（</w:t>
      </w:r>
      <w:r>
        <w:rPr>
          <w:rFonts w:ascii="宋体" w:eastAsia="宋体" w:hAnsi="宋体" w:hint="eastAsia"/>
          <w:b/>
          <w:bCs w:val="0"/>
          <w:color w:val="auto"/>
          <w:sz w:val="21"/>
          <w:szCs w:val="21"/>
        </w:rPr>
        <w:t>20</w:t>
      </w:r>
      <w:r w:rsidRPr="0055777C">
        <w:rPr>
          <w:rFonts w:ascii="宋体" w:eastAsia="宋体" w:hAnsi="宋体"/>
          <w:b/>
          <w:bCs w:val="0"/>
          <w:color w:val="auto"/>
          <w:sz w:val="21"/>
          <w:szCs w:val="21"/>
        </w:rPr>
        <w:t>:</w:t>
      </w:r>
      <w:r w:rsidR="00BD2C65">
        <w:rPr>
          <w:rFonts w:ascii="宋体" w:eastAsia="宋体" w:hAnsi="宋体" w:hint="eastAsia"/>
          <w:b/>
          <w:bCs w:val="0"/>
          <w:color w:val="auto"/>
          <w:sz w:val="21"/>
          <w:szCs w:val="21"/>
        </w:rPr>
        <w:t>40</w:t>
      </w:r>
      <w:r w:rsidRPr="0055777C">
        <w:rPr>
          <w:rFonts w:ascii="宋体" w:eastAsia="宋体" w:hAnsi="宋体"/>
          <w:b/>
          <w:bCs w:val="0"/>
          <w:color w:val="auto"/>
          <w:sz w:val="21"/>
          <w:szCs w:val="21"/>
        </w:rPr>
        <w:t>:00-</w:t>
      </w:r>
      <w:r>
        <w:rPr>
          <w:rFonts w:ascii="宋体" w:eastAsia="宋体" w:hAnsi="宋体" w:hint="eastAsia"/>
          <w:b/>
          <w:bCs w:val="0"/>
          <w:color w:val="auto"/>
          <w:sz w:val="21"/>
          <w:szCs w:val="21"/>
        </w:rPr>
        <w:t>2</w:t>
      </w:r>
      <w:r w:rsidR="00B02749">
        <w:rPr>
          <w:rFonts w:ascii="宋体" w:eastAsia="宋体" w:hAnsi="宋体" w:hint="eastAsia"/>
          <w:b/>
          <w:bCs w:val="0"/>
          <w:color w:val="auto"/>
          <w:sz w:val="21"/>
          <w:szCs w:val="21"/>
        </w:rPr>
        <w:t>0</w:t>
      </w:r>
      <w:r w:rsidRPr="0055777C">
        <w:rPr>
          <w:rFonts w:ascii="宋体" w:eastAsia="宋体" w:hAnsi="宋体"/>
          <w:b/>
          <w:bCs w:val="0"/>
          <w:color w:val="auto"/>
          <w:sz w:val="21"/>
          <w:szCs w:val="21"/>
        </w:rPr>
        <w:t>:</w:t>
      </w:r>
      <w:r w:rsidR="00B02749">
        <w:rPr>
          <w:rFonts w:ascii="宋体" w:eastAsia="宋体" w:hAnsi="宋体" w:hint="eastAsia"/>
          <w:b/>
          <w:bCs w:val="0"/>
          <w:color w:val="auto"/>
          <w:sz w:val="21"/>
          <w:szCs w:val="21"/>
        </w:rPr>
        <w:t>50</w:t>
      </w:r>
      <w:r w:rsidRPr="0055777C">
        <w:rPr>
          <w:rFonts w:ascii="宋体" w:eastAsia="宋体" w:hAnsi="宋体"/>
          <w:b/>
          <w:bCs w:val="0"/>
          <w:color w:val="auto"/>
          <w:sz w:val="21"/>
          <w:szCs w:val="21"/>
        </w:rPr>
        <w:t>:00）</w:t>
      </w:r>
    </w:p>
    <w:p w14:paraId="021AF36F" w14:textId="77777777" w:rsidR="00631F6F" w:rsidRPr="0055777C" w:rsidRDefault="00631F6F" w:rsidP="00631F6F">
      <w:pPr>
        <w:pStyle w:val="3"/>
        <w:spacing w:line="240" w:lineRule="auto"/>
        <w:ind w:firstLineChars="200" w:firstLine="420"/>
        <w:rPr>
          <w:rFonts w:eastAsia="宋体" w:hint="eastAsia"/>
          <w:sz w:val="21"/>
        </w:rPr>
      </w:pPr>
      <w:r>
        <w:rPr>
          <w:rFonts w:eastAsia="宋体" w:hint="eastAsia"/>
          <w:sz w:val="21"/>
        </w:rPr>
        <w:t>一</w:t>
      </w:r>
      <w:r w:rsidRPr="0055777C">
        <w:rPr>
          <w:rFonts w:eastAsia="宋体" w:hint="eastAsia"/>
          <w:sz w:val="21"/>
        </w:rPr>
        <w:t>、返还被害人</w:t>
      </w:r>
    </w:p>
    <w:p w14:paraId="5EF99C93" w14:textId="77777777" w:rsidR="00631F6F" w:rsidRPr="00BD158A" w:rsidRDefault="00631F6F" w:rsidP="00631F6F">
      <w:pPr>
        <w:spacing w:line="240" w:lineRule="auto"/>
        <w:ind w:firstLine="420"/>
        <w:rPr>
          <w:rFonts w:eastAsia="宋体" w:hint="eastAsia"/>
          <w:b/>
          <w:bCs/>
        </w:rPr>
      </w:pPr>
      <w:r w:rsidRPr="00BD158A">
        <w:rPr>
          <w:rFonts w:eastAsia="宋体" w:hint="eastAsia"/>
          <w:color w:val="auto"/>
        </w:rPr>
        <w:t>（一）对被害人的合法财产，权属明确的，应当依法及时返还，但须经拍照、鉴定、估价，并在案卷中注明返还的理由，将原物照片、清单和被害人的领取手续附卷备查；</w:t>
      </w:r>
      <w:r w:rsidRPr="00BD158A">
        <w:rPr>
          <w:rFonts w:eastAsia="宋体" w:hint="eastAsia"/>
          <w:b/>
          <w:bCs/>
          <w:color w:val="FF0000"/>
        </w:rPr>
        <w:t>权属不明的，应当在人民法院判决、裁定生效后，按比例返还被害人，但已获退赔的部分应予扣除。</w:t>
      </w:r>
    </w:p>
    <w:p w14:paraId="28F89689" w14:textId="77777777" w:rsidR="00631F6F" w:rsidRPr="00BD158A" w:rsidRDefault="00631F6F" w:rsidP="00631F6F">
      <w:pPr>
        <w:spacing w:line="240" w:lineRule="auto"/>
        <w:ind w:firstLine="420"/>
        <w:rPr>
          <w:rFonts w:eastAsia="宋体" w:hint="eastAsia"/>
          <w:color w:val="auto"/>
        </w:rPr>
      </w:pPr>
      <w:r w:rsidRPr="00BD158A">
        <w:rPr>
          <w:rFonts w:eastAsia="宋体" w:hint="eastAsia"/>
          <w:color w:val="auto"/>
        </w:rPr>
        <w:t>（二）查封、扣押、冻结的财物及其孳息，经审查，确属违法所得或者依法应当追缴的其他涉案财物的，应当判决返还被害人，或者没收上缴国库，但法律另有规定的除外。</w:t>
      </w:r>
    </w:p>
    <w:p w14:paraId="63B3DC29" w14:textId="77777777" w:rsidR="00631F6F" w:rsidRPr="0055777C" w:rsidRDefault="00631F6F" w:rsidP="00631F6F">
      <w:pPr>
        <w:spacing w:line="240" w:lineRule="auto"/>
        <w:ind w:firstLine="420"/>
        <w:rPr>
          <w:rFonts w:eastAsia="宋体" w:hint="eastAsia"/>
        </w:rPr>
      </w:pPr>
      <w:r w:rsidRPr="0055777C">
        <w:rPr>
          <w:rFonts w:eastAsia="宋体" w:hint="eastAsia"/>
        </w:rPr>
        <w:t>（三）判决返还被害人的涉案财物，</w:t>
      </w:r>
      <w:r w:rsidRPr="00BD158A">
        <w:rPr>
          <w:rFonts w:eastAsia="宋体" w:hint="eastAsia"/>
          <w:b/>
          <w:bCs/>
          <w:color w:val="FF0000"/>
        </w:rPr>
        <w:t>应当通知被害人认领；无人认领的，应当公告通知；公告满一年无人认领的，应当上缴国库</w:t>
      </w:r>
      <w:r w:rsidRPr="00BD158A">
        <w:rPr>
          <w:rFonts w:eastAsia="宋体" w:hint="eastAsia"/>
          <w:b/>
          <w:bCs/>
        </w:rPr>
        <w:t>；</w:t>
      </w:r>
      <w:r w:rsidRPr="0055777C">
        <w:rPr>
          <w:rFonts w:eastAsia="宋体" w:hint="eastAsia"/>
        </w:rPr>
        <w:t>上缴国库后有人认领，经查证属实的，应当申请退库予以返还；原物已经拍卖、变卖的，应当返还价款。</w:t>
      </w:r>
    </w:p>
    <w:p w14:paraId="0611FB4C" w14:textId="77777777" w:rsidR="00631F6F" w:rsidRPr="0055777C" w:rsidRDefault="00631F6F" w:rsidP="00631F6F">
      <w:pPr>
        <w:pStyle w:val="3"/>
        <w:spacing w:line="240" w:lineRule="auto"/>
        <w:ind w:firstLineChars="200" w:firstLine="420"/>
        <w:rPr>
          <w:rFonts w:eastAsia="宋体" w:hint="eastAsia"/>
          <w:sz w:val="21"/>
        </w:rPr>
      </w:pPr>
      <w:r>
        <w:rPr>
          <w:rFonts w:eastAsia="宋体" w:hint="eastAsia"/>
          <w:sz w:val="21"/>
        </w:rPr>
        <w:lastRenderedPageBreak/>
        <w:t>二</w:t>
      </w:r>
      <w:r w:rsidRPr="0055777C">
        <w:rPr>
          <w:rFonts w:eastAsia="宋体" w:hint="eastAsia"/>
          <w:sz w:val="21"/>
        </w:rPr>
        <w:t>、先行处置</w:t>
      </w:r>
    </w:p>
    <w:p w14:paraId="7AE24362" w14:textId="77777777" w:rsidR="00631F6F" w:rsidRPr="00BD158A" w:rsidRDefault="00631F6F" w:rsidP="00631F6F">
      <w:pPr>
        <w:spacing w:line="240" w:lineRule="auto"/>
        <w:ind w:firstLine="422"/>
        <w:rPr>
          <w:rFonts w:eastAsia="宋体" w:hint="eastAsia"/>
          <w:color w:val="auto"/>
        </w:rPr>
      </w:pPr>
      <w:r w:rsidRPr="00BD158A">
        <w:rPr>
          <w:rFonts w:eastAsia="宋体" w:hint="eastAsia"/>
          <w:b/>
          <w:bCs/>
        </w:rPr>
        <w:t>审判期间，对</w:t>
      </w:r>
      <w:r w:rsidRPr="00BD158A">
        <w:rPr>
          <w:rFonts w:eastAsia="宋体" w:hint="eastAsia"/>
          <w:b/>
          <w:bCs/>
          <w:color w:val="FF0000"/>
        </w:rPr>
        <w:t>不宜长期保存、易贬值或者市场价格波动大的财产，或者有效期即将届满的票据</w:t>
      </w:r>
      <w:r w:rsidRPr="00BD158A">
        <w:rPr>
          <w:rFonts w:eastAsia="宋体" w:hint="eastAsia"/>
          <w:b/>
          <w:bCs/>
        </w:rPr>
        <w:t>等，</w:t>
      </w:r>
      <w:r w:rsidRPr="00BD158A">
        <w:rPr>
          <w:rFonts w:eastAsia="宋体" w:hint="eastAsia"/>
          <w:color w:val="auto"/>
        </w:rPr>
        <w:t>经权利人申请或者同意，并经院长批准，可以依法先行处置，所得款项由人民法院保管。涉案财物先行处置应当依法、公开、公平。</w:t>
      </w:r>
    </w:p>
    <w:p w14:paraId="55401052" w14:textId="77777777" w:rsidR="00631F6F" w:rsidRPr="0055777C" w:rsidRDefault="00631F6F" w:rsidP="00631F6F">
      <w:pPr>
        <w:pStyle w:val="3"/>
        <w:spacing w:line="240" w:lineRule="auto"/>
        <w:ind w:firstLineChars="200" w:firstLine="420"/>
        <w:rPr>
          <w:rFonts w:eastAsia="宋体" w:hint="eastAsia"/>
          <w:sz w:val="21"/>
        </w:rPr>
      </w:pPr>
      <w:r w:rsidRPr="00BD158A">
        <w:rPr>
          <w:rFonts w:eastAsia="宋体" w:hint="eastAsia"/>
          <w:color w:val="auto"/>
          <w:sz w:val="21"/>
        </w:rPr>
        <w:t>三、对涉</w:t>
      </w:r>
      <w:r w:rsidRPr="0055777C">
        <w:rPr>
          <w:rFonts w:eastAsia="宋体" w:hint="eastAsia"/>
          <w:sz w:val="21"/>
        </w:rPr>
        <w:t>案财物未处理的救济</w:t>
      </w:r>
    </w:p>
    <w:p w14:paraId="58C64278" w14:textId="0CE03627" w:rsidR="00631F6F" w:rsidRPr="00631F6F" w:rsidRDefault="00631F6F" w:rsidP="00631F6F">
      <w:pPr>
        <w:spacing w:line="240" w:lineRule="auto"/>
        <w:ind w:firstLine="420"/>
        <w:rPr>
          <w:rFonts w:eastAsia="宋体" w:hint="eastAsia"/>
          <w:color w:val="auto"/>
        </w:rPr>
      </w:pPr>
      <w:r w:rsidRPr="0055777C">
        <w:rPr>
          <w:rFonts w:eastAsia="宋体" w:hint="eastAsia"/>
        </w:rPr>
        <w:t>第二审期间，发现第一审判决未对随案移送的涉案财物及其孳息作出处理的，</w:t>
      </w:r>
      <w:r w:rsidRPr="00BD158A">
        <w:rPr>
          <w:rFonts w:eastAsia="宋体" w:hint="eastAsia"/>
          <w:b/>
          <w:bCs/>
          <w:color w:val="FF0000"/>
        </w:rPr>
        <w:t>可以裁定撤销原判，发回原审人民法院重新审判，由原审人民法院依法对涉案财物及其孳息一并作出处理。</w:t>
      </w:r>
      <w:r w:rsidRPr="0055777C">
        <w:rPr>
          <w:rFonts w:eastAsia="宋体" w:hint="eastAsia"/>
        </w:rPr>
        <w:t>判决生效后，发现原判未对随案移送的涉案财物及其孳息作出处理的，</w:t>
      </w:r>
      <w:r w:rsidRPr="00BD158A">
        <w:rPr>
          <w:rFonts w:eastAsia="宋体" w:hint="eastAsia"/>
          <w:b/>
          <w:bCs/>
          <w:color w:val="FF0000"/>
        </w:rPr>
        <w:t>由原审人民法院</w:t>
      </w:r>
      <w:r w:rsidRPr="00BD158A">
        <w:rPr>
          <w:rFonts w:eastAsia="宋体" w:hint="eastAsia"/>
          <w:color w:val="auto"/>
        </w:rPr>
        <w:t>依法对涉案财物及其孳息另行作出处理。</w:t>
      </w:r>
    </w:p>
    <w:p w14:paraId="42AFB8BC" w14:textId="0F871DA8" w:rsidR="00922AAA" w:rsidRPr="00404E14" w:rsidRDefault="00922AAA" w:rsidP="00922AAA">
      <w:pPr>
        <w:pStyle w:val="1"/>
        <w:spacing w:before="0" w:line="240" w:lineRule="auto"/>
        <w:rPr>
          <w:rFonts w:ascii="宋体" w:eastAsia="宋体" w:hAnsi="宋体" w:hint="eastAsia"/>
          <w:b/>
          <w:bCs w:val="0"/>
          <w:color w:val="FF0000"/>
          <w:sz w:val="22"/>
          <w:szCs w:val="22"/>
        </w:rPr>
      </w:pPr>
      <w:r w:rsidRPr="00404E14">
        <w:rPr>
          <w:rFonts w:ascii="宋体" w:eastAsia="宋体" w:hAnsi="宋体" w:hint="eastAsia"/>
          <w:b/>
          <w:bCs w:val="0"/>
          <w:color w:val="FF0000"/>
          <w:sz w:val="22"/>
          <w:szCs w:val="22"/>
        </w:rPr>
        <w:t>考点</w:t>
      </w:r>
      <w:r>
        <w:rPr>
          <w:rFonts w:ascii="宋体" w:eastAsia="宋体" w:hAnsi="宋体" w:hint="eastAsia"/>
          <w:b/>
          <w:bCs w:val="0"/>
          <w:color w:val="FF0000"/>
          <w:sz w:val="22"/>
          <w:szCs w:val="22"/>
        </w:rPr>
        <w:t>54</w:t>
      </w:r>
      <w:r w:rsidRPr="00404E14">
        <w:rPr>
          <w:rFonts w:ascii="宋体" w:eastAsia="宋体" w:hAnsi="宋体"/>
          <w:b/>
          <w:bCs w:val="0"/>
          <w:color w:val="FF0000"/>
          <w:sz w:val="22"/>
          <w:szCs w:val="22"/>
        </w:rPr>
        <w:t xml:space="preserve">  </w:t>
      </w:r>
      <w:r w:rsidRPr="00404E14">
        <w:rPr>
          <w:rFonts w:ascii="宋体" w:eastAsia="宋体" w:hAnsi="宋体" w:hint="eastAsia"/>
          <w:b/>
          <w:bCs w:val="0"/>
          <w:color w:val="FF0000"/>
          <w:sz w:val="22"/>
          <w:szCs w:val="22"/>
        </w:rPr>
        <w:t>死刑复核</w:t>
      </w:r>
      <w:bookmarkEnd w:id="0"/>
      <w:r w:rsidRPr="00404E14">
        <w:rPr>
          <w:rFonts w:ascii="宋体" w:eastAsia="宋体" w:hAnsi="宋体" w:hint="eastAsia"/>
          <w:b/>
          <w:bCs w:val="0"/>
          <w:color w:val="FF0000"/>
          <w:sz w:val="22"/>
          <w:szCs w:val="22"/>
        </w:rPr>
        <w:t>（</w:t>
      </w:r>
      <w:r w:rsidR="00562F5A">
        <w:rPr>
          <w:rFonts w:ascii="宋体" w:eastAsia="宋体" w:hAnsi="宋体" w:hint="eastAsia"/>
          <w:b/>
          <w:bCs w:val="0"/>
          <w:color w:val="FF0000"/>
          <w:sz w:val="22"/>
          <w:szCs w:val="22"/>
        </w:rPr>
        <w:t>20</w:t>
      </w:r>
      <w:r w:rsidRPr="00404E14">
        <w:rPr>
          <w:rFonts w:ascii="宋体" w:eastAsia="宋体" w:hAnsi="宋体"/>
          <w:b/>
          <w:bCs w:val="0"/>
          <w:color w:val="FF0000"/>
          <w:sz w:val="22"/>
          <w:szCs w:val="22"/>
        </w:rPr>
        <w:t>:</w:t>
      </w:r>
      <w:r w:rsidR="00562F5A">
        <w:rPr>
          <w:rFonts w:ascii="宋体" w:eastAsia="宋体" w:hAnsi="宋体" w:hint="eastAsia"/>
          <w:b/>
          <w:bCs w:val="0"/>
          <w:color w:val="FF0000"/>
          <w:sz w:val="22"/>
          <w:szCs w:val="22"/>
        </w:rPr>
        <w:t>50</w:t>
      </w:r>
      <w:r w:rsidRPr="00404E14">
        <w:rPr>
          <w:rFonts w:ascii="宋体" w:eastAsia="宋体" w:hAnsi="宋体"/>
          <w:b/>
          <w:bCs w:val="0"/>
          <w:color w:val="FF0000"/>
          <w:sz w:val="22"/>
          <w:szCs w:val="22"/>
        </w:rPr>
        <w:t>:00-</w:t>
      </w:r>
      <w:r>
        <w:rPr>
          <w:rFonts w:ascii="宋体" w:eastAsia="宋体" w:hAnsi="宋体" w:hint="eastAsia"/>
          <w:b/>
          <w:bCs w:val="0"/>
          <w:color w:val="FF0000"/>
          <w:sz w:val="22"/>
          <w:szCs w:val="22"/>
        </w:rPr>
        <w:t>22</w:t>
      </w:r>
      <w:r w:rsidRPr="00404E14">
        <w:rPr>
          <w:rFonts w:ascii="宋体" w:eastAsia="宋体" w:hAnsi="宋体"/>
          <w:b/>
          <w:bCs w:val="0"/>
          <w:color w:val="FF0000"/>
          <w:sz w:val="22"/>
          <w:szCs w:val="22"/>
        </w:rPr>
        <w:t>:</w:t>
      </w:r>
      <w:r w:rsidR="002A37EB">
        <w:rPr>
          <w:rFonts w:ascii="宋体" w:eastAsia="宋体" w:hAnsi="宋体" w:hint="eastAsia"/>
          <w:b/>
          <w:bCs w:val="0"/>
          <w:color w:val="FF0000"/>
          <w:sz w:val="22"/>
          <w:szCs w:val="22"/>
        </w:rPr>
        <w:t>08</w:t>
      </w:r>
      <w:r w:rsidRPr="00404E14">
        <w:rPr>
          <w:rFonts w:ascii="宋体" w:eastAsia="宋体" w:hAnsi="宋体"/>
          <w:b/>
          <w:bCs w:val="0"/>
          <w:color w:val="FF0000"/>
          <w:sz w:val="22"/>
          <w:szCs w:val="22"/>
        </w:rPr>
        <w:t>:00）</w:t>
      </w:r>
    </w:p>
    <w:p w14:paraId="6A4EE879" w14:textId="77777777" w:rsidR="00922AAA" w:rsidRPr="00BD158A" w:rsidRDefault="00922AAA" w:rsidP="00922AAA">
      <w:pPr>
        <w:spacing w:line="240" w:lineRule="auto"/>
        <w:ind w:firstLine="422"/>
        <w:rPr>
          <w:rFonts w:eastAsia="宋体" w:hint="eastAsia"/>
          <w:b/>
          <w:bCs/>
          <w:color w:val="FF0000"/>
        </w:rPr>
      </w:pPr>
      <w:r w:rsidRPr="00BD158A">
        <w:rPr>
          <w:rFonts w:eastAsia="宋体" w:hint="eastAsia"/>
          <w:b/>
          <w:bCs/>
          <w:color w:val="FF0000"/>
        </w:rPr>
        <w:t>注意：课后大家一定要对死刑复核的内容进行复习，自己走完流程图！</w:t>
      </w:r>
    </w:p>
    <w:p w14:paraId="70396489" w14:textId="77777777" w:rsidR="00922AAA" w:rsidRPr="0055777C" w:rsidRDefault="00922AAA" w:rsidP="00922AAA">
      <w:pPr>
        <w:pStyle w:val="3"/>
        <w:spacing w:line="240" w:lineRule="auto"/>
        <w:ind w:firstLineChars="200" w:firstLine="420"/>
        <w:rPr>
          <w:rFonts w:eastAsia="宋体" w:hint="eastAsia"/>
          <w:sz w:val="21"/>
        </w:rPr>
      </w:pPr>
      <w:bookmarkStart w:id="13" w:name="_Toc510879145"/>
      <w:r w:rsidRPr="0055777C">
        <w:rPr>
          <w:rFonts w:eastAsia="宋体" w:hint="eastAsia"/>
          <w:sz w:val="21"/>
        </w:rPr>
        <w:t>一、死刑立即执行案件的报请程序</w:t>
      </w:r>
    </w:p>
    <w:p w14:paraId="64D2E244" w14:textId="77777777" w:rsidR="00922AAA" w:rsidRPr="0055777C" w:rsidRDefault="00922AAA" w:rsidP="00922AAA">
      <w:pPr>
        <w:spacing w:line="240" w:lineRule="auto"/>
        <w:ind w:firstLine="420"/>
        <w:rPr>
          <w:rFonts w:eastAsia="宋体" w:hint="eastAsia"/>
        </w:rPr>
      </w:pPr>
      <w:r w:rsidRPr="0055777C">
        <w:rPr>
          <w:rFonts w:eastAsia="宋体" w:hint="eastAsia"/>
        </w:rPr>
        <w:t>（一）中级人民法院判处死刑的第一审案件，被告人未上诉、人民检察院未抗诉的，在上诉、抗诉期满后十日以内报请高级人民法院复核。高级人民法院同意判处死刑的，应当在作出裁定后十日以内报请最高人民法院核准；认为原判认定的某一具体事实或者引用的法律条款等存在瑕疵，但判处被告人死刑并无不当的，</w:t>
      </w:r>
      <w:r w:rsidRPr="00BD158A">
        <w:rPr>
          <w:rFonts w:eastAsia="宋体" w:hint="eastAsia"/>
          <w:b/>
          <w:bCs/>
          <w:color w:val="FF0000"/>
        </w:rPr>
        <w:t>可以在纠正后作出核准的判决、裁定</w:t>
      </w:r>
      <w:r w:rsidRPr="00BD158A">
        <w:rPr>
          <w:rFonts w:eastAsia="宋体" w:hint="eastAsia"/>
          <w:b/>
          <w:bCs/>
        </w:rPr>
        <w:t>；</w:t>
      </w:r>
      <w:r w:rsidRPr="00BD158A">
        <w:rPr>
          <w:rFonts w:eastAsia="宋体" w:hint="eastAsia"/>
          <w:b/>
          <w:bCs/>
          <w:color w:val="FF0000"/>
        </w:rPr>
        <w:t>不同意判处死刑的，应当依照第二审程序提审或者发回重新审判</w:t>
      </w:r>
      <w:r w:rsidRPr="00BD158A">
        <w:rPr>
          <w:rFonts w:eastAsia="宋体" w:hint="eastAsia"/>
          <w:b/>
          <w:bCs/>
        </w:rPr>
        <w:t>。</w:t>
      </w:r>
    </w:p>
    <w:p w14:paraId="093F2658" w14:textId="77777777" w:rsidR="00922AAA" w:rsidRPr="0055777C" w:rsidRDefault="00922AAA" w:rsidP="00922AAA">
      <w:pPr>
        <w:spacing w:line="240" w:lineRule="auto"/>
        <w:ind w:firstLine="420"/>
        <w:rPr>
          <w:rFonts w:eastAsia="宋体" w:hint="eastAsia"/>
        </w:rPr>
      </w:pPr>
      <w:r w:rsidRPr="0055777C">
        <w:rPr>
          <w:rFonts w:eastAsia="宋体" w:hint="eastAsia"/>
        </w:rPr>
        <w:t>（二）中级人民法院判处死刑的第一审案件，被告人上诉或者人民检察院抗诉，高级人民法院裁定维持的，应当在作出裁定后十日以内报请最高人民法院核准。</w:t>
      </w:r>
    </w:p>
    <w:p w14:paraId="56AEB710" w14:textId="77777777" w:rsidR="00922AAA" w:rsidRPr="00BD158A" w:rsidRDefault="00922AAA" w:rsidP="00922AAA">
      <w:pPr>
        <w:spacing w:line="240" w:lineRule="auto"/>
        <w:ind w:firstLine="420"/>
        <w:rPr>
          <w:rFonts w:eastAsia="宋体" w:hint="eastAsia"/>
          <w:b/>
          <w:bCs/>
        </w:rPr>
      </w:pPr>
      <w:r w:rsidRPr="0055777C">
        <w:rPr>
          <w:rFonts w:eastAsia="宋体" w:hint="eastAsia"/>
        </w:rPr>
        <w:t>（三）高级人民法院判处死刑的第一审案件，被告人未上诉、人民检察院未抗诉的，应当在上诉、抗诉期满后十日以内报请最高人民法院核准。有上诉或抗诉的，最高人民法院按照二审程序进行审理，裁定驳回的，不再进行复核。</w:t>
      </w:r>
      <w:r w:rsidRPr="00BD158A">
        <w:rPr>
          <w:rFonts w:eastAsia="宋体" w:hint="eastAsia"/>
          <w:b/>
          <w:bCs/>
        </w:rPr>
        <w:t>（</w:t>
      </w:r>
      <w:r w:rsidRPr="00BD158A">
        <w:rPr>
          <w:rFonts w:eastAsia="宋体" w:hint="eastAsia"/>
          <w:b/>
          <w:bCs/>
          <w:color w:val="FF0000"/>
        </w:rPr>
        <w:t>注意：最高院通过审判程序判决或裁定的死刑立即执行、死缓案件无须再复核；高级法院通过审判程序判决或裁定的死缓案件无须再复核</w:t>
      </w:r>
      <w:r w:rsidRPr="00BD158A">
        <w:rPr>
          <w:rFonts w:eastAsia="宋体" w:hint="eastAsia"/>
          <w:b/>
          <w:bCs/>
        </w:rPr>
        <w:t>）</w:t>
      </w:r>
    </w:p>
    <w:p w14:paraId="07B1CA64" w14:textId="77777777" w:rsidR="00922AAA" w:rsidRPr="00BD158A" w:rsidRDefault="00922AAA" w:rsidP="00922AAA">
      <w:pPr>
        <w:spacing w:line="240" w:lineRule="auto"/>
        <w:ind w:firstLine="420"/>
        <w:rPr>
          <w:rFonts w:eastAsia="宋体" w:hint="eastAsia"/>
          <w:color w:val="auto"/>
        </w:rPr>
      </w:pPr>
      <w:r w:rsidRPr="0055777C">
        <w:rPr>
          <w:rFonts w:eastAsia="宋体" w:hint="eastAsia"/>
        </w:rPr>
        <w:t>（四）高级人民法院复核死刑案件</w:t>
      </w:r>
      <w:r w:rsidRPr="00BD158A">
        <w:rPr>
          <w:rFonts w:eastAsia="宋体" w:hint="eastAsia"/>
          <w:b/>
          <w:bCs/>
        </w:rPr>
        <w:t>，</w:t>
      </w:r>
      <w:r w:rsidRPr="00BD158A">
        <w:rPr>
          <w:rFonts w:eastAsia="宋体" w:hint="eastAsia"/>
          <w:b/>
          <w:bCs/>
          <w:color w:val="FF0000"/>
        </w:rPr>
        <w:t>应当讯问被告人。</w:t>
      </w:r>
      <w:r w:rsidRPr="00BA40D3">
        <w:rPr>
          <w:rFonts w:eastAsia="宋体" w:hint="eastAsia"/>
          <w:color w:val="auto"/>
        </w:rPr>
        <w:t>高级人民法院复核死刑案件，被告人没有委托辩护人的</w:t>
      </w:r>
      <w:r w:rsidRPr="00BD158A">
        <w:rPr>
          <w:rFonts w:eastAsia="宋体" w:hint="eastAsia"/>
          <w:color w:val="auto"/>
        </w:rPr>
        <w:t>，应当通知法律援助机构指派律师为其提供辩护。</w:t>
      </w:r>
    </w:p>
    <w:p w14:paraId="4AAE0F2E" w14:textId="77777777" w:rsidR="00922AAA" w:rsidRPr="0055777C" w:rsidRDefault="00922AAA" w:rsidP="00922AAA">
      <w:pPr>
        <w:spacing w:line="240" w:lineRule="auto"/>
        <w:ind w:firstLine="420"/>
        <w:rPr>
          <w:rFonts w:eastAsia="宋体" w:hint="eastAsia"/>
        </w:rPr>
      </w:pPr>
      <w:r w:rsidRPr="00BA40D3">
        <w:rPr>
          <w:rFonts w:eastAsia="宋体" w:hint="eastAsia"/>
        </w:rPr>
        <w:t>（七）最高人民法院复核死刑案件</w:t>
      </w:r>
      <w:r w:rsidRPr="00BD158A">
        <w:rPr>
          <w:rFonts w:eastAsia="宋体" w:hint="eastAsia"/>
          <w:b/>
          <w:bCs/>
        </w:rPr>
        <w:t>，</w:t>
      </w:r>
      <w:r w:rsidRPr="00BD158A">
        <w:rPr>
          <w:rFonts w:eastAsia="宋体" w:hint="eastAsia"/>
          <w:b/>
          <w:bCs/>
          <w:color w:val="FF0000"/>
        </w:rPr>
        <w:t>被告人申请法律援助的</w:t>
      </w:r>
      <w:r w:rsidRPr="00BD158A">
        <w:rPr>
          <w:rFonts w:eastAsia="宋体" w:hint="eastAsia"/>
          <w:b/>
          <w:bCs/>
        </w:rPr>
        <w:t>，</w:t>
      </w:r>
      <w:r w:rsidRPr="00BA40D3">
        <w:rPr>
          <w:rFonts w:eastAsia="宋体" w:hint="eastAsia"/>
        </w:rPr>
        <w:t>应当通知司法部法律援助中心指派律师为其提供辩护。</w:t>
      </w:r>
    </w:p>
    <w:p w14:paraId="1289420A" w14:textId="77777777" w:rsidR="00922AAA" w:rsidRPr="0055777C" w:rsidRDefault="00922AAA" w:rsidP="00922AAA">
      <w:pPr>
        <w:pStyle w:val="3"/>
        <w:spacing w:line="240" w:lineRule="auto"/>
        <w:ind w:firstLineChars="200" w:firstLine="420"/>
        <w:rPr>
          <w:rFonts w:eastAsia="宋体" w:hint="eastAsia"/>
          <w:sz w:val="21"/>
        </w:rPr>
      </w:pPr>
      <w:r w:rsidRPr="0055777C">
        <w:rPr>
          <w:rFonts w:eastAsia="宋体" w:hint="eastAsia"/>
          <w:sz w:val="21"/>
        </w:rPr>
        <w:t>二、死刑立即执行案件的复核</w:t>
      </w:r>
      <w:bookmarkEnd w:id="13"/>
    </w:p>
    <w:p w14:paraId="36B72372"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（一）死刑立即执行案件复核后的处理</w:t>
      </w:r>
    </w:p>
    <w:p w14:paraId="2AD78D87" w14:textId="77777777" w:rsidR="00922AAA" w:rsidRPr="00062B81" w:rsidRDefault="00922AAA" w:rsidP="00922AAA">
      <w:pPr>
        <w:spacing w:line="240" w:lineRule="auto"/>
        <w:ind w:firstLine="422"/>
        <w:rPr>
          <w:rFonts w:eastAsia="宋体" w:hint="eastAsia"/>
          <w:color w:val="auto"/>
        </w:rPr>
      </w:pPr>
      <w:r w:rsidRPr="00BD158A">
        <w:rPr>
          <w:rFonts w:eastAsia="宋体" w:hint="eastAsia"/>
          <w:b/>
          <w:bCs/>
          <w:color w:val="FF0000"/>
        </w:rPr>
        <w:t>注意：2021年《法院解释》增加了最高院复核死刑案件必要时直接改判的规定。</w:t>
      </w:r>
      <w:r w:rsidRPr="00062B81">
        <w:rPr>
          <w:rFonts w:eastAsia="宋体" w:hint="eastAsia"/>
          <w:color w:val="auto"/>
        </w:rPr>
        <w:t>最高人民法院复核死刑案件，应当讯问被告人，辩护律师提出要求的，应当听取辩护律师的意见。死刑复核期间，最高人民检察院提出意见的，最高人民法院应当审查，并将采纳情况及理由反馈最高人民检察院。</w:t>
      </w:r>
    </w:p>
    <w:p w14:paraId="2A5D47F7" w14:textId="77777777" w:rsidR="00922AAA"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（二）发回重审的处理</w:t>
      </w:r>
    </w:p>
    <w:tbl>
      <w:tblPr>
        <w:tblStyle w:val="a5"/>
        <w:tblW w:w="8505" w:type="dxa"/>
        <w:jc w:val="center"/>
        <w:tblLayout w:type="fixed"/>
        <w:tblLook w:val="04A0" w:firstRow="1" w:lastRow="0" w:firstColumn="1" w:lastColumn="0" w:noHBand="0" w:noVBand="1"/>
      </w:tblPr>
      <w:tblGrid>
        <w:gridCol w:w="2400"/>
        <w:gridCol w:w="1985"/>
        <w:gridCol w:w="2976"/>
        <w:gridCol w:w="1144"/>
      </w:tblGrid>
      <w:tr w:rsidR="00922AAA" w14:paraId="12745C22" w14:textId="77777777" w:rsidTr="00F94FB4">
        <w:trPr>
          <w:jc w:val="center"/>
        </w:trPr>
        <w:tc>
          <w:tcPr>
            <w:tcW w:w="2400" w:type="dxa"/>
            <w:vAlign w:val="center"/>
          </w:tcPr>
          <w:p w14:paraId="579E92FD" w14:textId="77777777" w:rsidR="00922AAA" w:rsidRPr="00BD158A" w:rsidRDefault="00922AAA" w:rsidP="00F94FB4">
            <w:pPr>
              <w:spacing w:beforeLines="10" w:before="31" w:afterLines="20" w:after="62" w:line="280" w:lineRule="exact"/>
              <w:ind w:firstLineChars="0" w:firstLine="0"/>
              <w:jc w:val="center"/>
              <w:rPr>
                <w:rFonts w:eastAsia="宋体" w:hint="eastAsia"/>
                <w:b/>
                <w:szCs w:val="20"/>
              </w:rPr>
            </w:pPr>
            <w:r w:rsidRPr="00BD158A">
              <w:rPr>
                <w:rFonts w:eastAsia="宋体" w:hint="eastAsia"/>
                <w:szCs w:val="20"/>
              </w:rPr>
              <w:t>情形</w:t>
            </w:r>
          </w:p>
        </w:tc>
        <w:tc>
          <w:tcPr>
            <w:tcW w:w="1985" w:type="dxa"/>
            <w:vAlign w:val="center"/>
          </w:tcPr>
          <w:p w14:paraId="7979DFF4" w14:textId="77777777" w:rsidR="00922AAA" w:rsidRPr="00BD158A" w:rsidRDefault="00922AAA" w:rsidP="00F94FB4">
            <w:pPr>
              <w:spacing w:beforeLines="10" w:before="31" w:afterLines="20" w:after="62" w:line="280" w:lineRule="exact"/>
              <w:ind w:firstLineChars="0" w:firstLine="0"/>
              <w:jc w:val="center"/>
              <w:rPr>
                <w:rFonts w:eastAsia="宋体" w:hint="eastAsia"/>
                <w:b/>
                <w:szCs w:val="20"/>
              </w:rPr>
            </w:pPr>
            <w:r w:rsidRPr="00BD158A">
              <w:rPr>
                <w:rFonts w:eastAsia="宋体" w:hint="eastAsia"/>
                <w:szCs w:val="20"/>
              </w:rPr>
              <w:t>重审法院</w:t>
            </w:r>
          </w:p>
        </w:tc>
        <w:tc>
          <w:tcPr>
            <w:tcW w:w="4120" w:type="dxa"/>
            <w:gridSpan w:val="2"/>
            <w:vAlign w:val="center"/>
          </w:tcPr>
          <w:p w14:paraId="539190FF" w14:textId="77777777" w:rsidR="00922AAA" w:rsidRPr="00BD158A" w:rsidRDefault="00922AAA" w:rsidP="00F94FB4">
            <w:pPr>
              <w:spacing w:beforeLines="10" w:before="31" w:afterLines="20" w:after="62" w:line="280" w:lineRule="exact"/>
              <w:ind w:firstLineChars="0" w:firstLine="0"/>
              <w:jc w:val="center"/>
              <w:rPr>
                <w:rFonts w:eastAsia="宋体" w:hint="eastAsia"/>
                <w:szCs w:val="20"/>
              </w:rPr>
            </w:pPr>
            <w:r w:rsidRPr="00BD158A">
              <w:rPr>
                <w:rFonts w:eastAsia="宋体" w:hint="eastAsia"/>
                <w:szCs w:val="20"/>
              </w:rPr>
              <w:t>处理</w:t>
            </w:r>
          </w:p>
        </w:tc>
      </w:tr>
      <w:tr w:rsidR="00922AAA" w14:paraId="3FF75CE6" w14:textId="77777777" w:rsidTr="00F94FB4">
        <w:trPr>
          <w:jc w:val="center"/>
        </w:trPr>
        <w:tc>
          <w:tcPr>
            <w:tcW w:w="2400" w:type="dxa"/>
            <w:vMerge w:val="restart"/>
            <w:vAlign w:val="center"/>
          </w:tcPr>
          <w:p w14:paraId="14FF417F"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r w:rsidRPr="0096294D">
              <w:rPr>
                <w:rFonts w:eastAsia="宋体" w:hint="eastAsia"/>
                <w:color w:val="auto"/>
                <w:szCs w:val="20"/>
              </w:rPr>
              <w:t>第一类：即中院一审，高院二审</w:t>
            </w:r>
          </w:p>
        </w:tc>
        <w:tc>
          <w:tcPr>
            <w:tcW w:w="1985" w:type="dxa"/>
            <w:vAlign w:val="center"/>
          </w:tcPr>
          <w:p w14:paraId="1F806102"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发回一审法院重审</w:t>
            </w:r>
          </w:p>
        </w:tc>
        <w:tc>
          <w:tcPr>
            <w:tcW w:w="4120" w:type="dxa"/>
            <w:gridSpan w:val="2"/>
            <w:vAlign w:val="center"/>
          </w:tcPr>
          <w:p w14:paraId="1B16423A"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应当开庭审理</w:t>
            </w:r>
          </w:p>
        </w:tc>
      </w:tr>
      <w:tr w:rsidR="00922AAA" w14:paraId="06005108" w14:textId="77777777" w:rsidTr="00F94FB4">
        <w:trPr>
          <w:jc w:val="center"/>
        </w:trPr>
        <w:tc>
          <w:tcPr>
            <w:tcW w:w="2400" w:type="dxa"/>
            <w:vMerge/>
            <w:vAlign w:val="center"/>
          </w:tcPr>
          <w:p w14:paraId="0FB3B561"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p>
        </w:tc>
        <w:tc>
          <w:tcPr>
            <w:tcW w:w="1985" w:type="dxa"/>
            <w:vMerge w:val="restart"/>
            <w:vAlign w:val="center"/>
          </w:tcPr>
          <w:p w14:paraId="7C420B33"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发回二审法院重审</w:t>
            </w:r>
          </w:p>
        </w:tc>
        <w:tc>
          <w:tcPr>
            <w:tcW w:w="4120" w:type="dxa"/>
            <w:gridSpan w:val="2"/>
            <w:vAlign w:val="center"/>
          </w:tcPr>
          <w:p w14:paraId="0CB48FE1"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可以直接改判</w:t>
            </w:r>
          </w:p>
        </w:tc>
      </w:tr>
      <w:tr w:rsidR="00922AAA" w14:paraId="6AF79263" w14:textId="77777777" w:rsidTr="00F94FB4">
        <w:trPr>
          <w:jc w:val="center"/>
        </w:trPr>
        <w:tc>
          <w:tcPr>
            <w:tcW w:w="2400" w:type="dxa"/>
            <w:vMerge/>
            <w:vAlign w:val="center"/>
          </w:tcPr>
          <w:p w14:paraId="55314C6A"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p>
        </w:tc>
        <w:tc>
          <w:tcPr>
            <w:tcW w:w="1985" w:type="dxa"/>
            <w:vMerge/>
            <w:vAlign w:val="center"/>
          </w:tcPr>
          <w:p w14:paraId="5F4D544D"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p>
        </w:tc>
        <w:tc>
          <w:tcPr>
            <w:tcW w:w="2976" w:type="dxa"/>
            <w:vAlign w:val="center"/>
          </w:tcPr>
          <w:p w14:paraId="34A7E6FD"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必须通过开庭查清事实、核实证据或纠正原审程序违法的</w:t>
            </w:r>
          </w:p>
        </w:tc>
        <w:tc>
          <w:tcPr>
            <w:tcW w:w="1144" w:type="dxa"/>
            <w:vAlign w:val="center"/>
          </w:tcPr>
          <w:p w14:paraId="285549A9"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应当开庭审理</w:t>
            </w:r>
          </w:p>
        </w:tc>
      </w:tr>
      <w:tr w:rsidR="00922AAA" w14:paraId="1003D3C1" w14:textId="77777777" w:rsidTr="00F94FB4">
        <w:trPr>
          <w:jc w:val="center"/>
        </w:trPr>
        <w:tc>
          <w:tcPr>
            <w:tcW w:w="2400" w:type="dxa"/>
            <w:vMerge w:val="restart"/>
            <w:vAlign w:val="center"/>
          </w:tcPr>
          <w:p w14:paraId="36B7D06F"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r w:rsidRPr="0096294D">
              <w:rPr>
                <w:rFonts w:eastAsia="宋体" w:hint="eastAsia"/>
                <w:color w:val="auto"/>
                <w:szCs w:val="20"/>
              </w:rPr>
              <w:t>第二类：高级法院复核后报最高法院核准死刑，即中院一审、高院复核</w:t>
            </w:r>
          </w:p>
        </w:tc>
        <w:tc>
          <w:tcPr>
            <w:tcW w:w="1985" w:type="dxa"/>
            <w:vMerge w:val="restart"/>
            <w:vAlign w:val="center"/>
          </w:tcPr>
          <w:p w14:paraId="44C3FE87"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发回高级法院重审</w:t>
            </w:r>
          </w:p>
        </w:tc>
        <w:tc>
          <w:tcPr>
            <w:tcW w:w="4120" w:type="dxa"/>
            <w:gridSpan w:val="2"/>
            <w:vAlign w:val="center"/>
          </w:tcPr>
          <w:p w14:paraId="2E085078"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可以依照第二审程序提审</w:t>
            </w:r>
          </w:p>
        </w:tc>
      </w:tr>
      <w:tr w:rsidR="00922AAA" w14:paraId="75EE9C2E" w14:textId="77777777" w:rsidTr="00F94FB4">
        <w:trPr>
          <w:jc w:val="center"/>
        </w:trPr>
        <w:tc>
          <w:tcPr>
            <w:tcW w:w="2400" w:type="dxa"/>
            <w:vMerge/>
            <w:vAlign w:val="center"/>
          </w:tcPr>
          <w:p w14:paraId="7DDF4383"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p>
        </w:tc>
        <w:tc>
          <w:tcPr>
            <w:tcW w:w="1985" w:type="dxa"/>
            <w:vMerge/>
            <w:vAlign w:val="center"/>
          </w:tcPr>
          <w:p w14:paraId="792E05D4"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p>
        </w:tc>
        <w:tc>
          <w:tcPr>
            <w:tcW w:w="4120" w:type="dxa"/>
            <w:gridSpan w:val="2"/>
            <w:vAlign w:val="center"/>
          </w:tcPr>
          <w:p w14:paraId="75A27EFD"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可以发回重新审判</w:t>
            </w:r>
          </w:p>
        </w:tc>
      </w:tr>
    </w:tbl>
    <w:p w14:paraId="5DEA7CAE" w14:textId="77777777" w:rsidR="00922AAA" w:rsidRPr="00BD158A" w:rsidRDefault="00922AAA" w:rsidP="00922AAA">
      <w:pPr>
        <w:spacing w:line="240" w:lineRule="auto"/>
        <w:ind w:firstLine="420"/>
        <w:rPr>
          <w:rFonts w:eastAsia="宋体" w:hint="eastAsia"/>
          <w:color w:val="auto"/>
          <w:kern w:val="0"/>
        </w:rPr>
      </w:pPr>
      <w:r w:rsidRPr="0055777C">
        <w:rPr>
          <w:rFonts w:eastAsia="宋体" w:hint="eastAsia"/>
          <w:kern w:val="0"/>
        </w:rPr>
        <w:lastRenderedPageBreak/>
        <w:t>1．进入最高院死刑复核程序的案件可分为两类：一是高院二审维持死刑立即执行并报请的案件</w:t>
      </w:r>
      <w:r w:rsidRPr="00BD158A">
        <w:rPr>
          <w:rFonts w:eastAsia="宋体" w:hint="eastAsia"/>
          <w:b/>
          <w:bCs/>
          <w:kern w:val="0"/>
        </w:rPr>
        <w:t>（</w:t>
      </w:r>
      <w:r w:rsidRPr="00BD158A">
        <w:rPr>
          <w:rFonts w:eastAsia="宋体" w:hint="eastAsia"/>
          <w:b/>
          <w:bCs/>
          <w:color w:val="FF0000"/>
          <w:kern w:val="0"/>
        </w:rPr>
        <w:t>此种情形下存在中院一审、高院二审</w:t>
      </w:r>
      <w:r w:rsidRPr="00BD158A">
        <w:rPr>
          <w:rFonts w:eastAsia="宋体" w:hint="eastAsia"/>
          <w:b/>
          <w:bCs/>
          <w:kern w:val="0"/>
        </w:rPr>
        <w:t>）</w:t>
      </w:r>
      <w:r w:rsidRPr="0055777C">
        <w:rPr>
          <w:rFonts w:eastAsia="宋体" w:hint="eastAsia"/>
          <w:kern w:val="0"/>
        </w:rPr>
        <w:t>；二是高院经复核后同意判处死刑立即执行并报请的案件（此种</w:t>
      </w:r>
      <w:r w:rsidRPr="00BD158A">
        <w:rPr>
          <w:rFonts w:eastAsia="宋体" w:hint="eastAsia"/>
          <w:color w:val="auto"/>
          <w:kern w:val="0"/>
        </w:rPr>
        <w:t>情形下只有中院的一审和高院的复核）</w:t>
      </w:r>
    </w:p>
    <w:p w14:paraId="07BE15AD" w14:textId="77777777" w:rsidR="00922AAA" w:rsidRPr="00BD158A" w:rsidRDefault="00922AAA" w:rsidP="00922AAA">
      <w:pPr>
        <w:spacing w:line="240" w:lineRule="auto"/>
        <w:ind w:firstLine="420"/>
        <w:rPr>
          <w:rFonts w:eastAsia="宋体" w:hint="eastAsia"/>
          <w:color w:val="auto"/>
          <w:kern w:val="0"/>
        </w:rPr>
      </w:pPr>
      <w:r w:rsidRPr="00BD158A">
        <w:rPr>
          <w:rFonts w:eastAsia="宋体" w:hint="eastAsia"/>
          <w:color w:val="auto"/>
        </w:rPr>
        <w:t>注意：对最高人民法院发回第二审人民法院重新审判的案件，第二审人民法院一般不得发回第一审人民法院重新审判。（“特殊情况”主要是指由一审人民法院重审，更有利于查明案件事实的特殊情形。具体有三：（1）高级人民法院第一次发回重审时明确提出核实证据、查清事实的具体要求，中级人民法院未予查实又作出死刑判决的；（2）最高人民法院发回重审时提出了核实新的证据、查清新的事实的要求，高级人民法院认为只有发回中级人民法院重新审判，才更有利于查清事实的；（3）其他因事实、证据问题，发回中级人民法院重新审判更有利于查清事实、保障案件审理质量和效果的。）</w:t>
      </w:r>
    </w:p>
    <w:p w14:paraId="225247FF" w14:textId="77777777" w:rsidR="00922AAA" w:rsidRPr="00BD158A" w:rsidRDefault="00922AAA" w:rsidP="00922AAA">
      <w:pPr>
        <w:spacing w:line="240" w:lineRule="auto"/>
        <w:ind w:firstLine="420"/>
        <w:rPr>
          <w:rFonts w:eastAsia="宋体" w:hint="eastAsia"/>
          <w:color w:val="auto"/>
          <w:kern w:val="0"/>
        </w:rPr>
      </w:pPr>
      <w:r w:rsidRPr="00BD158A">
        <w:rPr>
          <w:rFonts w:eastAsia="宋体" w:hint="eastAsia"/>
          <w:color w:val="auto"/>
        </w:rPr>
        <w:t>2．最高人民法院裁定不予核准死刑，发回重新审判的案件，原审人民法院应当另行组成合议庭审理，但复核期间出现新的影响定罪量刑的事实、证据或者原判认定事实正确，但依法不应当判处死刑的案件除外。</w:t>
      </w:r>
      <w:bookmarkStart w:id="14" w:name="_Toc510879146"/>
    </w:p>
    <w:p w14:paraId="49A0B350" w14:textId="77777777" w:rsidR="00922AAA" w:rsidRPr="00BD158A" w:rsidRDefault="00922AAA" w:rsidP="00922AAA">
      <w:pPr>
        <w:spacing w:line="240" w:lineRule="auto"/>
        <w:ind w:firstLine="420"/>
        <w:rPr>
          <w:rFonts w:eastAsia="宋体" w:hint="eastAsia"/>
          <w:b/>
          <w:bCs/>
          <w:color w:val="FF0000"/>
        </w:rPr>
      </w:pPr>
      <w:r w:rsidRPr="0055777C">
        <w:rPr>
          <w:rFonts w:eastAsia="宋体" w:hint="eastAsia"/>
        </w:rPr>
        <w:t>3．2021年《法院解释》第433条（</w:t>
      </w:r>
      <w:r w:rsidRPr="0055777C">
        <w:rPr>
          <w:rFonts w:eastAsia="宋体" w:hint="eastAsia"/>
          <w:color w:val="FF0000"/>
        </w:rPr>
        <w:t>新增</w:t>
      </w:r>
      <w:r w:rsidRPr="0055777C">
        <w:rPr>
          <w:rFonts w:eastAsia="宋体" w:hint="eastAsia"/>
        </w:rPr>
        <w:t>）：依照本解释第四百三十条、第四百三十一条发回重新审判的案件（即最高院裁定不予核准，撤销原判发回重审，分两类），第一审人民法院判处死刑、死刑缓期执行的</w:t>
      </w:r>
      <w:r w:rsidRPr="00BD158A">
        <w:rPr>
          <w:rFonts w:eastAsia="宋体" w:hint="eastAsia"/>
          <w:b/>
          <w:bCs/>
        </w:rPr>
        <w:t>，</w:t>
      </w:r>
      <w:r w:rsidRPr="00BD158A">
        <w:rPr>
          <w:rFonts w:eastAsia="宋体" w:hint="eastAsia"/>
          <w:b/>
          <w:bCs/>
          <w:color w:val="FF0000"/>
        </w:rPr>
        <w:t>上一级人民法院依照第二审程序或者复核程序审理后，应当依法作出判决或者裁定，不得再发回重新审判</w:t>
      </w:r>
      <w:r w:rsidRPr="00BD158A">
        <w:rPr>
          <w:rFonts w:eastAsia="宋体" w:hint="eastAsia"/>
          <w:b/>
          <w:bCs/>
        </w:rPr>
        <w:t>。</w:t>
      </w:r>
      <w:r w:rsidRPr="0055777C">
        <w:rPr>
          <w:rFonts w:eastAsia="宋体" w:hint="eastAsia"/>
        </w:rPr>
        <w:t>但是，第一审人民法院有刑事诉讼法第二百三十八条规定的情形或者违反刑事诉讼法第二百三十九条规定的除外。——</w:t>
      </w:r>
      <w:r w:rsidRPr="00BD158A">
        <w:rPr>
          <w:rFonts w:eastAsia="宋体" w:hint="eastAsia"/>
          <w:b/>
          <w:bCs/>
          <w:color w:val="FF0000"/>
        </w:rPr>
        <w:t>死刑复核不予核准发回重审的案件，再次进入二审或者复核程序的，不得再发回，除非是发回重审的案件存在重大程序违法。</w:t>
      </w:r>
    </w:p>
    <w:p w14:paraId="350BEE50" w14:textId="77777777" w:rsidR="00922AAA" w:rsidRDefault="00922AAA" w:rsidP="00922AAA">
      <w:pPr>
        <w:spacing w:line="240" w:lineRule="auto"/>
        <w:ind w:firstLine="420"/>
        <w:rPr>
          <w:rFonts w:eastAsia="宋体" w:hint="eastAsia"/>
          <w:kern w:val="0"/>
        </w:rPr>
      </w:pPr>
      <w:r w:rsidRPr="0055777C">
        <w:rPr>
          <w:rFonts w:eastAsia="宋体" w:hint="eastAsia"/>
        </w:rPr>
        <w:t>三、死刑缓期二年执行案件复核后的处理</w:t>
      </w:r>
      <w:bookmarkEnd w:id="14"/>
    </w:p>
    <w:p w14:paraId="25C23C45" w14:textId="77777777" w:rsidR="00922AAA" w:rsidRPr="00BD158A" w:rsidRDefault="00922AAA" w:rsidP="00922AAA">
      <w:pPr>
        <w:spacing w:line="240" w:lineRule="auto"/>
        <w:ind w:firstLine="422"/>
        <w:rPr>
          <w:rFonts w:eastAsia="宋体" w:hint="eastAsia"/>
          <w:b/>
          <w:bCs/>
          <w:color w:val="FF0000"/>
        </w:rPr>
      </w:pPr>
      <w:r w:rsidRPr="00BD158A">
        <w:rPr>
          <w:rFonts w:eastAsia="宋体" w:hint="eastAsia"/>
          <w:b/>
          <w:bCs/>
          <w:color w:val="FF0000"/>
        </w:rPr>
        <w:t>复核死刑缓期执行案件，不得加重被告人的刑罚。</w:t>
      </w:r>
    </w:p>
    <w:p w14:paraId="278EE84D" w14:textId="77777777" w:rsidR="00922AAA" w:rsidRDefault="00922AAA" w:rsidP="00922AAA">
      <w:pPr>
        <w:spacing w:line="240" w:lineRule="auto"/>
        <w:ind w:firstLine="420"/>
        <w:rPr>
          <w:rFonts w:eastAsia="宋体" w:hint="eastAsia"/>
          <w:kern w:val="0"/>
        </w:rPr>
      </w:pPr>
      <w:r w:rsidRPr="0055777C">
        <w:rPr>
          <w:rFonts w:eastAsia="宋体" w:hint="eastAsia"/>
        </w:rPr>
        <w:t>四、死缓限制减刑案件</w:t>
      </w:r>
    </w:p>
    <w:p w14:paraId="3072A585" w14:textId="77777777" w:rsidR="00922AAA" w:rsidRPr="00BD158A" w:rsidRDefault="00922AAA" w:rsidP="00922AAA">
      <w:pPr>
        <w:spacing w:line="240" w:lineRule="auto"/>
        <w:ind w:firstLine="420"/>
        <w:rPr>
          <w:rFonts w:eastAsia="宋体" w:hint="eastAsia"/>
          <w:b/>
          <w:bCs/>
          <w:kern w:val="0"/>
        </w:rPr>
      </w:pPr>
      <w:r w:rsidRPr="0055777C">
        <w:rPr>
          <w:rFonts w:eastAsia="宋体" w:hint="eastAsia"/>
        </w:rPr>
        <w:t>根据刑法第五十条第二款的规定，对被判处死刑缓期执行的累犯以及因故意杀人、强奸、抢劫、绑架、放火、爆炸、投放危险物质或者有组织的暴力性犯罪</w:t>
      </w:r>
      <w:r w:rsidRPr="00BD158A">
        <w:rPr>
          <w:rFonts w:eastAsia="宋体" w:hint="eastAsia"/>
          <w:b/>
          <w:bCs/>
          <w:color w:val="FF0000"/>
        </w:rPr>
        <w:t>被判处死刑缓期执行</w:t>
      </w:r>
      <w:r w:rsidRPr="0055777C">
        <w:rPr>
          <w:rFonts w:eastAsia="宋体" w:hint="eastAsia"/>
        </w:rPr>
        <w:t>的犯罪分子，人民法院根据犯罪情节、人身危险性等情况</w:t>
      </w:r>
      <w:r w:rsidRPr="00BD158A">
        <w:rPr>
          <w:rFonts w:eastAsia="宋体" w:hint="eastAsia"/>
          <w:b/>
          <w:bCs/>
        </w:rPr>
        <w:t>，</w:t>
      </w:r>
      <w:r w:rsidRPr="00BD158A">
        <w:rPr>
          <w:rFonts w:eastAsia="宋体" w:hint="eastAsia"/>
          <w:b/>
          <w:bCs/>
          <w:color w:val="FF0000"/>
        </w:rPr>
        <w:t>可以在作出裁判的同时决定对其限制减刑。</w:t>
      </w:r>
    </w:p>
    <w:p w14:paraId="3944A719" w14:textId="77777777" w:rsidR="00922AAA" w:rsidRDefault="00922AAA" w:rsidP="00922AAA">
      <w:pPr>
        <w:spacing w:line="240" w:lineRule="auto"/>
        <w:ind w:firstLine="420"/>
        <w:rPr>
          <w:rFonts w:eastAsia="宋体" w:hint="eastAsia"/>
          <w:b/>
          <w:bCs/>
        </w:rPr>
      </w:pPr>
      <w:r w:rsidRPr="0055777C">
        <w:rPr>
          <w:rFonts w:eastAsia="宋体" w:hint="eastAsia"/>
        </w:rPr>
        <w:t>《最高人民法院关于死刑缓期执行限制减刑案件审理程序若干问题的规定》（2011）（以下简称规定）第3条规定：“高级人民法院审理或者复核判处死刑缓期执行并限制减刑的案</w:t>
      </w:r>
      <w:r w:rsidRPr="007D76A6">
        <w:rPr>
          <w:rFonts w:eastAsia="宋体" w:hint="eastAsia"/>
          <w:color w:val="auto"/>
        </w:rPr>
        <w:t>件，认为原判对被告人判处死刑缓期执行适当，但判决限制减刑不当的，应当改判，撤销限制减刑。”即</w:t>
      </w:r>
      <w:r w:rsidRPr="007D76A6">
        <w:rPr>
          <w:rFonts w:eastAsia="宋体" w:hint="eastAsia"/>
          <w:b/>
          <w:bCs/>
          <w:color w:val="auto"/>
        </w:rPr>
        <w:t>认定事实正确，但量刑过重的，应当直接改判为较轻刑罚，而不需要撤销原判，发回重审；认定事实正确，量刑适当，只是限制减刑不当的，也应当直接改判，撤销限制减刑即可。</w:t>
      </w:r>
      <w:r w:rsidRPr="007D76A6">
        <w:rPr>
          <w:rFonts w:eastAsia="宋体" w:hint="eastAsia"/>
          <w:color w:val="auto"/>
        </w:rPr>
        <w:t>《规定》第4条规定：“高级人</w:t>
      </w:r>
      <w:r w:rsidRPr="0055777C">
        <w:rPr>
          <w:rFonts w:eastAsia="宋体" w:hint="eastAsia"/>
        </w:rPr>
        <w:t>民法院审理判处死刑缓期执行没有限制减刑的上诉案件，认为原判事实清楚、证据充分，但应当限制减刑的，不得直接改判，也不得发回重新审判。</w:t>
      </w:r>
      <w:r w:rsidRPr="00490485">
        <w:rPr>
          <w:rFonts w:eastAsia="宋体" w:hint="eastAsia"/>
          <w:b/>
          <w:bCs/>
          <w:color w:val="FF0000"/>
        </w:rPr>
        <w:t>确有必要限制减刑的，应当在第二审判决、裁定生效后，按照审判监督程序重新审判</w:t>
      </w:r>
      <w:r w:rsidRPr="00490485">
        <w:rPr>
          <w:rFonts w:eastAsia="宋体" w:hint="eastAsia"/>
          <w:b/>
          <w:bCs/>
        </w:rPr>
        <w:t>。</w:t>
      </w:r>
      <w:r w:rsidRPr="0055777C">
        <w:rPr>
          <w:rFonts w:eastAsia="宋体" w:hint="eastAsia"/>
        </w:rPr>
        <w:t>高级人民法院复核判处死刑缓期执行没有限制减刑的案件，认为应当限制减刑的，</w:t>
      </w:r>
      <w:r w:rsidRPr="00490485">
        <w:rPr>
          <w:rFonts w:eastAsia="宋体" w:hint="eastAsia"/>
          <w:b/>
          <w:bCs/>
          <w:color w:val="FF0000"/>
        </w:rPr>
        <w:t>不得以提高审级等方式对被告人限制减刑</w:t>
      </w:r>
      <w:r w:rsidRPr="00490485">
        <w:rPr>
          <w:rFonts w:eastAsia="宋体" w:hint="eastAsia"/>
          <w:b/>
          <w:bCs/>
        </w:rPr>
        <w:t>。”</w:t>
      </w:r>
      <w:r w:rsidRPr="0055777C">
        <w:rPr>
          <w:rFonts w:eastAsia="宋体" w:hint="eastAsia"/>
        </w:rPr>
        <w:t>本规定也是“</w:t>
      </w:r>
      <w:r w:rsidRPr="00490485">
        <w:rPr>
          <w:rFonts w:eastAsia="宋体" w:hint="eastAsia"/>
          <w:b/>
          <w:bCs/>
          <w:color w:val="FF0000"/>
        </w:rPr>
        <w:t>高级人民法院复核死刑缓期执行案件，不得加重被告人的刑罚</w:t>
      </w:r>
      <w:r w:rsidRPr="00490485">
        <w:rPr>
          <w:rFonts w:eastAsia="宋体" w:hint="eastAsia"/>
          <w:b/>
          <w:bCs/>
        </w:rPr>
        <w:t>”</w:t>
      </w:r>
      <w:r w:rsidRPr="0055777C">
        <w:rPr>
          <w:rFonts w:eastAsia="宋体" w:hint="eastAsia"/>
        </w:rPr>
        <w:t>的应有之义。《规定》第5条规定：“高级人民法院审理判处死刑的第二审案件，对被告人</w:t>
      </w:r>
      <w:r w:rsidRPr="00490485">
        <w:rPr>
          <w:rFonts w:eastAsia="宋体" w:hint="eastAsia"/>
          <w:b/>
          <w:bCs/>
          <w:color w:val="FF0000"/>
        </w:rPr>
        <w:t>改判死刑缓期执行</w:t>
      </w:r>
      <w:r w:rsidRPr="0055777C">
        <w:rPr>
          <w:rFonts w:eastAsia="宋体" w:hint="eastAsia"/>
        </w:rPr>
        <w:t>的，如果符合刑法第五十条第二款的规定，</w:t>
      </w:r>
      <w:r w:rsidRPr="00490485">
        <w:rPr>
          <w:rFonts w:eastAsia="宋体" w:hint="eastAsia"/>
          <w:b/>
          <w:bCs/>
          <w:color w:val="FF0000"/>
        </w:rPr>
        <w:t>可以同时决定对其限制减刑</w:t>
      </w:r>
      <w:r w:rsidRPr="00490485">
        <w:rPr>
          <w:rFonts w:eastAsia="宋体" w:hint="eastAsia"/>
          <w:b/>
          <w:bCs/>
        </w:rPr>
        <w:t>。</w:t>
      </w:r>
      <w:r w:rsidRPr="0055777C">
        <w:rPr>
          <w:rFonts w:eastAsia="宋体" w:hint="eastAsia"/>
        </w:rPr>
        <w:t>高级人民法院复核判处死刑后没有上诉、抗诉的案件</w:t>
      </w:r>
      <w:r w:rsidRPr="005A48A0">
        <w:rPr>
          <w:rFonts w:eastAsia="宋体" w:hint="eastAsia"/>
          <w:color w:val="auto"/>
        </w:rPr>
        <w:t>，</w:t>
      </w:r>
      <w:r w:rsidRPr="005A48A0">
        <w:rPr>
          <w:rFonts w:eastAsia="宋体" w:hint="eastAsia"/>
          <w:b/>
          <w:bCs/>
          <w:color w:val="auto"/>
        </w:rPr>
        <w:t>认为应当改判死刑缓期执行并限制减刑的，可以提审或者发回重新审判。</w:t>
      </w:r>
    </w:p>
    <w:p w14:paraId="19CB4460" w14:textId="38ECD82D" w:rsidR="00922AAA" w:rsidRPr="00103300" w:rsidRDefault="00922AAA" w:rsidP="00922AAA">
      <w:pPr>
        <w:pStyle w:val="1"/>
        <w:spacing w:before="0" w:line="240" w:lineRule="auto"/>
        <w:rPr>
          <w:rFonts w:ascii="宋体" w:eastAsia="宋体" w:hAnsi="宋体" w:hint="eastAsia"/>
          <w:b/>
          <w:bCs w:val="0"/>
          <w:color w:val="FF0000"/>
          <w:spacing w:val="-6"/>
          <w:sz w:val="22"/>
          <w:szCs w:val="22"/>
        </w:rPr>
      </w:pPr>
      <w:bookmarkStart w:id="15" w:name="_Toc4844152"/>
      <w:bookmarkStart w:id="16" w:name="_Toc64384730"/>
      <w:bookmarkStart w:id="17" w:name="_Toc126331823"/>
      <w:r w:rsidRPr="0055777C">
        <w:rPr>
          <w:rFonts w:ascii="宋体" w:eastAsia="宋体" w:hAnsi="宋体" w:hint="eastAsia"/>
          <w:b/>
          <w:bCs w:val="0"/>
          <w:color w:val="auto"/>
          <w:spacing w:val="-6"/>
          <w:sz w:val="22"/>
          <w:szCs w:val="22"/>
        </w:rPr>
        <w:lastRenderedPageBreak/>
        <w:t>考点</w:t>
      </w:r>
      <w:r>
        <w:rPr>
          <w:rFonts w:ascii="宋体" w:eastAsia="宋体" w:hAnsi="宋体" w:hint="eastAsia"/>
          <w:b/>
          <w:bCs w:val="0"/>
          <w:color w:val="auto"/>
          <w:spacing w:val="-6"/>
          <w:sz w:val="22"/>
          <w:szCs w:val="22"/>
        </w:rPr>
        <w:t>55</w:t>
      </w:r>
      <w:r w:rsidRPr="0055777C">
        <w:rPr>
          <w:rFonts w:ascii="宋体" w:eastAsia="宋体" w:hAnsi="宋体"/>
          <w:b/>
          <w:bCs w:val="0"/>
          <w:color w:val="auto"/>
          <w:spacing w:val="-6"/>
          <w:sz w:val="22"/>
          <w:szCs w:val="22"/>
        </w:rPr>
        <w:t xml:space="preserve">  </w:t>
      </w:r>
      <w:r w:rsidRPr="0055777C">
        <w:rPr>
          <w:rFonts w:ascii="宋体" w:eastAsia="宋体" w:hAnsi="宋体" w:hint="eastAsia"/>
          <w:b/>
          <w:bCs w:val="0"/>
          <w:color w:val="auto"/>
          <w:spacing w:val="-6"/>
          <w:sz w:val="22"/>
          <w:szCs w:val="22"/>
        </w:rPr>
        <w:t>提起审判监督程序的材料来源和理由</w:t>
      </w:r>
      <w:bookmarkEnd w:id="15"/>
      <w:bookmarkEnd w:id="16"/>
      <w:bookmarkEnd w:id="17"/>
      <w:r w:rsidRPr="0055777C">
        <w:rPr>
          <w:rFonts w:ascii="宋体" w:eastAsia="宋体" w:hAnsi="宋体" w:hint="eastAsia"/>
          <w:b/>
          <w:bCs w:val="0"/>
          <w:color w:val="auto"/>
          <w:spacing w:val="-6"/>
          <w:sz w:val="22"/>
          <w:szCs w:val="22"/>
        </w:rPr>
        <w:t>（</w:t>
      </w:r>
      <w:r>
        <w:rPr>
          <w:rFonts w:ascii="宋体" w:eastAsia="宋体" w:hAnsi="宋体" w:hint="eastAsia"/>
          <w:b/>
          <w:bCs w:val="0"/>
          <w:color w:val="auto"/>
          <w:spacing w:val="-6"/>
          <w:sz w:val="22"/>
          <w:szCs w:val="22"/>
        </w:rPr>
        <w:t>22</w:t>
      </w:r>
      <w:r w:rsidRPr="0055777C">
        <w:rPr>
          <w:rFonts w:ascii="宋体" w:eastAsia="宋体" w:hAnsi="宋体"/>
          <w:b/>
          <w:bCs w:val="0"/>
          <w:color w:val="auto"/>
          <w:spacing w:val="-6"/>
          <w:sz w:val="22"/>
          <w:szCs w:val="22"/>
        </w:rPr>
        <w:t>:</w:t>
      </w:r>
      <w:r w:rsidR="002A37EB">
        <w:rPr>
          <w:rFonts w:ascii="宋体" w:eastAsia="宋体" w:hAnsi="宋体" w:hint="eastAsia"/>
          <w:b/>
          <w:bCs w:val="0"/>
          <w:color w:val="auto"/>
          <w:spacing w:val="-6"/>
          <w:sz w:val="22"/>
          <w:szCs w:val="22"/>
        </w:rPr>
        <w:t>08</w:t>
      </w:r>
      <w:r w:rsidRPr="0055777C">
        <w:rPr>
          <w:rFonts w:ascii="宋体" w:eastAsia="宋体" w:hAnsi="宋体"/>
          <w:b/>
          <w:bCs w:val="0"/>
          <w:color w:val="auto"/>
          <w:spacing w:val="-6"/>
          <w:sz w:val="22"/>
          <w:szCs w:val="22"/>
        </w:rPr>
        <w:t>:00-</w:t>
      </w:r>
      <w:r>
        <w:rPr>
          <w:rFonts w:ascii="宋体" w:eastAsia="宋体" w:hAnsi="宋体" w:hint="eastAsia"/>
          <w:b/>
          <w:bCs w:val="0"/>
          <w:color w:val="auto"/>
          <w:spacing w:val="-6"/>
          <w:sz w:val="22"/>
          <w:szCs w:val="22"/>
        </w:rPr>
        <w:t>22</w:t>
      </w:r>
      <w:r w:rsidRPr="0055777C">
        <w:rPr>
          <w:rFonts w:ascii="宋体" w:eastAsia="宋体" w:hAnsi="宋体"/>
          <w:b/>
          <w:bCs w:val="0"/>
          <w:color w:val="auto"/>
          <w:spacing w:val="-6"/>
          <w:sz w:val="22"/>
          <w:szCs w:val="22"/>
        </w:rPr>
        <w:t>:</w:t>
      </w:r>
      <w:r w:rsidR="002D65DB">
        <w:rPr>
          <w:rFonts w:ascii="宋体" w:eastAsia="宋体" w:hAnsi="宋体" w:hint="eastAsia"/>
          <w:b/>
          <w:bCs w:val="0"/>
          <w:color w:val="auto"/>
          <w:spacing w:val="-6"/>
          <w:sz w:val="22"/>
          <w:szCs w:val="22"/>
        </w:rPr>
        <w:t>45</w:t>
      </w:r>
      <w:r w:rsidRPr="0055777C">
        <w:rPr>
          <w:rFonts w:ascii="宋体" w:eastAsia="宋体" w:hAnsi="宋体"/>
          <w:b/>
          <w:bCs w:val="0"/>
          <w:color w:val="auto"/>
          <w:spacing w:val="-6"/>
          <w:sz w:val="22"/>
          <w:szCs w:val="22"/>
        </w:rPr>
        <w:t>:00）</w:t>
      </w:r>
    </w:p>
    <w:p w14:paraId="260AC5A2" w14:textId="77777777" w:rsidR="00922AAA" w:rsidRPr="0055777C" w:rsidRDefault="00922AAA" w:rsidP="00922AAA">
      <w:pPr>
        <w:pStyle w:val="3"/>
        <w:spacing w:line="240" w:lineRule="auto"/>
        <w:ind w:firstLineChars="200" w:firstLine="420"/>
        <w:rPr>
          <w:rFonts w:eastAsia="宋体" w:hint="eastAsia"/>
          <w:sz w:val="21"/>
        </w:rPr>
      </w:pPr>
      <w:bookmarkStart w:id="18" w:name="_Toc510879149"/>
      <w:r w:rsidRPr="0055777C">
        <w:rPr>
          <w:rFonts w:eastAsia="宋体" w:hint="eastAsia"/>
          <w:sz w:val="21"/>
        </w:rPr>
        <w:t>一、有权提出申诉的主体和期限</w:t>
      </w:r>
      <w:bookmarkEnd w:id="18"/>
    </w:p>
    <w:p w14:paraId="064C9885"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（一）有权提出申诉的主体</w:t>
      </w:r>
    </w:p>
    <w:p w14:paraId="4383D06D" w14:textId="77777777" w:rsidR="00922AAA" w:rsidRPr="0055777C" w:rsidRDefault="00922AAA" w:rsidP="00922AAA">
      <w:pPr>
        <w:spacing w:line="240" w:lineRule="auto"/>
        <w:ind w:firstLine="420"/>
        <w:rPr>
          <w:rFonts w:eastAsia="宋体" w:hint="eastAsia"/>
        </w:rPr>
      </w:pPr>
      <w:r w:rsidRPr="0055777C">
        <w:rPr>
          <w:rFonts w:eastAsia="宋体" w:hint="eastAsia"/>
        </w:rPr>
        <w:t>当事人及其法定代理人、近亲属对已经发生法律效力的判决、裁定提出申诉的，人民法院应当审查处理。案外人认为已经发生法律效力的判决、裁定侵害其合法权益，提出申诉的，人民法院应当审查处理。可见，</w:t>
      </w:r>
      <w:r w:rsidRPr="00736F12">
        <w:rPr>
          <w:rFonts w:eastAsia="宋体" w:hint="eastAsia"/>
          <w:b/>
          <w:bCs/>
          <w:color w:val="FF0000"/>
        </w:rPr>
        <w:t>当事人及其法定代理人、近亲属、认为生效裁判侵害其合法权益的案外人</w:t>
      </w:r>
      <w:r w:rsidRPr="0055777C">
        <w:rPr>
          <w:rFonts w:eastAsia="宋体" w:hint="eastAsia"/>
        </w:rPr>
        <w:t>均可提出申诉。申诉可</w:t>
      </w:r>
      <w:r w:rsidRPr="00736F12">
        <w:rPr>
          <w:rFonts w:eastAsia="宋体" w:hint="eastAsia"/>
          <w:b/>
          <w:bCs/>
          <w:color w:val="FF0000"/>
        </w:rPr>
        <w:t>委托律师</w:t>
      </w:r>
      <w:r w:rsidRPr="0055777C">
        <w:rPr>
          <w:rFonts w:eastAsia="宋体" w:hint="eastAsia"/>
        </w:rPr>
        <w:t>代为进行。</w:t>
      </w:r>
    </w:p>
    <w:p w14:paraId="32DFC296"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（二）有权提出申诉的期限</w:t>
      </w:r>
    </w:p>
    <w:p w14:paraId="4D38B7ED" w14:textId="77777777" w:rsidR="00922AAA" w:rsidRDefault="00922AAA" w:rsidP="00922AAA">
      <w:pPr>
        <w:spacing w:line="240" w:lineRule="auto"/>
        <w:ind w:firstLine="422"/>
        <w:rPr>
          <w:rFonts w:eastAsia="宋体" w:hint="eastAsia"/>
        </w:rPr>
      </w:pPr>
      <w:r w:rsidRPr="00736F12">
        <w:rPr>
          <w:rFonts w:eastAsia="宋体" w:hint="eastAsia"/>
          <w:b/>
          <w:bCs/>
          <w:color w:val="FF0000"/>
        </w:rPr>
        <w:t>一般刑罚执行完毕后两年内</w:t>
      </w:r>
      <w:r>
        <w:rPr>
          <w:rFonts w:eastAsia="宋体" w:hint="eastAsia"/>
        </w:rPr>
        <w:t>，</w:t>
      </w:r>
      <w:r w:rsidRPr="0055777C">
        <w:rPr>
          <w:rFonts w:eastAsia="宋体" w:hint="eastAsia"/>
        </w:rPr>
        <w:t>例外</w:t>
      </w:r>
      <w:r>
        <w:rPr>
          <w:rFonts w:eastAsia="宋体" w:hint="eastAsia"/>
        </w:rPr>
        <w:t>（1）</w:t>
      </w:r>
      <w:r w:rsidRPr="00233841">
        <w:rPr>
          <w:rFonts w:eastAsia="宋体" w:hint="eastAsia"/>
        </w:rPr>
        <w:t>可能对原审被告人宣告无罪的</w:t>
      </w:r>
      <w:r>
        <w:rPr>
          <w:rFonts w:eastAsia="宋体" w:hint="eastAsia"/>
        </w:rPr>
        <w:t>（2）</w:t>
      </w:r>
      <w:r w:rsidRPr="00233841">
        <w:rPr>
          <w:rFonts w:eastAsia="宋体" w:hint="eastAsia"/>
        </w:rPr>
        <w:t>原审被告人在刑罚执行完毕两年内提出申诉，人民法院未受理的</w:t>
      </w:r>
      <w:r>
        <w:rPr>
          <w:rFonts w:eastAsia="宋体" w:hint="eastAsia"/>
        </w:rPr>
        <w:t>（3）</w:t>
      </w:r>
      <w:r w:rsidRPr="00233841">
        <w:rPr>
          <w:rFonts w:eastAsia="宋体" w:hint="eastAsia"/>
        </w:rPr>
        <w:t>属于疑难、复杂、重大案件的</w:t>
      </w:r>
      <w:bookmarkStart w:id="19" w:name="_Toc510879150"/>
    </w:p>
    <w:p w14:paraId="13F4EB39" w14:textId="77777777" w:rsidR="00922AAA" w:rsidRDefault="00922AAA" w:rsidP="00922AAA">
      <w:pPr>
        <w:spacing w:line="240" w:lineRule="auto"/>
        <w:ind w:firstLine="420"/>
        <w:rPr>
          <w:rFonts w:eastAsia="宋体" w:hint="eastAsia"/>
        </w:rPr>
      </w:pPr>
      <w:r w:rsidRPr="0055777C">
        <w:rPr>
          <w:rFonts w:eastAsia="宋体" w:hint="eastAsia"/>
        </w:rPr>
        <w:t>二、申诉的受理</w:t>
      </w:r>
      <w:bookmarkEnd w:id="19"/>
    </w:p>
    <w:p w14:paraId="35F0A14E" w14:textId="77777777" w:rsidR="00922AAA" w:rsidRDefault="00922AAA" w:rsidP="00922AAA">
      <w:pPr>
        <w:spacing w:line="240" w:lineRule="auto"/>
        <w:ind w:firstLine="420"/>
        <w:rPr>
          <w:rFonts w:eastAsia="宋体" w:hint="eastAsia"/>
        </w:rPr>
      </w:pPr>
      <w:r w:rsidRPr="0055777C">
        <w:rPr>
          <w:rFonts w:eastAsia="宋体" w:hint="eastAsia"/>
        </w:rPr>
        <w:t>（一）人民法院对申诉案件的受理</w:t>
      </w:r>
    </w:p>
    <w:p w14:paraId="6B68FEA1" w14:textId="77777777" w:rsidR="00922AAA" w:rsidRPr="00736F12" w:rsidRDefault="00922AAA" w:rsidP="00922AAA">
      <w:pPr>
        <w:spacing w:line="240" w:lineRule="auto"/>
        <w:ind w:firstLine="422"/>
        <w:rPr>
          <w:rFonts w:eastAsia="宋体" w:hint="eastAsia"/>
          <w:b/>
          <w:bCs/>
          <w:color w:val="FF0000"/>
        </w:rPr>
      </w:pPr>
      <w:r w:rsidRPr="00736F12">
        <w:rPr>
          <w:rFonts w:eastAsia="宋体" w:hint="eastAsia"/>
          <w:b/>
          <w:bCs/>
          <w:color w:val="FF0000"/>
        </w:rPr>
        <w:t>2021年《法院解释》第454条新增“指令异地审查申诉”：</w:t>
      </w:r>
      <w:r w:rsidRPr="0055777C">
        <w:rPr>
          <w:rFonts w:eastAsia="宋体" w:hint="eastAsia"/>
        </w:rPr>
        <w:t>最高人民法院或者上级人民法院可以指定</w:t>
      </w:r>
      <w:r w:rsidRPr="00736F12">
        <w:rPr>
          <w:rFonts w:eastAsia="宋体" w:hint="eastAsia"/>
          <w:b/>
          <w:bCs/>
          <w:color w:val="FF0000"/>
        </w:rPr>
        <w:t>终审人民法院以外的人民法院</w:t>
      </w:r>
      <w:r w:rsidRPr="0055777C">
        <w:rPr>
          <w:rFonts w:eastAsia="宋体" w:hint="eastAsia"/>
        </w:rPr>
        <w:t>对申诉进行审查。被指定的人民法院审查后，应当制作审查报告，提出处理意见，</w:t>
      </w:r>
      <w:r w:rsidRPr="00736F12">
        <w:rPr>
          <w:rFonts w:eastAsia="宋体" w:hint="eastAsia"/>
          <w:b/>
          <w:bCs/>
          <w:color w:val="FF0000"/>
        </w:rPr>
        <w:t>层报最高人民法院或者上级人民法院审查处理。</w:t>
      </w:r>
    </w:p>
    <w:p w14:paraId="35FD69C3" w14:textId="77777777" w:rsidR="00922AAA" w:rsidRDefault="00922AAA" w:rsidP="00922AAA">
      <w:pPr>
        <w:spacing w:line="240" w:lineRule="auto"/>
        <w:ind w:firstLine="420"/>
        <w:rPr>
          <w:rFonts w:eastAsia="宋体" w:hint="eastAsia"/>
        </w:rPr>
      </w:pPr>
      <w:r w:rsidRPr="0055777C">
        <w:rPr>
          <w:rFonts w:eastAsia="宋体" w:hint="eastAsia"/>
        </w:rPr>
        <w:t>（二）人民检察院对申诉案件的受理</w:t>
      </w:r>
    </w:p>
    <w:p w14:paraId="55CF40AB" w14:textId="77777777" w:rsidR="00922AAA" w:rsidRDefault="00922AAA" w:rsidP="00922AAA">
      <w:pPr>
        <w:spacing w:line="240" w:lineRule="auto"/>
        <w:ind w:firstLine="420"/>
        <w:rPr>
          <w:rFonts w:eastAsia="宋体" w:hint="eastAsia"/>
        </w:rPr>
      </w:pPr>
      <w:r w:rsidRPr="0055777C">
        <w:rPr>
          <w:rFonts w:eastAsia="宋体" w:hint="eastAsia"/>
        </w:rPr>
        <w:t>上级检察院</w:t>
      </w:r>
      <w:r>
        <w:rPr>
          <w:rFonts w:eastAsia="宋体" w:hint="eastAsia"/>
        </w:rPr>
        <w:t>在</w:t>
      </w:r>
      <w:r w:rsidRPr="0055777C">
        <w:rPr>
          <w:rFonts w:eastAsia="宋体" w:hint="eastAsia"/>
        </w:rPr>
        <w:t>一般情况下交作出生效裁判的法院的同级检察院受理</w:t>
      </w:r>
      <w:r>
        <w:rPr>
          <w:rFonts w:eastAsia="宋体" w:hint="eastAsia"/>
        </w:rPr>
        <w:t>；</w:t>
      </w:r>
      <w:r w:rsidRPr="0055777C">
        <w:rPr>
          <w:rFonts w:eastAsia="宋体" w:hint="eastAsia"/>
        </w:rPr>
        <w:t>案件重大疑难复杂可以直接受理</w:t>
      </w:r>
      <w:bookmarkStart w:id="20" w:name="_Toc510879151"/>
    </w:p>
    <w:p w14:paraId="0AF0D05E" w14:textId="77777777" w:rsidR="00922AAA" w:rsidRDefault="00922AAA" w:rsidP="00922AAA">
      <w:pPr>
        <w:spacing w:line="240" w:lineRule="auto"/>
        <w:ind w:firstLine="420"/>
        <w:rPr>
          <w:rFonts w:eastAsia="宋体" w:hint="eastAsia"/>
        </w:rPr>
      </w:pPr>
      <w:r w:rsidRPr="0055777C">
        <w:rPr>
          <w:rFonts w:eastAsia="宋体" w:hint="eastAsia"/>
        </w:rPr>
        <w:t>三、对申诉的审查及期限</w:t>
      </w:r>
    </w:p>
    <w:p w14:paraId="53765D5F" w14:textId="77777777" w:rsidR="00922AAA" w:rsidRDefault="00922AAA" w:rsidP="00922AAA">
      <w:pPr>
        <w:spacing w:line="240" w:lineRule="auto"/>
        <w:ind w:firstLine="420"/>
        <w:rPr>
          <w:rFonts w:eastAsia="宋体" w:hint="eastAsia"/>
        </w:rPr>
      </w:pPr>
      <w:r w:rsidRPr="0055777C">
        <w:rPr>
          <w:rFonts w:eastAsia="宋体" w:hint="eastAsia"/>
        </w:rPr>
        <w:t>（一）申诉审查的内容（提起审判监督程序的理由）</w:t>
      </w:r>
    </w:p>
    <w:p w14:paraId="7EE8DA54" w14:textId="77777777" w:rsidR="00922AAA" w:rsidRPr="007E673C" w:rsidRDefault="00922AAA" w:rsidP="00922AAA">
      <w:pPr>
        <w:spacing w:line="240" w:lineRule="auto"/>
        <w:ind w:firstLine="420"/>
        <w:rPr>
          <w:rFonts w:eastAsia="宋体" w:hint="eastAsia"/>
          <w:b/>
          <w:bCs/>
          <w:color w:val="FF0000"/>
        </w:rPr>
      </w:pPr>
      <w:r w:rsidRPr="0055777C">
        <w:rPr>
          <w:rFonts w:eastAsia="宋体" w:hint="eastAsia"/>
        </w:rPr>
        <w:t>对申诉的审查实际上可以分为两步，</w:t>
      </w:r>
      <w:r w:rsidRPr="007E673C">
        <w:rPr>
          <w:rFonts w:eastAsia="宋体" w:hint="eastAsia"/>
          <w:b/>
          <w:bCs/>
          <w:color w:val="FF0000"/>
        </w:rPr>
        <w:t>第一步是程序性审查，</w:t>
      </w:r>
      <w:r w:rsidRPr="007E673C">
        <w:rPr>
          <w:rFonts w:eastAsia="宋体" w:hint="eastAsia"/>
          <w:color w:val="auto"/>
        </w:rPr>
        <w:t>也即审查申诉是否符合形式性要件，包括是否符合管辖、期限的规定，从而决定是否受理；</w:t>
      </w:r>
      <w:r w:rsidRPr="007E673C">
        <w:rPr>
          <w:rFonts w:eastAsia="宋体" w:hint="eastAsia"/>
          <w:b/>
          <w:bCs/>
          <w:color w:val="FF0000"/>
        </w:rPr>
        <w:t>第二步是立案受理后的实体性审查，</w:t>
      </w:r>
      <w:r w:rsidRPr="007E673C">
        <w:rPr>
          <w:rFonts w:eastAsia="宋体" w:hint="eastAsia"/>
          <w:color w:val="auto"/>
        </w:rPr>
        <w:t>也即审查申诉理由是否符合人民法院重新审判或人民检察院提出抗诉的条件，从而决定是否对案件予以重新审判。</w:t>
      </w:r>
    </w:p>
    <w:p w14:paraId="460CBA08" w14:textId="77777777" w:rsidR="00922AAA" w:rsidRPr="005B2ECD" w:rsidRDefault="00922AAA" w:rsidP="00922AAA">
      <w:pPr>
        <w:spacing w:line="240" w:lineRule="auto"/>
        <w:ind w:firstLine="420"/>
        <w:rPr>
          <w:rFonts w:eastAsia="宋体" w:hint="eastAsia"/>
        </w:rPr>
      </w:pPr>
      <w:r w:rsidRPr="0055777C">
        <w:rPr>
          <w:rFonts w:eastAsia="宋体" w:hint="eastAsia"/>
        </w:rPr>
        <w:t>此外，《法院解释》第458条规定：具有下列情形之一，可能改变原判决、裁定据以定罪量刑的事实的证据，应当认定为刑事诉讼法第二百五十三条第一项规定的</w:t>
      </w:r>
      <w:r w:rsidRPr="007E673C">
        <w:rPr>
          <w:rFonts w:eastAsia="宋体" w:hint="eastAsia"/>
          <w:b/>
          <w:bCs/>
        </w:rPr>
        <w:t>“</w:t>
      </w:r>
      <w:r w:rsidRPr="007E673C">
        <w:rPr>
          <w:rFonts w:eastAsia="宋体" w:hint="eastAsia"/>
          <w:b/>
          <w:bCs/>
          <w:color w:val="FF0000"/>
        </w:rPr>
        <w:t>新的证据</w:t>
      </w:r>
      <w:r w:rsidRPr="007E673C">
        <w:rPr>
          <w:rFonts w:eastAsia="宋体" w:hint="eastAsia"/>
          <w:b/>
          <w:bCs/>
        </w:rPr>
        <w:t>”：</w:t>
      </w:r>
      <w:r>
        <w:rPr>
          <w:rFonts w:eastAsia="宋体" w:hint="eastAsia"/>
        </w:rPr>
        <w:t>（1）</w:t>
      </w:r>
      <w:r w:rsidRPr="005B2ECD">
        <w:rPr>
          <w:rFonts w:eastAsia="宋体" w:hint="eastAsia"/>
        </w:rPr>
        <w:t>原判决、裁定生效后新发现的证据</w:t>
      </w:r>
      <w:r>
        <w:rPr>
          <w:rFonts w:eastAsia="宋体" w:hint="eastAsia"/>
        </w:rPr>
        <w:t>（2）</w:t>
      </w:r>
      <w:r w:rsidRPr="005B2ECD">
        <w:rPr>
          <w:rFonts w:eastAsia="宋体" w:hint="eastAsia"/>
        </w:rPr>
        <w:t>原判决、裁定生效前已经发现，但未予收集的证据</w:t>
      </w:r>
      <w:r>
        <w:rPr>
          <w:rFonts w:eastAsia="宋体" w:hint="eastAsia"/>
        </w:rPr>
        <w:t>（3）</w:t>
      </w:r>
      <w:r w:rsidRPr="005B2ECD">
        <w:rPr>
          <w:rFonts w:eastAsia="宋体" w:hint="eastAsia"/>
        </w:rPr>
        <w:t>原判决、裁定生效前已经收集，但未经质证的证据</w:t>
      </w:r>
      <w:r>
        <w:rPr>
          <w:rFonts w:eastAsia="宋体" w:hint="eastAsia"/>
        </w:rPr>
        <w:t>（4）</w:t>
      </w:r>
      <w:r w:rsidRPr="005B2ECD">
        <w:rPr>
          <w:rFonts w:eastAsia="宋体" w:hint="eastAsia"/>
        </w:rPr>
        <w:t>原判决、裁定所依据的鉴定意见，勘验、检查等笔录或者其他证据被改变或者否定的</w:t>
      </w:r>
    </w:p>
    <w:p w14:paraId="7149A5F0"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（二）申诉审查的期限</w:t>
      </w:r>
    </w:p>
    <w:p w14:paraId="316FCAA5" w14:textId="77777777" w:rsidR="00922AAA" w:rsidRPr="0055777C" w:rsidRDefault="00922AAA" w:rsidP="00922AAA">
      <w:pPr>
        <w:spacing w:line="240" w:lineRule="auto"/>
        <w:ind w:firstLine="420"/>
        <w:rPr>
          <w:rFonts w:eastAsia="宋体" w:hint="eastAsia"/>
        </w:rPr>
      </w:pPr>
      <w:r w:rsidRPr="0055777C">
        <w:rPr>
          <w:rFonts w:eastAsia="宋体" w:hint="eastAsia"/>
        </w:rPr>
        <w:t>对立案审查的申诉案件，</w:t>
      </w:r>
      <w:r w:rsidRPr="007E673C">
        <w:rPr>
          <w:rFonts w:eastAsia="宋体" w:hint="eastAsia"/>
          <w:b/>
          <w:bCs/>
          <w:color w:val="FF0000"/>
        </w:rPr>
        <w:t>应当在三个月以内作出决定，至迟不得超过六个月</w:t>
      </w:r>
      <w:r w:rsidRPr="007E673C">
        <w:rPr>
          <w:rFonts w:eastAsia="宋体" w:hint="eastAsia"/>
          <w:b/>
          <w:bCs/>
        </w:rPr>
        <w:t>。</w:t>
      </w:r>
      <w:r w:rsidRPr="0055777C">
        <w:rPr>
          <w:rFonts w:eastAsia="宋体" w:hint="eastAsia"/>
        </w:rPr>
        <w:t>因案件疑难、复杂、重大或者其他特殊原因需要延长审查期限的，参照本解释第二百一十条的规定（报上一级法院申请延期3个月，再延长的需报最高法，予以批准的，可以延长审理期限一至三个月。期限届满案件仍然不能审结的，可以再次提出申请。）处理。</w:t>
      </w:r>
    </w:p>
    <w:p w14:paraId="28BDE97E" w14:textId="77777777" w:rsidR="00922AAA" w:rsidRPr="0055777C" w:rsidRDefault="00922AAA" w:rsidP="00922AAA">
      <w:pPr>
        <w:pStyle w:val="3"/>
        <w:spacing w:line="240" w:lineRule="auto"/>
        <w:ind w:firstLineChars="200" w:firstLine="420"/>
        <w:rPr>
          <w:rFonts w:eastAsia="宋体" w:hint="eastAsia"/>
          <w:sz w:val="21"/>
        </w:rPr>
      </w:pPr>
      <w:bookmarkStart w:id="21" w:name="_Toc510879152"/>
      <w:r w:rsidRPr="0055777C">
        <w:rPr>
          <w:rFonts w:eastAsia="宋体"/>
          <w:sz w:val="21"/>
        </w:rPr>
        <w:t>四</w:t>
      </w:r>
      <w:r w:rsidRPr="0055777C">
        <w:rPr>
          <w:rFonts w:eastAsia="宋体" w:hint="eastAsia"/>
          <w:sz w:val="21"/>
        </w:rPr>
        <w:t>、对再次申诉的处理</w:t>
      </w:r>
      <w:bookmarkEnd w:id="21"/>
    </w:p>
    <w:p w14:paraId="18B3608A"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（一）对驳回申诉的裁定或不予抗诉的决定不服而再次申诉的处理</w:t>
      </w:r>
    </w:p>
    <w:p w14:paraId="348B58D6" w14:textId="77777777" w:rsidR="00922AAA" w:rsidRPr="0055777C" w:rsidRDefault="00922AAA" w:rsidP="00922AAA">
      <w:pPr>
        <w:tabs>
          <w:tab w:val="clear" w:pos="420"/>
        </w:tabs>
        <w:spacing w:line="240" w:lineRule="auto"/>
        <w:ind w:firstLine="420"/>
        <w:jc w:val="left"/>
        <w:rPr>
          <w:rFonts w:eastAsia="宋体" w:cs="汉仪中黑简" w:hint="eastAsia"/>
          <w:bCs/>
          <w:kern w:val="44"/>
        </w:rPr>
      </w:pPr>
      <w:r w:rsidRPr="0055777C">
        <w:rPr>
          <w:rFonts w:eastAsia="宋体" w:cs="汉仪中黑简" w:hint="eastAsia"/>
          <w:bCs/>
          <w:kern w:val="44"/>
        </w:rPr>
        <w:t>1．对人民法院驳回申诉的裁定不服而再次申诉</w:t>
      </w:r>
    </w:p>
    <w:p w14:paraId="60DBE740" w14:textId="77777777" w:rsidR="00922AAA" w:rsidRPr="007E673C" w:rsidRDefault="00922AAA" w:rsidP="00922AAA">
      <w:pPr>
        <w:spacing w:line="240" w:lineRule="auto"/>
        <w:ind w:firstLine="422"/>
        <w:rPr>
          <w:rFonts w:eastAsia="宋体" w:hint="eastAsia"/>
          <w:b/>
          <w:bCs/>
          <w:color w:val="FF0000"/>
        </w:rPr>
      </w:pPr>
      <w:r w:rsidRPr="007E673C">
        <w:rPr>
          <w:rFonts w:eastAsia="宋体" w:hint="eastAsia"/>
          <w:b/>
          <w:bCs/>
          <w:color w:val="FF0000"/>
        </w:rPr>
        <w:t>被驳回申诉后向上一级法院申诉的应当受理，申诉符合重新审判的条件决定重新审判；申诉不符合重新审判的条件，说服申诉人撤回申诉，申诉人坚持，驳回申诉、通知不予重新审判。</w:t>
      </w:r>
    </w:p>
    <w:p w14:paraId="6F437676" w14:textId="77777777" w:rsidR="00922AAA" w:rsidRPr="00F31113" w:rsidRDefault="00922AAA" w:rsidP="00922AAA">
      <w:pPr>
        <w:spacing w:line="240" w:lineRule="auto"/>
        <w:ind w:firstLine="420"/>
        <w:rPr>
          <w:rFonts w:eastAsia="宋体" w:hint="eastAsia"/>
        </w:rPr>
      </w:pPr>
      <w:r w:rsidRPr="0055777C">
        <w:rPr>
          <w:rFonts w:eastAsia="宋体" w:cs="汉仪中黑简" w:hint="eastAsia"/>
          <w:bCs/>
          <w:kern w:val="44"/>
        </w:rPr>
        <w:t>2．对人民检察院不予抗诉的决定不服而再次申诉</w:t>
      </w:r>
    </w:p>
    <w:p w14:paraId="0A248282" w14:textId="77777777" w:rsidR="00922AAA" w:rsidRDefault="00922AAA" w:rsidP="00922AAA">
      <w:pPr>
        <w:spacing w:line="240" w:lineRule="auto"/>
        <w:ind w:firstLine="420"/>
        <w:rPr>
          <w:rFonts w:eastAsia="宋体" w:hint="eastAsia"/>
        </w:rPr>
      </w:pPr>
      <w:r w:rsidRPr="0055777C">
        <w:rPr>
          <w:rFonts w:eastAsia="宋体" w:hint="eastAsia"/>
          <w:kern w:val="0"/>
        </w:rPr>
        <w:t>当事人及其法定代理人、近亲属对人民法院已经发生法律效力的判决、裁定提出申诉，经人民检察院复查决定不予抗诉后继续提出申诉的，</w:t>
      </w:r>
      <w:r w:rsidRPr="0055777C">
        <w:rPr>
          <w:rFonts w:eastAsia="宋体" w:hint="eastAsia"/>
          <w:color w:val="FF0000"/>
          <w:kern w:val="0"/>
        </w:rPr>
        <w:t>上一级人民检察院应当受理</w:t>
      </w:r>
      <w:r w:rsidRPr="0055777C">
        <w:rPr>
          <w:rFonts w:eastAsia="宋体" w:hint="eastAsia"/>
          <w:kern w:val="0"/>
        </w:rPr>
        <w:t>。</w:t>
      </w:r>
    </w:p>
    <w:p w14:paraId="35AF6F99" w14:textId="77777777" w:rsidR="00922AAA" w:rsidRDefault="00922AAA" w:rsidP="00922AAA">
      <w:pPr>
        <w:spacing w:line="240" w:lineRule="auto"/>
        <w:ind w:firstLine="420"/>
        <w:rPr>
          <w:rFonts w:eastAsia="宋体" w:hint="eastAsia"/>
        </w:rPr>
      </w:pPr>
      <w:r w:rsidRPr="0055777C">
        <w:rPr>
          <w:rFonts w:eastAsia="宋体" w:hint="eastAsia"/>
        </w:rPr>
        <w:t>（二）对经审监程序维持原判或经两级法院复查驳回或经两级检察院办理且经省级检察</w:t>
      </w:r>
      <w:r w:rsidRPr="0055777C">
        <w:rPr>
          <w:rFonts w:eastAsia="宋体" w:hint="eastAsia"/>
        </w:rPr>
        <w:lastRenderedPageBreak/>
        <w:t>院复查后再次申诉的处理</w:t>
      </w:r>
    </w:p>
    <w:p w14:paraId="2659072B" w14:textId="77777777" w:rsidR="00922AAA" w:rsidRDefault="00922AAA" w:rsidP="00922AAA">
      <w:pPr>
        <w:spacing w:line="240" w:lineRule="auto"/>
        <w:ind w:firstLine="420"/>
        <w:rPr>
          <w:rFonts w:eastAsia="宋体" w:cs="汉仪中黑简" w:hint="eastAsia"/>
          <w:bCs/>
          <w:kern w:val="44"/>
        </w:rPr>
      </w:pPr>
      <w:r w:rsidRPr="0055777C">
        <w:rPr>
          <w:rFonts w:eastAsia="宋体" w:hint="eastAsia"/>
        </w:rPr>
        <w:t>1．</w:t>
      </w:r>
      <w:r w:rsidRPr="0055777C">
        <w:rPr>
          <w:rFonts w:eastAsia="宋体" w:cs="汉仪中黑简" w:hint="eastAsia"/>
          <w:bCs/>
          <w:kern w:val="44"/>
        </w:rPr>
        <w:t>人民法院对经审监程序维持原判或经两级法院复查均驳回而再次申诉的处理</w:t>
      </w:r>
    </w:p>
    <w:p w14:paraId="4074B425" w14:textId="77777777" w:rsidR="00922AAA" w:rsidRDefault="00922AAA" w:rsidP="00922AAA">
      <w:pPr>
        <w:spacing w:line="240" w:lineRule="auto"/>
        <w:ind w:firstLine="420"/>
        <w:rPr>
          <w:rFonts w:eastAsia="宋体" w:hint="eastAsia"/>
        </w:rPr>
      </w:pPr>
      <w:r w:rsidRPr="0064252C">
        <w:rPr>
          <w:rFonts w:eastAsia="宋体" w:cs="汉仪中黑简" w:hint="eastAsia"/>
          <w:bCs/>
          <w:kern w:val="44"/>
        </w:rPr>
        <w:t>经终审法院的上一级法院依审监程序审理后维持原判</w:t>
      </w:r>
      <w:r>
        <w:rPr>
          <w:rFonts w:eastAsia="宋体" w:cs="汉仪中黑简" w:hint="eastAsia"/>
          <w:bCs/>
          <w:kern w:val="44"/>
        </w:rPr>
        <w:t>或</w:t>
      </w:r>
      <w:r w:rsidRPr="0064252C">
        <w:rPr>
          <w:rFonts w:eastAsia="宋体" w:cs="汉仪中黑简"/>
          <w:bCs/>
          <w:kern w:val="44"/>
        </w:rPr>
        <w:t>经两级法院依审监程序复查均驳回</w:t>
      </w:r>
      <w:r>
        <w:rPr>
          <w:rFonts w:eastAsia="宋体" w:cs="汉仪中黑简" w:hint="eastAsia"/>
          <w:bCs/>
          <w:kern w:val="44"/>
        </w:rPr>
        <w:t>，</w:t>
      </w:r>
      <w:r w:rsidRPr="0055777C">
        <w:rPr>
          <w:rFonts w:eastAsia="宋体" w:hint="eastAsia"/>
        </w:rPr>
        <w:t>一般情况下不予受理</w:t>
      </w:r>
      <w:r>
        <w:rPr>
          <w:rFonts w:eastAsia="宋体" w:hint="eastAsia"/>
        </w:rPr>
        <w:t>。在以下情况受理，（1）</w:t>
      </w:r>
      <w:r w:rsidRPr="0064252C">
        <w:rPr>
          <w:rFonts w:eastAsia="宋体" w:hint="eastAsia"/>
        </w:rPr>
        <w:t>提出新的事实和理由，且符合重新审判的条件</w:t>
      </w:r>
      <w:r>
        <w:rPr>
          <w:rFonts w:eastAsia="宋体" w:hint="eastAsia"/>
        </w:rPr>
        <w:t>（2）</w:t>
      </w:r>
      <w:r w:rsidRPr="0064252C">
        <w:rPr>
          <w:rFonts w:eastAsia="宋体" w:hint="eastAsia"/>
        </w:rPr>
        <w:t>原审被告人可能被宣告无罪</w:t>
      </w:r>
      <w:r>
        <w:rPr>
          <w:rFonts w:eastAsia="宋体" w:hint="eastAsia"/>
        </w:rPr>
        <w:t>（3）</w:t>
      </w:r>
      <w:r w:rsidRPr="0064252C">
        <w:rPr>
          <w:rFonts w:eastAsia="宋体" w:hint="eastAsia"/>
        </w:rPr>
        <w:t>判决、裁定有其他重大错误可能</w:t>
      </w:r>
    </w:p>
    <w:p w14:paraId="582FB9C5" w14:textId="77777777" w:rsidR="00922AAA" w:rsidRPr="00613F11" w:rsidRDefault="00922AAA" w:rsidP="00922AAA">
      <w:pPr>
        <w:spacing w:line="240" w:lineRule="auto"/>
        <w:ind w:firstLine="422"/>
        <w:rPr>
          <w:rFonts w:eastAsia="宋体" w:hint="eastAsia"/>
          <w:color w:val="auto"/>
        </w:rPr>
      </w:pPr>
      <w:r w:rsidRPr="00613F11">
        <w:rPr>
          <w:rFonts w:eastAsia="宋体" w:hint="eastAsia"/>
          <w:b/>
          <w:bCs/>
          <w:color w:val="FF0000"/>
        </w:rPr>
        <w:t>本规定存在不合理之处：</w:t>
      </w:r>
      <w:r w:rsidRPr="00613F11">
        <w:rPr>
          <w:rFonts w:eastAsia="宋体" w:hint="eastAsia"/>
          <w:color w:val="auto"/>
        </w:rPr>
        <w:t>根据《法院解释》的规定，对申诉案件是否符合重新审判的条件应当是在立案后进行审查的，审查结果是决定是否重新审判；而本规定却要求在受理前就对申诉是否符合人民法院重新审判的条件予以审查，并依此来决定是否受理案件。这显然是不合理的。</w:t>
      </w:r>
    </w:p>
    <w:p w14:paraId="39F69B99" w14:textId="77777777" w:rsidR="00922AAA" w:rsidRDefault="00922AAA" w:rsidP="00922AAA">
      <w:pPr>
        <w:spacing w:line="240" w:lineRule="auto"/>
        <w:ind w:firstLine="420"/>
        <w:rPr>
          <w:rFonts w:eastAsia="宋体" w:hint="eastAsia"/>
        </w:rPr>
      </w:pPr>
      <w:r w:rsidRPr="0055777C">
        <w:rPr>
          <w:rFonts w:eastAsia="宋体" w:hint="eastAsia"/>
        </w:rPr>
        <w:t>2．人民检察院对经两级检察院办理且经省级检察院复查后再次申诉的处理（《检察规则》第594条）</w:t>
      </w:r>
    </w:p>
    <w:p w14:paraId="44BC1F0A" w14:textId="77777777" w:rsidR="00922AAA" w:rsidRPr="006E6F0D" w:rsidRDefault="00922AAA" w:rsidP="00922AAA">
      <w:pPr>
        <w:spacing w:line="240" w:lineRule="auto"/>
        <w:ind w:firstLine="420"/>
        <w:rPr>
          <w:rFonts w:eastAsia="宋体" w:hint="eastAsia"/>
        </w:rPr>
      </w:pPr>
      <w:r w:rsidRPr="0055777C">
        <w:rPr>
          <w:rFonts w:eastAsia="宋体" w:hint="eastAsia"/>
        </w:rPr>
        <w:t>经两级人民检察院办理且省级人民检察院已经复查</w:t>
      </w:r>
      <w:r>
        <w:rPr>
          <w:rFonts w:eastAsia="宋体" w:hint="eastAsia"/>
        </w:rPr>
        <w:t>，</w:t>
      </w:r>
      <w:r w:rsidRPr="0055777C">
        <w:rPr>
          <w:rFonts w:eastAsia="宋体" w:hint="eastAsia"/>
        </w:rPr>
        <w:t>一般情况下不再立案复查</w:t>
      </w:r>
      <w:r>
        <w:rPr>
          <w:rFonts w:eastAsia="宋体" w:hint="eastAsia"/>
        </w:rPr>
        <w:t>。在以下情形</w:t>
      </w:r>
      <w:r w:rsidRPr="0055777C">
        <w:rPr>
          <w:rFonts w:eastAsia="宋体" w:hint="eastAsia"/>
        </w:rPr>
        <w:t>立案复查</w:t>
      </w:r>
      <w:r>
        <w:rPr>
          <w:rFonts w:eastAsia="宋体" w:hint="eastAsia"/>
        </w:rPr>
        <w:t>（1）</w:t>
      </w:r>
      <w:r w:rsidRPr="0055777C">
        <w:rPr>
          <w:rFonts w:eastAsia="宋体" w:hint="eastAsia"/>
        </w:rPr>
        <w:t>提出新的事实和理由</w:t>
      </w:r>
      <w:r>
        <w:rPr>
          <w:rFonts w:eastAsia="宋体" w:hint="eastAsia"/>
        </w:rPr>
        <w:t>（2）</w:t>
      </w:r>
      <w:r w:rsidRPr="0055777C">
        <w:rPr>
          <w:rFonts w:eastAsia="宋体" w:hint="eastAsia"/>
        </w:rPr>
        <w:t>原审被告人可能被宣告无罪</w:t>
      </w:r>
      <w:r>
        <w:rPr>
          <w:rFonts w:eastAsia="宋体" w:hint="eastAsia"/>
        </w:rPr>
        <w:t>（3）</w:t>
      </w:r>
      <w:r w:rsidRPr="0055777C">
        <w:rPr>
          <w:rFonts w:eastAsia="宋体" w:hint="eastAsia"/>
        </w:rPr>
        <w:t>判决、裁定有其他重大错误可能</w:t>
      </w:r>
      <w:r>
        <w:rPr>
          <w:rFonts w:eastAsia="宋体" w:hint="eastAsia"/>
        </w:rPr>
        <w:t>。</w:t>
      </w:r>
      <w:bookmarkEnd w:id="1"/>
      <w:bookmarkEnd w:id="2"/>
      <w:bookmarkEnd w:id="3"/>
      <w:bookmarkEnd w:id="4"/>
      <w:bookmarkEnd w:id="5"/>
      <w:bookmarkEnd w:id="6"/>
      <w:bookmarkEnd w:id="7"/>
      <w:bookmarkEnd w:id="8"/>
      <w:bookmarkEnd w:id="20"/>
    </w:p>
    <w:sectPr w:rsidR="00922AAA" w:rsidRPr="006E6F0D">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CD70" w14:textId="77777777" w:rsidR="00AC3148" w:rsidRDefault="00AC3148" w:rsidP="00C2013E">
      <w:pPr>
        <w:spacing w:line="240" w:lineRule="auto"/>
        <w:ind w:firstLine="420"/>
        <w:rPr>
          <w:rFonts w:hint="eastAsia"/>
        </w:rPr>
      </w:pPr>
      <w:r>
        <w:separator/>
      </w:r>
    </w:p>
  </w:endnote>
  <w:endnote w:type="continuationSeparator" w:id="0">
    <w:p w14:paraId="424534CE" w14:textId="77777777" w:rsidR="00AC3148" w:rsidRDefault="00AC3148" w:rsidP="00C2013E">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黑体"/>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CFDE" w14:textId="77777777" w:rsidR="0055777C" w:rsidRDefault="0055777C">
    <w:pPr>
      <w:pStyle w:val="a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935F" w14:textId="77777777" w:rsidR="0055777C" w:rsidRDefault="0055777C">
    <w:pPr>
      <w:pStyle w:val="a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6A2C" w14:textId="77777777" w:rsidR="0055777C" w:rsidRDefault="0055777C">
    <w:pPr>
      <w:pStyle w:val="a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8803F" w14:textId="77777777" w:rsidR="00AC3148" w:rsidRDefault="00AC3148" w:rsidP="00C2013E">
      <w:pPr>
        <w:spacing w:line="240" w:lineRule="auto"/>
        <w:ind w:firstLine="420"/>
        <w:rPr>
          <w:rFonts w:hint="eastAsia"/>
        </w:rPr>
      </w:pPr>
      <w:r>
        <w:separator/>
      </w:r>
    </w:p>
  </w:footnote>
  <w:footnote w:type="continuationSeparator" w:id="0">
    <w:p w14:paraId="21ECB70D" w14:textId="77777777" w:rsidR="00AC3148" w:rsidRDefault="00AC3148" w:rsidP="00C2013E">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A850" w14:textId="77777777" w:rsidR="0055777C" w:rsidRDefault="0055777C">
    <w:pPr>
      <w:pStyle w:val="a6"/>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AD0B" w14:textId="30686CC3" w:rsidR="0055777C" w:rsidRDefault="00F1537A" w:rsidP="00F1537A">
    <w:pPr>
      <w:pStyle w:val="a6"/>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B138" w14:textId="77777777" w:rsidR="0055777C" w:rsidRDefault="0055777C">
    <w:pPr>
      <w:pStyle w:val="a6"/>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3E"/>
    <w:rsid w:val="00013E83"/>
    <w:rsid w:val="000163B3"/>
    <w:rsid w:val="00030882"/>
    <w:rsid w:val="00062B81"/>
    <w:rsid w:val="000815B9"/>
    <w:rsid w:val="00085A88"/>
    <w:rsid w:val="000864EE"/>
    <w:rsid w:val="00095BAD"/>
    <w:rsid w:val="000A0697"/>
    <w:rsid w:val="000C2620"/>
    <w:rsid w:val="000D520A"/>
    <w:rsid w:val="000D64A6"/>
    <w:rsid w:val="000E065B"/>
    <w:rsid w:val="000E6E8F"/>
    <w:rsid w:val="00103300"/>
    <w:rsid w:val="00111FE0"/>
    <w:rsid w:val="00157D06"/>
    <w:rsid w:val="00166A86"/>
    <w:rsid w:val="001676E1"/>
    <w:rsid w:val="00176FEF"/>
    <w:rsid w:val="001A2624"/>
    <w:rsid w:val="001A37A6"/>
    <w:rsid w:val="001C42B5"/>
    <w:rsid w:val="001D46C2"/>
    <w:rsid w:val="001F5EA0"/>
    <w:rsid w:val="00233841"/>
    <w:rsid w:val="00235987"/>
    <w:rsid w:val="00263E53"/>
    <w:rsid w:val="002751E6"/>
    <w:rsid w:val="002A37EB"/>
    <w:rsid w:val="002C6AB8"/>
    <w:rsid w:val="002D65DB"/>
    <w:rsid w:val="002E0A09"/>
    <w:rsid w:val="002F5EE4"/>
    <w:rsid w:val="00303C0A"/>
    <w:rsid w:val="00325EE9"/>
    <w:rsid w:val="003615A0"/>
    <w:rsid w:val="00370875"/>
    <w:rsid w:val="00393B51"/>
    <w:rsid w:val="00396D89"/>
    <w:rsid w:val="003D1DE7"/>
    <w:rsid w:val="003D671B"/>
    <w:rsid w:val="003E3C3D"/>
    <w:rsid w:val="003E54A6"/>
    <w:rsid w:val="00404E14"/>
    <w:rsid w:val="00482554"/>
    <w:rsid w:val="00490485"/>
    <w:rsid w:val="004A7662"/>
    <w:rsid w:val="004C18D0"/>
    <w:rsid w:val="004C2ECD"/>
    <w:rsid w:val="004D585F"/>
    <w:rsid w:val="004F40E9"/>
    <w:rsid w:val="004F45D1"/>
    <w:rsid w:val="004F6D83"/>
    <w:rsid w:val="005360D5"/>
    <w:rsid w:val="00547096"/>
    <w:rsid w:val="005530AA"/>
    <w:rsid w:val="0055777C"/>
    <w:rsid w:val="00562F5A"/>
    <w:rsid w:val="005A48A0"/>
    <w:rsid w:val="005B2ECD"/>
    <w:rsid w:val="005C5866"/>
    <w:rsid w:val="005E4387"/>
    <w:rsid w:val="00606D3D"/>
    <w:rsid w:val="00613F11"/>
    <w:rsid w:val="00631F6F"/>
    <w:rsid w:val="00632CB4"/>
    <w:rsid w:val="0064252C"/>
    <w:rsid w:val="00652D19"/>
    <w:rsid w:val="00670159"/>
    <w:rsid w:val="00684A18"/>
    <w:rsid w:val="006915AD"/>
    <w:rsid w:val="006E098F"/>
    <w:rsid w:val="007245E4"/>
    <w:rsid w:val="00734C6B"/>
    <w:rsid w:val="00736F12"/>
    <w:rsid w:val="00736FC4"/>
    <w:rsid w:val="00752C68"/>
    <w:rsid w:val="00790E63"/>
    <w:rsid w:val="007916D5"/>
    <w:rsid w:val="007B3628"/>
    <w:rsid w:val="007C09A8"/>
    <w:rsid w:val="007D2FAE"/>
    <w:rsid w:val="007D76A6"/>
    <w:rsid w:val="007E673C"/>
    <w:rsid w:val="0080487C"/>
    <w:rsid w:val="00860332"/>
    <w:rsid w:val="00864BA4"/>
    <w:rsid w:val="008864A2"/>
    <w:rsid w:val="008B7B65"/>
    <w:rsid w:val="008C7509"/>
    <w:rsid w:val="008D47F0"/>
    <w:rsid w:val="00912644"/>
    <w:rsid w:val="00922AAA"/>
    <w:rsid w:val="00953047"/>
    <w:rsid w:val="009555D1"/>
    <w:rsid w:val="0096294D"/>
    <w:rsid w:val="009712AB"/>
    <w:rsid w:val="009E2443"/>
    <w:rsid w:val="00A51BAF"/>
    <w:rsid w:val="00A64823"/>
    <w:rsid w:val="00AB1D5C"/>
    <w:rsid w:val="00AC3148"/>
    <w:rsid w:val="00AF362C"/>
    <w:rsid w:val="00B02749"/>
    <w:rsid w:val="00B60F2A"/>
    <w:rsid w:val="00BA40D3"/>
    <w:rsid w:val="00BB64A0"/>
    <w:rsid w:val="00BC7F8C"/>
    <w:rsid w:val="00BD158A"/>
    <w:rsid w:val="00BD2C65"/>
    <w:rsid w:val="00BE7A7A"/>
    <w:rsid w:val="00BF3B43"/>
    <w:rsid w:val="00C002F9"/>
    <w:rsid w:val="00C03748"/>
    <w:rsid w:val="00C1391E"/>
    <w:rsid w:val="00C2013E"/>
    <w:rsid w:val="00C561FE"/>
    <w:rsid w:val="00C663A2"/>
    <w:rsid w:val="00C96CA5"/>
    <w:rsid w:val="00CE342F"/>
    <w:rsid w:val="00CF1E45"/>
    <w:rsid w:val="00D0215F"/>
    <w:rsid w:val="00D56A86"/>
    <w:rsid w:val="00D90F5C"/>
    <w:rsid w:val="00DA4A43"/>
    <w:rsid w:val="00DC7D8E"/>
    <w:rsid w:val="00DD4EEB"/>
    <w:rsid w:val="00DD6EAC"/>
    <w:rsid w:val="00DE7E43"/>
    <w:rsid w:val="00E0116A"/>
    <w:rsid w:val="00E14DAA"/>
    <w:rsid w:val="00E25932"/>
    <w:rsid w:val="00E42333"/>
    <w:rsid w:val="00E522B1"/>
    <w:rsid w:val="00E8079A"/>
    <w:rsid w:val="00ED0DA8"/>
    <w:rsid w:val="00EF1670"/>
    <w:rsid w:val="00F1537A"/>
    <w:rsid w:val="00F31113"/>
    <w:rsid w:val="00F34F8B"/>
    <w:rsid w:val="00FA462C"/>
    <w:rsid w:val="00FD6CEB"/>
    <w:rsid w:val="00FE4D31"/>
    <w:rsid w:val="00FE5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9E059"/>
  <w15:chartTrackingRefBased/>
  <w15:docId w15:val="{A1A8FE33-0D15-4D7A-87CE-5A8F339C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13E"/>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C2013E"/>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C2013E"/>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C2013E"/>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C2013E"/>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C2013E"/>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C2013E"/>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C2013E"/>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C2013E"/>
    <w:rPr>
      <w:rFonts w:asciiTheme="majorHAnsi" w:eastAsia="汉仪大宋简" w:hAnsiTheme="majorHAnsi" w:cstheme="majorBidi"/>
      <w:bCs/>
      <w:color w:val="000000" w:themeColor="text1"/>
      <w:sz w:val="24"/>
      <w:szCs w:val="28"/>
    </w:rPr>
  </w:style>
  <w:style w:type="paragraph" w:styleId="a3">
    <w:name w:val="Plain Text"/>
    <w:basedOn w:val="a"/>
    <w:link w:val="a4"/>
    <w:uiPriority w:val="99"/>
    <w:unhideWhenUsed/>
    <w:qFormat/>
    <w:rsid w:val="00C2013E"/>
    <w:rPr>
      <w:rFonts w:hAnsi="Courier New" w:cs="Courier New"/>
      <w:kern w:val="0"/>
      <w:sz w:val="20"/>
    </w:rPr>
  </w:style>
  <w:style w:type="character" w:customStyle="1" w:styleId="a4">
    <w:name w:val="纯文本 字符"/>
    <w:basedOn w:val="a0"/>
    <w:link w:val="a3"/>
    <w:uiPriority w:val="99"/>
    <w:qFormat/>
    <w:rsid w:val="00C2013E"/>
    <w:rPr>
      <w:rFonts w:ascii="宋体" w:eastAsia="汉仪书宋二简" w:hAnsi="Courier New" w:cs="Courier New"/>
      <w:color w:val="000000" w:themeColor="text1"/>
      <w:kern w:val="0"/>
      <w:sz w:val="20"/>
      <w:szCs w:val="21"/>
    </w:rPr>
  </w:style>
  <w:style w:type="table" w:styleId="a5">
    <w:name w:val="Table Grid"/>
    <w:basedOn w:val="a1"/>
    <w:uiPriority w:val="59"/>
    <w:qFormat/>
    <w:rsid w:val="00C2013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777C"/>
    <w:pPr>
      <w:pBdr>
        <w:bottom w:val="single" w:sz="6" w:space="1" w:color="auto"/>
      </w:pBdr>
      <w:tabs>
        <w:tab w:val="clear" w:pos="420"/>
        <w:tab w:val="center" w:pos="4153"/>
        <w:tab w:val="right" w:pos="8306"/>
      </w:tabs>
      <w:snapToGrid w:val="0"/>
      <w:spacing w:line="240" w:lineRule="atLeast"/>
      <w:jc w:val="center"/>
    </w:pPr>
    <w:rPr>
      <w:sz w:val="18"/>
      <w:szCs w:val="18"/>
    </w:rPr>
  </w:style>
  <w:style w:type="character" w:customStyle="1" w:styleId="a7">
    <w:name w:val="页眉 字符"/>
    <w:basedOn w:val="a0"/>
    <w:link w:val="a6"/>
    <w:uiPriority w:val="99"/>
    <w:rsid w:val="0055777C"/>
    <w:rPr>
      <w:rFonts w:ascii="宋体" w:eastAsia="汉仪书宋二简" w:hAnsi="宋体" w:cs="宋体"/>
      <w:color w:val="000000" w:themeColor="text1"/>
      <w:sz w:val="18"/>
      <w:szCs w:val="18"/>
    </w:rPr>
  </w:style>
  <w:style w:type="paragraph" w:styleId="a8">
    <w:name w:val="footer"/>
    <w:basedOn w:val="a"/>
    <w:link w:val="a9"/>
    <w:uiPriority w:val="99"/>
    <w:unhideWhenUsed/>
    <w:rsid w:val="0055777C"/>
    <w:pPr>
      <w:tabs>
        <w:tab w:val="clear" w:pos="420"/>
        <w:tab w:val="center" w:pos="4153"/>
        <w:tab w:val="right" w:pos="8306"/>
      </w:tabs>
      <w:snapToGrid w:val="0"/>
      <w:spacing w:line="240" w:lineRule="atLeast"/>
      <w:jc w:val="left"/>
    </w:pPr>
    <w:rPr>
      <w:sz w:val="18"/>
      <w:szCs w:val="18"/>
    </w:rPr>
  </w:style>
  <w:style w:type="character" w:customStyle="1" w:styleId="a9">
    <w:name w:val="页脚 字符"/>
    <w:basedOn w:val="a0"/>
    <w:link w:val="a8"/>
    <w:uiPriority w:val="99"/>
    <w:rsid w:val="0055777C"/>
    <w:rPr>
      <w:rFonts w:ascii="宋体" w:eastAsia="汉仪书宋二简" w:hAnsi="宋体" w:cs="宋体"/>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5</Pages>
  <Words>2888</Words>
  <Characters>2917</Characters>
  <Application>Microsoft Office Word</Application>
  <DocSecurity>0</DocSecurity>
  <Lines>104</Lines>
  <Paragraphs>90</Paragraphs>
  <ScaleCrop>false</ScaleCrop>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117</cp:revision>
  <dcterms:created xsi:type="dcterms:W3CDTF">2023-04-28T12:52:00Z</dcterms:created>
  <dcterms:modified xsi:type="dcterms:W3CDTF">2025-04-16T14:45:00Z</dcterms:modified>
</cp:coreProperties>
</file>