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600A5A6">
      <w:pPr>
        <w:pStyle w:val="style0"/>
        <w:keepNext/>
        <w:keepLines/>
        <w:ind w:firstLine="0" w:firstLineChars="0"/>
        <w:jc w:val="left"/>
        <w:outlineLvl w:val="2"/>
        <w:rPr>
          <w:rFonts w:eastAsia="汉仪大宋简"/>
          <w:color w:val="000000"/>
        </w:rPr>
      </w:pPr>
      <w:r>
        <w:rPr>
          <w:rFonts w:eastAsia="汉仪大宋简" w:hint="eastAsia"/>
          <w:color w:val="000000"/>
        </w:rPr>
        <w:t>考点</w:t>
      </w:r>
      <w:r>
        <w:rPr>
          <w:rFonts w:eastAsia="汉仪大宋简" w:hint="eastAsia"/>
          <w:color w:val="000000"/>
        </w:rPr>
        <w:t xml:space="preserve">22 </w:t>
      </w:r>
      <w:r>
        <w:rPr>
          <w:rFonts w:eastAsia="汉仪大宋简" w:hint="eastAsia"/>
          <w:color w:val="000000"/>
        </w:rPr>
        <w:t>金融诈骗罪</w:t>
      </w:r>
    </w:p>
    <w:p w14:paraId="0545D606">
      <w:pPr>
        <w:pStyle w:val="style0"/>
        <w:keepNext/>
        <w:keepLines/>
        <w:ind w:firstLine="0" w:firstLineChars="0"/>
        <w:jc w:val="left"/>
        <w:outlineLvl w:val="2"/>
        <w:rPr>
          <w:rFonts w:eastAsia="汉仪大宋简" w:hint="eastAsia"/>
          <w:color w:val="000000"/>
        </w:rPr>
      </w:pPr>
      <w:r>
        <w:rPr>
          <w:rFonts w:eastAsia="汉仪大宋简" w:hint="eastAsia"/>
          <w:color w:val="000000"/>
        </w:rPr>
        <w:t>上节课重点知识回顾：信用卡诈骗罪的四种方式，区分信用卡与网络账户</w:t>
      </w:r>
    </w:p>
    <w:p w14:paraId="30CF4B8D">
      <w:pPr>
        <w:pStyle w:val="style0"/>
        <w:keepNext/>
        <w:keepLines/>
        <w:ind w:firstLine="0" w:firstLineChars="0"/>
        <w:jc w:val="left"/>
        <w:outlineLvl w:val="2"/>
        <w:rPr>
          <w:rFonts w:eastAsia="汉仪大宋简"/>
          <w:color w:val="000000"/>
        </w:rPr>
      </w:pPr>
      <w:r>
        <w:rPr>
          <w:rFonts w:eastAsia="汉仪大宋简" w:hint="eastAsia"/>
          <w:color w:val="000000"/>
        </w:rPr>
        <w:t>二、票据诈骗罪（汇票、本票、支票）</w:t>
      </w:r>
    </w:p>
    <w:p w14:paraId="1B922BD5">
      <w:pPr>
        <w:pStyle w:val="style0"/>
        <w:snapToGrid w:val="false"/>
        <w:ind w:firstLine="420"/>
        <w:rPr>
          <w:rFonts w:ascii="仿宋" w:cs="Times New Roman" w:eastAsia="楷体" w:hAnsi="仿宋" w:hint="eastAsia"/>
          <w:color w:val="000000"/>
        </w:rPr>
      </w:pPr>
      <w:r>
        <w:rPr>
          <w:rFonts w:ascii="汉仪中黑简" w:eastAsia="汉仪中黑简" w:hint="eastAsia"/>
          <w:color w:val="ff0000"/>
        </w:rPr>
        <w:t>第194条第1款</w:t>
      </w:r>
    </w:p>
    <w:tbl>
      <w:tblPr>
        <w:tblW w:w="8500"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555"/>
        <w:gridCol w:w="6945"/>
      </w:tblGrid>
      <w:tr w14:paraId="046253D3">
        <w:trPr>
          <w:jc w:val="center"/>
        </w:trPr>
        <w:tc>
          <w:tcPr>
            <w:tcW w:w="1555" w:type="dxa"/>
            <w:tcBorders/>
            <w:shd w:val="clear" w:color="auto" w:fill="auto"/>
            <w:vAlign w:val="center"/>
          </w:tcPr>
          <w:p w14:paraId="51A8390F">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票据</w:t>
            </w:r>
          </w:p>
        </w:tc>
        <w:tc>
          <w:tcPr>
            <w:tcW w:w="6945" w:type="dxa"/>
            <w:tcBorders/>
            <w:shd w:val="clear" w:color="auto" w:fill="auto"/>
            <w:vAlign w:val="center"/>
          </w:tcPr>
          <w:p w14:paraId="3DA1D482">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汇票、本票、支票</w:t>
            </w:r>
          </w:p>
        </w:tc>
      </w:tr>
      <w:tr w14:paraId="0FD352BE">
        <w:tblPrEx/>
        <w:trPr>
          <w:jc w:val="center"/>
        </w:trPr>
        <w:tc>
          <w:tcPr>
            <w:tcW w:w="1555" w:type="dxa"/>
            <w:vMerge w:val="restart"/>
            <w:tcBorders/>
            <w:shd w:val="clear" w:color="auto" w:fill="auto"/>
            <w:vAlign w:val="center"/>
          </w:tcPr>
          <w:p w14:paraId="4B367BE6">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票据欺骗手段</w:t>
            </w:r>
          </w:p>
        </w:tc>
        <w:tc>
          <w:tcPr>
            <w:tcW w:w="6945" w:type="dxa"/>
            <w:tcBorders/>
            <w:shd w:val="clear" w:color="auto" w:fill="auto"/>
            <w:vAlign w:val="center"/>
          </w:tcPr>
          <w:p w14:paraId="043C13E1">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中黑简" w:eastAsia="汉仪中黑简" w:hint="eastAsia"/>
                <w:color w:val="000000"/>
              </w:rPr>
              <w:t>使用假票、废票：</w:t>
            </w:r>
            <w:r>
              <w:rPr>
                <w:rFonts w:ascii="汉仪书宋一简" w:eastAsia="汉仪书宋一简" w:hint="eastAsia"/>
                <w:color w:val="000000"/>
                <w:kern w:val="0"/>
              </w:rPr>
              <w:t>明知是伪造、变造、作废的汇票、本票、支票而使用</w:t>
            </w:r>
          </w:p>
        </w:tc>
      </w:tr>
      <w:tr w14:paraId="2BF40018">
        <w:tblPrEx/>
        <w:trPr>
          <w:jc w:val="center"/>
        </w:trPr>
        <w:tc>
          <w:tcPr>
            <w:tcW w:w="1555" w:type="dxa"/>
            <w:vMerge w:val="continue"/>
            <w:tcBorders/>
            <w:shd w:val="clear" w:color="auto" w:fill="auto"/>
            <w:vAlign w:val="center"/>
          </w:tcPr>
          <w:p w14:paraId="3919F8BF">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p>
        </w:tc>
        <w:tc>
          <w:tcPr>
            <w:tcW w:w="6945" w:type="dxa"/>
            <w:tcBorders/>
            <w:shd w:val="clear" w:color="auto" w:fill="auto"/>
            <w:vAlign w:val="center"/>
          </w:tcPr>
          <w:p w14:paraId="34689A4B">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中黑简" w:eastAsia="汉仪中黑简" w:hint="eastAsia"/>
                <w:color w:val="000000"/>
              </w:rPr>
              <w:t>冒用：</w:t>
            </w:r>
            <w:r>
              <w:rPr>
                <w:rFonts w:ascii="汉仪书宋一简" w:eastAsia="汉仪书宋一简" w:hint="eastAsia"/>
                <w:color w:val="000000"/>
                <w:kern w:val="0"/>
              </w:rPr>
              <w:t>冒用他人的汇票、本票、支票</w:t>
            </w:r>
          </w:p>
        </w:tc>
      </w:tr>
      <w:tr w14:paraId="526700B2">
        <w:tblPrEx/>
        <w:trPr>
          <w:jc w:val="center"/>
        </w:trPr>
        <w:tc>
          <w:tcPr>
            <w:tcW w:w="1555" w:type="dxa"/>
            <w:vMerge w:val="continue"/>
            <w:tcBorders/>
            <w:shd w:val="clear" w:color="auto" w:fill="auto"/>
            <w:vAlign w:val="center"/>
          </w:tcPr>
          <w:p w14:paraId="4AB4722F">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p>
        </w:tc>
        <w:tc>
          <w:tcPr>
            <w:tcW w:w="6945" w:type="dxa"/>
            <w:tcBorders/>
            <w:shd w:val="clear" w:color="auto" w:fill="auto"/>
            <w:vAlign w:val="center"/>
          </w:tcPr>
          <w:p w14:paraId="078D4A45">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中黑简" w:eastAsia="汉仪中黑简" w:hint="eastAsia"/>
                <w:color w:val="000000"/>
              </w:rPr>
              <w:t>签发无法承兑票据</w:t>
            </w:r>
          </w:p>
        </w:tc>
      </w:tr>
      <w:tr w14:paraId="4CBDB8DC">
        <w:tblPrEx/>
        <w:trPr>
          <w:jc w:val="center"/>
        </w:trPr>
        <w:tc>
          <w:tcPr>
            <w:tcW w:w="1555" w:type="dxa"/>
            <w:vMerge w:val="continue"/>
            <w:tcBorders/>
            <w:shd w:val="clear" w:color="auto" w:fill="auto"/>
            <w:vAlign w:val="center"/>
          </w:tcPr>
          <w:p w14:paraId="54929F61">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p>
        </w:tc>
        <w:tc>
          <w:tcPr>
            <w:tcW w:w="6945" w:type="dxa"/>
            <w:tcBorders/>
            <w:shd w:val="clear" w:color="auto" w:fill="auto"/>
            <w:vAlign w:val="center"/>
          </w:tcPr>
          <w:p w14:paraId="17F9299A">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如实施了诈骗，但非利用票据欺骗手段，也不构成本罪</w:t>
            </w:r>
          </w:p>
        </w:tc>
      </w:tr>
      <w:tr w14:paraId="5515FB5E">
        <w:tblPrEx/>
        <w:trPr>
          <w:jc w:val="center"/>
        </w:trPr>
        <w:tc>
          <w:tcPr>
            <w:tcW w:w="1555" w:type="dxa"/>
            <w:tcBorders/>
            <w:shd w:val="clear" w:color="auto" w:fill="auto"/>
            <w:vAlign w:val="center"/>
          </w:tcPr>
          <w:p w14:paraId="2569A771">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着手实行行为</w:t>
            </w:r>
          </w:p>
        </w:tc>
        <w:tc>
          <w:tcPr>
            <w:tcW w:w="6945" w:type="dxa"/>
            <w:tcBorders/>
            <w:shd w:val="clear" w:color="auto" w:fill="auto"/>
            <w:vAlign w:val="center"/>
          </w:tcPr>
          <w:p w14:paraId="61495385">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利用虚假票据来骗人（如支付、承兑、交付等）；而不是对票据实施虚假行为</w:t>
            </w:r>
          </w:p>
        </w:tc>
      </w:tr>
      <w:tr w14:paraId="3A01386F">
        <w:tblPrEx/>
        <w:trPr>
          <w:jc w:val="center"/>
        </w:trPr>
        <w:tc>
          <w:tcPr>
            <w:tcW w:w="1555" w:type="dxa"/>
            <w:tcBorders/>
            <w:shd w:val="clear" w:color="auto" w:fill="auto"/>
            <w:vAlign w:val="center"/>
          </w:tcPr>
          <w:p w14:paraId="47592E1F">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对象</w:t>
            </w:r>
          </w:p>
        </w:tc>
        <w:tc>
          <w:tcPr>
            <w:tcW w:w="6945" w:type="dxa"/>
            <w:tcBorders/>
            <w:shd w:val="clear" w:color="auto" w:fill="auto"/>
            <w:vAlign w:val="center"/>
          </w:tcPr>
          <w:p w14:paraId="434B4775">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他人占有的财物</w:t>
            </w:r>
          </w:p>
        </w:tc>
      </w:tr>
      <w:tr w14:paraId="4B463C54">
        <w:tblPrEx/>
        <w:trPr>
          <w:jc w:val="center"/>
        </w:trPr>
        <w:tc>
          <w:tcPr>
            <w:tcW w:w="1555" w:type="dxa"/>
            <w:tcBorders>
              <w:bottom w:val="single" w:sz="4" w:space="0" w:color="ff0000"/>
            </w:tcBorders>
            <w:shd w:val="clear" w:color="auto" w:fill="auto"/>
            <w:vAlign w:val="center"/>
          </w:tcPr>
          <w:p w14:paraId="5BDEC780">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主观</w:t>
            </w:r>
          </w:p>
        </w:tc>
        <w:tc>
          <w:tcPr>
            <w:tcW w:w="6945" w:type="dxa"/>
            <w:tcBorders>
              <w:bottom w:val="single" w:sz="4" w:space="0" w:color="ff0000"/>
            </w:tcBorders>
            <w:shd w:val="clear" w:color="auto" w:fill="auto"/>
            <w:vAlign w:val="center"/>
          </w:tcPr>
          <w:p w14:paraId="0C9856CA">
            <w:pPr>
              <w:pStyle w:val="style0"/>
              <w:widowControl/>
              <w:snapToGrid w:val="false"/>
              <w:spacing w:before="15" w:beforeLines="5" w:after="46" w:afterLines="15"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非法占有目的</w:t>
            </w:r>
          </w:p>
        </w:tc>
      </w:tr>
      <w:tr w14:paraId="217F0CB3">
        <w:tblPrEx/>
        <w:trPr>
          <w:jc w:val="center"/>
        </w:trPr>
        <w:tc>
          <w:tcPr>
            <w:tcW w:w="8500" w:type="dxa"/>
            <w:gridSpan w:val="2"/>
            <w:tcBorders/>
            <w:shd w:val="clear" w:color="auto" w:fill="ffe5e5"/>
            <w:vAlign w:val="center"/>
          </w:tcPr>
          <w:p w14:paraId="60853E27">
            <w:pPr>
              <w:pStyle w:val="style0"/>
              <w:snapToGrid w:val="false"/>
              <w:spacing w:before="15" w:beforeLines="5" w:after="46" w:afterLines="15" w:lineRule="exact" w:line="280"/>
              <w:ind w:firstLine="0" w:firstLineChars="0"/>
              <w:jc w:val="center"/>
              <w:rPr>
                <w:rFonts w:ascii="汉仪中黑简" w:eastAsia="汉仪中黑简"/>
                <w:color w:val="ff0000"/>
              </w:rPr>
            </w:pPr>
            <w:r>
              <w:rPr>
                <w:rFonts w:ascii="微软雅黑" w:cs="微软雅黑" w:eastAsia="微软雅黑" w:hAnsi="微软雅黑" w:hint="eastAsia"/>
                <w:color w:val="ff0000"/>
              </w:rPr>
              <w:t xml:space="preserve">═════ </w:t>
            </w:r>
            <w:r>
              <w:rPr>
                <w:rFonts w:ascii="汉仪中黑简" w:eastAsia="汉仪中黑简" w:hint="eastAsia"/>
                <w:color w:val="ff0000"/>
              </w:rPr>
              <w:t xml:space="preserve"> 考点归纳  </w:t>
            </w:r>
            <w:r>
              <w:rPr>
                <w:rFonts w:ascii="微软雅黑" w:cs="微软雅黑" w:eastAsia="微软雅黑" w:hAnsi="微软雅黑" w:hint="eastAsia"/>
                <w:color w:val="ff0000"/>
              </w:rPr>
              <w:t>═════</w:t>
            </w:r>
          </w:p>
          <w:p w14:paraId="72AE3DA0">
            <w:pPr>
              <w:pStyle w:val="style0"/>
              <w:widowControl/>
              <w:snapToGrid w:val="false"/>
              <w:spacing w:before="15" w:beforeLines="5" w:after="46" w:afterLines="15" w:lineRule="exact" w:line="280"/>
              <w:ind w:firstLine="0" w:firstLineChars="0"/>
              <w:rPr>
                <w:rFonts w:ascii="汉仪书宋一简" w:eastAsia="汉仪书宋一简"/>
                <w:b/>
                <w:color w:val="000000"/>
                <w:kern w:val="0"/>
              </w:rPr>
            </w:pPr>
            <w:r>
              <w:rPr>
                <w:rFonts w:ascii="汉仪书宋一简" w:eastAsia="汉仪书宋一简" w:hint="eastAsia"/>
                <w:bCs/>
                <w:color w:val="000000"/>
                <w:kern w:val="0"/>
              </w:rPr>
              <w:t>利用票据[</w:t>
            </w:r>
            <w:r>
              <w:rPr>
                <w:rFonts w:ascii="汉仪中黑简" w:eastAsia="汉仪中黑简" w:hint="eastAsia"/>
                <w:color w:val="ff0000"/>
              </w:rPr>
              <w:t>汇票、本票、支票</w:t>
            </w:r>
            <w:r>
              <w:rPr>
                <w:rFonts w:ascii="汉仪书宋一简" w:eastAsia="汉仪书宋一简" w:hint="eastAsia"/>
                <w:bCs/>
                <w:color w:val="000000"/>
                <w:kern w:val="0"/>
              </w:rPr>
              <w:t>]欺骗手段（假票、废票；冒用、无法承兑），来骗人（实行）以骗财</w:t>
            </w:r>
          </w:p>
        </w:tc>
      </w:tr>
    </w:tbl>
    <w:p w14:paraId="22170652">
      <w:pPr>
        <w:pStyle w:val="style0"/>
        <w:snapToGrid w:val="false"/>
        <w:ind w:firstLine="420"/>
        <w:rPr>
          <w:rFonts w:ascii="Calibri" w:cs="Times New Roman" w:eastAsia="宋体" w:hAnsi="Calibri"/>
          <w:color w:val="000000"/>
        </w:rPr>
      </w:pPr>
    </w:p>
    <w:p w14:paraId="685A42B7">
      <w:pPr>
        <w:pStyle w:val="style0"/>
        <w:keepNext/>
        <w:keepLines/>
        <w:ind w:firstLine="0" w:firstLineChars="0"/>
        <w:jc w:val="left"/>
        <w:outlineLvl w:val="2"/>
        <w:rPr>
          <w:rFonts w:eastAsia="汉仪大宋简"/>
          <w:color w:val="000000"/>
        </w:rPr>
      </w:pPr>
      <w:r>
        <w:rPr>
          <w:rFonts w:eastAsia="汉仪大宋简" w:hint="eastAsia"/>
          <w:color w:val="000000"/>
        </w:rPr>
        <w:t>三、金融凭证诈骗罪（存折、存单等）：使用假证</w:t>
      </w:r>
    </w:p>
    <w:p w14:paraId="69BE58E5">
      <w:pPr>
        <w:pStyle w:val="style0"/>
        <w:snapToGrid w:val="false"/>
        <w:ind w:firstLine="420"/>
        <w:rPr>
          <w:rFonts w:ascii="仿宋" w:cs="Times New Roman" w:eastAsia="楷体" w:hAnsi="仿宋" w:hint="eastAsia"/>
          <w:color w:val="000000"/>
        </w:rPr>
      </w:pPr>
      <w:r>
        <w:rPr>
          <w:rFonts w:ascii="汉仪中黑简" w:eastAsia="汉仪中黑简" w:hint="eastAsia"/>
          <w:color w:val="ff0000"/>
        </w:rPr>
        <w:t>第1</w:t>
      </w:r>
      <w:r>
        <w:rPr>
          <w:rFonts w:ascii="汉仪中黑简" w:eastAsia="汉仪中黑简"/>
          <w:color w:val="ff0000"/>
        </w:rPr>
        <w:t>94</w:t>
      </w:r>
      <w:r>
        <w:rPr>
          <w:rFonts w:ascii="汉仪中黑简" w:eastAsia="汉仪中黑简" w:hint="eastAsia"/>
          <w:color w:val="ff0000"/>
        </w:rPr>
        <w:t>条第2款</w:t>
      </w:r>
    </w:p>
    <w:bookmarkStart w:id="0" w:name="_Hlk43096926"/>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271"/>
        <w:gridCol w:w="7234"/>
      </w:tblGrid>
      <w:tr w14:paraId="1E814FB6">
        <w:trPr>
          <w:jc w:val="center"/>
        </w:trPr>
        <w:tc>
          <w:tcPr>
            <w:tcW w:w="1271" w:type="dxa"/>
            <w:tcBorders/>
            <w:shd w:val="clear" w:color="auto" w:fill="auto"/>
            <w:vAlign w:val="center"/>
          </w:tcPr>
          <w:p w14:paraId="4665310B">
            <w:pPr>
              <w:pStyle w:val="style0"/>
              <w:widowControl/>
              <w:snapToGrid w:val="false"/>
              <w:spacing w:before="15" w:beforeLines="5" w:after="46" w:afterLines="15" w:lineRule="exact" w:line="280"/>
              <w:ind w:firstLine="0" w:firstLineChars="0"/>
              <w:jc w:val="left"/>
              <w:rPr>
                <w:rFonts w:ascii="汉仪书宋一简" w:cs="Times New Roman" w:eastAsia="汉仪书宋一简" w:hAnsi="Times New Roman"/>
                <w:color w:val="000000"/>
                <w:kern w:val="0"/>
              </w:rPr>
            </w:pPr>
            <w:r>
              <w:rPr>
                <w:rFonts w:ascii="汉仪书宋一简" w:cs="Times New Roman" w:eastAsia="汉仪书宋一简" w:hAnsi="Times New Roman" w:hint="eastAsia"/>
                <w:color w:val="000000"/>
                <w:kern w:val="0"/>
              </w:rPr>
              <w:t>金融凭证</w:t>
            </w:r>
          </w:p>
        </w:tc>
        <w:tc>
          <w:tcPr>
            <w:tcW w:w="7234" w:type="dxa"/>
            <w:tcBorders/>
            <w:shd w:val="clear" w:color="auto" w:fill="auto"/>
            <w:vAlign w:val="center"/>
          </w:tcPr>
          <w:p w14:paraId="33174365">
            <w:pPr>
              <w:pStyle w:val="style0"/>
              <w:widowControl/>
              <w:snapToGrid w:val="false"/>
              <w:spacing w:before="15" w:beforeLines="5" w:after="46" w:afterLines="15" w:lineRule="exact" w:line="280"/>
              <w:ind w:firstLine="0" w:firstLineChars="0"/>
              <w:jc w:val="left"/>
              <w:rPr>
                <w:rFonts w:ascii="汉仪书宋一简" w:cs="Times New Roman" w:eastAsia="汉仪书宋一简" w:hAnsi="Times New Roman"/>
                <w:color w:val="000000"/>
                <w:kern w:val="0"/>
              </w:rPr>
            </w:pPr>
            <w:r>
              <w:rPr>
                <w:rFonts w:ascii="汉仪书宋一简" w:cs="Times New Roman" w:eastAsia="汉仪书宋一简" w:hAnsi="Times New Roman" w:hint="eastAsia"/>
                <w:color w:val="000000"/>
                <w:kern w:val="0"/>
              </w:rPr>
              <w:t>银行结算凭证（委托收款凭证、汇款凭证、银行存单）</w:t>
            </w:r>
          </w:p>
        </w:tc>
      </w:tr>
      <w:tr w14:paraId="08DA22EB">
        <w:tblPrEx/>
        <w:trPr>
          <w:trHeight w:val="271" w:hRule="atLeast"/>
          <w:jc w:val="center"/>
        </w:trPr>
        <w:tc>
          <w:tcPr>
            <w:tcW w:w="1271" w:type="dxa"/>
            <w:vMerge w:val="restart"/>
            <w:tcBorders/>
            <w:shd w:val="clear" w:color="auto" w:fill="auto"/>
            <w:vAlign w:val="center"/>
          </w:tcPr>
          <w:p w14:paraId="61DBC0AC">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r>
              <w:rPr>
                <w:rFonts w:ascii="汉仪书宋一简" w:eastAsia="汉仪书宋一简" w:hint="eastAsia"/>
                <w:color w:val="000000"/>
                <w:kern w:val="0"/>
              </w:rPr>
              <w:t>手段</w:t>
            </w:r>
          </w:p>
        </w:tc>
        <w:tc>
          <w:tcPr>
            <w:tcW w:w="7234" w:type="dxa"/>
            <w:tcBorders/>
            <w:shd w:val="clear" w:color="auto" w:fill="auto"/>
            <w:vAlign w:val="center"/>
          </w:tcPr>
          <w:p w14:paraId="467B723B">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r>
              <w:rPr>
                <w:rFonts w:ascii="汉仪中黑简" w:eastAsia="汉仪中黑简" w:hint="eastAsia"/>
                <w:color w:val="000000"/>
              </w:rPr>
              <w:t>使用假证：</w:t>
            </w:r>
            <w:r>
              <w:rPr>
                <w:rFonts w:ascii="汉仪书宋一简" w:eastAsia="汉仪书宋一简" w:hint="eastAsia"/>
                <w:color w:val="000000"/>
                <w:kern w:val="0"/>
              </w:rPr>
              <w:t>使用伪造、变造的……</w:t>
            </w:r>
          </w:p>
        </w:tc>
      </w:tr>
      <w:tr w14:paraId="7AD868A5">
        <w:tblPrEx/>
        <w:trPr>
          <w:jc w:val="center"/>
        </w:trPr>
        <w:tc>
          <w:tcPr>
            <w:tcW w:w="1271" w:type="dxa"/>
            <w:vMerge w:val="continue"/>
            <w:tcBorders/>
            <w:shd w:val="clear" w:color="auto" w:fill="auto"/>
            <w:vAlign w:val="center"/>
          </w:tcPr>
          <w:p w14:paraId="337A50E9">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p>
        </w:tc>
        <w:tc>
          <w:tcPr>
            <w:tcW w:w="7234" w:type="dxa"/>
            <w:tcBorders/>
            <w:shd w:val="clear" w:color="auto" w:fill="auto"/>
            <w:vAlign w:val="center"/>
          </w:tcPr>
          <w:p w14:paraId="767ED5AE">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r>
              <w:rPr>
                <w:rFonts w:ascii="汉仪书宋一简" w:eastAsia="汉仪书宋一简" w:hint="eastAsia"/>
                <w:color w:val="000000"/>
                <w:kern w:val="0"/>
              </w:rPr>
              <w:t>使用真实的金融凭证进行诈骗，例如，拾捡到存折之后冒充身份取款的，不构成本罪，构成诈骗罪</w:t>
            </w:r>
          </w:p>
        </w:tc>
      </w:tr>
      <w:tr w14:paraId="197AD57E">
        <w:tblPrEx/>
        <w:trPr>
          <w:jc w:val="center"/>
        </w:trPr>
        <w:tc>
          <w:tcPr>
            <w:tcW w:w="1271" w:type="dxa"/>
            <w:tcBorders>
              <w:bottom w:val="single" w:sz="4" w:space="0" w:color="ff0000"/>
            </w:tcBorders>
            <w:shd w:val="clear" w:color="auto" w:fill="auto"/>
            <w:vAlign w:val="center"/>
          </w:tcPr>
          <w:p w14:paraId="5B338CA2">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r>
              <w:rPr>
                <w:rFonts w:ascii="汉仪书宋一简" w:eastAsia="汉仪书宋一简" w:hint="eastAsia"/>
                <w:color w:val="000000"/>
                <w:kern w:val="0"/>
              </w:rPr>
              <w:t>法条竞合</w:t>
            </w:r>
          </w:p>
        </w:tc>
        <w:tc>
          <w:tcPr>
            <w:tcW w:w="7234" w:type="dxa"/>
            <w:tcBorders>
              <w:bottom w:val="single" w:sz="4" w:space="0" w:color="ff0000"/>
            </w:tcBorders>
            <w:shd w:val="clear" w:color="auto" w:fill="auto"/>
            <w:vAlign w:val="center"/>
          </w:tcPr>
          <w:p w14:paraId="63A70515">
            <w:pPr>
              <w:pStyle w:val="style0"/>
              <w:widowControl/>
              <w:snapToGrid w:val="false"/>
              <w:spacing w:before="15" w:beforeLines="5" w:after="46" w:afterLines="15" w:lineRule="exact" w:line="280"/>
              <w:ind w:firstLine="0" w:firstLineChars="0"/>
              <w:jc w:val="left"/>
              <w:rPr>
                <w:rFonts w:ascii="汉仪书宋一简" w:eastAsia="汉仪书宋一简"/>
                <w:color w:val="000000"/>
                <w:kern w:val="0"/>
              </w:rPr>
            </w:pPr>
            <w:r>
              <w:rPr>
                <w:rFonts w:ascii="汉仪书宋一简" w:eastAsia="汉仪书宋一简" w:hint="eastAsia"/>
                <w:color w:val="000000"/>
                <w:kern w:val="0"/>
              </w:rPr>
              <w:t>以伪造的银行存单作抵押（质押），通过签订借款合同骗取银行贷款的。系金融凭证诈骗罪与贷款诈骗罪的交叉竞合（法条竞合），应按重法优于轻法原因，择一重罪处断</w:t>
            </w:r>
          </w:p>
        </w:tc>
      </w:tr>
      <w:tr w14:paraId="18520B88">
        <w:tblPrEx/>
        <w:trPr>
          <w:jc w:val="center"/>
        </w:trPr>
        <w:tc>
          <w:tcPr>
            <w:tcW w:w="8505" w:type="dxa"/>
            <w:gridSpan w:val="2"/>
            <w:tcBorders/>
            <w:shd w:val="clear" w:color="auto" w:fill="ffe5e5"/>
            <w:vAlign w:val="center"/>
          </w:tcPr>
          <w:p w14:paraId="185CF49A">
            <w:pPr>
              <w:pStyle w:val="style0"/>
              <w:snapToGrid w:val="false"/>
              <w:spacing w:before="15" w:beforeLines="5" w:after="46" w:afterLines="15" w:lineRule="exact" w:line="280"/>
              <w:ind w:firstLine="0" w:firstLineChars="0"/>
              <w:jc w:val="center"/>
              <w:rPr>
                <w:rFonts w:ascii="汉仪中黑简" w:eastAsia="汉仪中黑简"/>
                <w:color w:val="ff0000"/>
              </w:rPr>
            </w:pPr>
            <w:r>
              <w:rPr>
                <w:rFonts w:ascii="微软雅黑" w:cs="微软雅黑" w:eastAsia="微软雅黑" w:hAnsi="微软雅黑" w:hint="eastAsia"/>
                <w:color w:val="ff0000"/>
              </w:rPr>
              <w:t xml:space="preserve">═════ </w:t>
            </w:r>
            <w:r>
              <w:rPr>
                <w:rFonts w:ascii="汉仪中黑简" w:eastAsia="汉仪中黑简" w:hint="eastAsia"/>
                <w:color w:val="ff0000"/>
              </w:rPr>
              <w:t xml:space="preserve"> 考点归纳  </w:t>
            </w:r>
            <w:r>
              <w:rPr>
                <w:rFonts w:ascii="微软雅黑" w:cs="微软雅黑" w:eastAsia="微软雅黑" w:hAnsi="微软雅黑" w:hint="eastAsia"/>
                <w:color w:val="ff0000"/>
              </w:rPr>
              <w:t>═════</w:t>
            </w:r>
          </w:p>
          <w:p w14:paraId="412089C4">
            <w:pPr>
              <w:pStyle w:val="style0"/>
              <w:widowControl/>
              <w:snapToGrid w:val="false"/>
              <w:spacing w:before="15" w:beforeLines="5" w:after="46" w:afterLines="15" w:lineRule="exact" w:line="280"/>
              <w:ind w:firstLine="0" w:firstLineChars="0"/>
              <w:jc w:val="left"/>
              <w:rPr>
                <w:rFonts w:ascii="汉仪书宋一简" w:eastAsia="汉仪书宋一简"/>
                <w:b/>
                <w:color w:val="000000"/>
                <w:kern w:val="0"/>
              </w:rPr>
            </w:pPr>
            <w:r>
              <w:rPr>
                <w:rFonts w:ascii="汉仪中黑简" w:eastAsia="汉仪中黑简" w:hint="eastAsia"/>
                <w:color w:val="000000"/>
              </w:rPr>
              <w:t>使用假存折、假存单骗财，构成金融凭证诈骗罪；使用真存折、真存单骗财，构成普通诈骗罪</w:t>
            </w:r>
          </w:p>
        </w:tc>
      </w:tr>
      <w:bookmarkEnd w:id="0"/>
    </w:tbl>
    <w:p w14:paraId="1E912664">
      <w:pPr>
        <w:pStyle w:val="style0"/>
        <w:keepNext/>
        <w:keepLines/>
        <w:ind w:firstLine="0" w:firstLineChars="0"/>
        <w:jc w:val="left"/>
        <w:outlineLvl w:val="2"/>
        <w:rPr>
          <w:rFonts w:eastAsia="宋体"/>
          <w:b/>
          <w:bCs/>
          <w:color w:val="ff0000"/>
          <w:sz w:val="18"/>
          <w:szCs w:val="18"/>
        </w:rPr>
      </w:pPr>
      <w:r>
        <w:rPr>
          <w:rFonts w:eastAsia="宋体" w:hint="eastAsia"/>
          <w:b/>
          <w:bCs/>
          <w:color w:val="ff0000"/>
          <w:sz w:val="18"/>
          <w:szCs w:val="18"/>
        </w:rPr>
        <w:t>注意：必须是使用假的才构成此罪，与信用卡诈骗罪区分。</w:t>
      </w:r>
    </w:p>
    <w:p w14:paraId="417A96D5">
      <w:pPr>
        <w:pStyle w:val="style0"/>
        <w:keepNext/>
        <w:keepLines/>
        <w:ind w:firstLine="0" w:firstLineChars="0"/>
        <w:jc w:val="left"/>
        <w:outlineLvl w:val="2"/>
        <w:rPr>
          <w:rFonts w:ascii="Calibri" w:cs="Times New Roman" w:eastAsia="宋体" w:hAnsi="Calibri"/>
          <w:b/>
          <w:color w:val="000000"/>
        </w:rPr>
      </w:pPr>
      <w:r>
        <w:rPr>
          <w:rFonts w:eastAsia="汉仪大宋简" w:hint="eastAsia"/>
          <w:color w:val="000000"/>
        </w:rPr>
        <w:t>四、伪造、变造金融票证罪</w:t>
      </w:r>
    </w:p>
    <w:p w14:paraId="16F92E51">
      <w:pPr>
        <w:pStyle w:val="style0"/>
        <w:snapToGrid w:val="false"/>
        <w:ind w:firstLine="420"/>
        <w:rPr>
          <w:rFonts w:ascii="仿宋" w:cs="Times New Roman" w:eastAsia="楷体" w:hAnsi="仿宋"/>
          <w:color w:val="000000"/>
        </w:rPr>
      </w:pPr>
      <w:r>
        <w:rPr>
          <w:rFonts w:ascii="汉仪中黑简" w:eastAsia="汉仪中黑简" w:hint="eastAsia"/>
          <w:color w:val="ff0000"/>
        </w:rPr>
        <w:t>第177条</w:t>
      </w:r>
    </w:p>
    <w:p w14:paraId="70729118">
      <w:pPr>
        <w:pStyle w:val="style0"/>
        <w:snapToGrid w:val="false"/>
        <w:ind w:firstLine="420"/>
        <w:rPr>
          <w:rFonts w:ascii="仿宋" w:cs="Times New Roman" w:eastAsia="楷体" w:hAnsi="仿宋"/>
          <w:color w:val="00000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319"/>
        <w:gridCol w:w="1161"/>
        <w:gridCol w:w="3194"/>
        <w:gridCol w:w="1831"/>
      </w:tblGrid>
      <w:tr w14:paraId="4E2497CA">
        <w:trPr>
          <w:jc w:val="center"/>
        </w:trPr>
        <w:tc>
          <w:tcPr>
            <w:tcW w:w="2319" w:type="dxa"/>
            <w:vMerge w:val="restart"/>
            <w:tcBorders/>
            <w:vAlign w:val="center"/>
          </w:tcPr>
          <w:p w14:paraId="76354458">
            <w:pPr>
              <w:pStyle w:val="style0"/>
              <w:autoSpaceDE w:val="false"/>
              <w:autoSpaceDN w:val="false"/>
              <w:adjustRightInd w:val="false"/>
              <w:snapToGrid w:val="false"/>
              <w:spacing w:before="31" w:beforeLines="10" w:after="62" w:afterLines="20" w:lineRule="exact" w:line="280"/>
              <w:ind w:firstLine="0" w:firstLineChars="0"/>
              <w:rPr>
                <w:rFonts w:ascii="汉仪书宋一简" w:cs="Times New Roman" w:eastAsia="汉仪书宋一简" w:hAnsi="Calibri"/>
                <w:b/>
                <w:color w:val="000000"/>
                <w:kern w:val="0"/>
              </w:rPr>
            </w:pPr>
            <w:r>
              <w:rPr>
                <w:rFonts w:ascii="汉仪中黑简" w:eastAsia="汉仪中黑简" w:hint="eastAsia"/>
                <w:color w:val="000000"/>
              </w:rPr>
              <w:t>伪造、变造金融票证罪</w:t>
            </w:r>
          </w:p>
        </w:tc>
        <w:tc>
          <w:tcPr>
            <w:tcW w:w="1161" w:type="dxa"/>
            <w:vMerge w:val="restart"/>
            <w:tcBorders/>
            <w:vAlign w:val="center"/>
          </w:tcPr>
          <w:p w14:paraId="748BE345">
            <w:pPr>
              <w:pStyle w:val="style0"/>
              <w:autoSpaceDE w:val="false"/>
              <w:autoSpaceDN w:val="false"/>
              <w:adjustRightInd w:val="false"/>
              <w:snapToGrid w:val="false"/>
              <w:spacing w:before="31" w:beforeLines="10" w:after="62" w:afterLines="20" w:lineRule="exact" w:line="280"/>
              <w:ind w:firstLine="0" w:firstLineChars="0"/>
              <w:rPr>
                <w:rFonts w:ascii="汉仪书宋一简" w:cs="Times New Roman" w:eastAsia="汉仪书宋一简" w:hAnsi="Calibri"/>
                <w:color w:val="000000"/>
                <w:kern w:val="0"/>
              </w:rPr>
            </w:pPr>
            <w:r>
              <w:rPr>
                <w:rFonts w:ascii="汉仪书宋一简" w:cs="Times New Roman" w:eastAsia="汉仪书宋一简" w:hAnsi="Calibri" w:hint="eastAsia"/>
                <w:color w:val="000000"/>
                <w:kern w:val="0"/>
              </w:rPr>
              <w:t>伪造变造</w:t>
            </w:r>
          </w:p>
        </w:tc>
        <w:tc>
          <w:tcPr>
            <w:tcW w:w="3194" w:type="dxa"/>
            <w:tcBorders/>
            <w:vAlign w:val="center"/>
          </w:tcPr>
          <w:p w14:paraId="359ABF49">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r>
              <w:rPr>
                <w:rFonts w:ascii="汉仪书宋一简" w:cs="Times New Roman" w:eastAsia="汉仪书宋一简" w:hAnsi="Calibri" w:hint="eastAsia"/>
                <w:color w:val="000000"/>
                <w:kern w:val="0"/>
              </w:rPr>
              <w:t>汇票、本罪、支票</w:t>
            </w:r>
          </w:p>
        </w:tc>
        <w:tc>
          <w:tcPr>
            <w:tcW w:w="1831" w:type="dxa"/>
            <w:tcBorders/>
            <w:vAlign w:val="center"/>
          </w:tcPr>
          <w:p w14:paraId="0CA918AF">
            <w:pPr>
              <w:pStyle w:val="style0"/>
              <w:autoSpaceDE w:val="false"/>
              <w:autoSpaceDN w:val="false"/>
              <w:adjustRightInd w:val="false"/>
              <w:snapToGrid w:val="false"/>
              <w:spacing w:before="31" w:beforeLines="10" w:after="62" w:afterLines="20" w:lineRule="exact" w:line="280"/>
              <w:ind w:firstLine="0" w:firstLineChars="0"/>
              <w:jc w:val="left"/>
              <w:rPr>
                <w:rFonts w:ascii="汉仪中黑简" w:eastAsia="汉仪中黑简"/>
                <w:color w:val="000000"/>
              </w:rPr>
            </w:pPr>
            <w:r>
              <w:rPr>
                <w:rFonts w:ascii="汉仪中黑简" w:eastAsia="汉仪中黑简" w:hint="eastAsia"/>
                <w:color w:val="000000"/>
              </w:rPr>
              <w:t>票据诈骗罪</w:t>
            </w:r>
          </w:p>
        </w:tc>
      </w:tr>
      <w:tr w14:paraId="0BA00B9A">
        <w:tblPrEx/>
        <w:trPr>
          <w:jc w:val="center"/>
        </w:trPr>
        <w:tc>
          <w:tcPr>
            <w:tcW w:w="2319" w:type="dxa"/>
            <w:vMerge w:val="continue"/>
            <w:tcBorders/>
            <w:vAlign w:val="center"/>
          </w:tcPr>
          <w:p w14:paraId="6CDFEC48">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1161" w:type="dxa"/>
            <w:vMerge w:val="continue"/>
            <w:tcBorders/>
            <w:vAlign w:val="center"/>
          </w:tcPr>
          <w:p w14:paraId="6578866E">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3194" w:type="dxa"/>
            <w:tcBorders/>
            <w:vAlign w:val="center"/>
          </w:tcPr>
          <w:p w14:paraId="5BCA28F7">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r>
              <w:rPr>
                <w:rFonts w:ascii="汉仪书宋一简" w:cs="Times New Roman" w:eastAsia="汉仪书宋一简" w:hAnsi="Calibri" w:hint="eastAsia"/>
                <w:color w:val="000000"/>
                <w:kern w:val="0"/>
              </w:rPr>
              <w:t>委托收款凭证、汇款凭证、银行存单等其他银行结算凭证</w:t>
            </w:r>
          </w:p>
        </w:tc>
        <w:tc>
          <w:tcPr>
            <w:tcW w:w="1831" w:type="dxa"/>
            <w:tcBorders/>
            <w:vAlign w:val="center"/>
          </w:tcPr>
          <w:p w14:paraId="759260FF">
            <w:pPr>
              <w:pStyle w:val="style0"/>
              <w:autoSpaceDE w:val="false"/>
              <w:autoSpaceDN w:val="false"/>
              <w:adjustRightInd w:val="false"/>
              <w:snapToGrid w:val="false"/>
              <w:spacing w:before="31" w:beforeLines="10" w:after="62" w:afterLines="20" w:lineRule="exact" w:line="280"/>
              <w:ind w:firstLine="0" w:firstLineChars="0"/>
              <w:jc w:val="left"/>
              <w:rPr>
                <w:rFonts w:ascii="汉仪中黑简" w:eastAsia="汉仪中黑简"/>
                <w:color w:val="000000"/>
              </w:rPr>
            </w:pPr>
            <w:r>
              <w:rPr>
                <w:rFonts w:ascii="汉仪中黑简" w:eastAsia="汉仪中黑简" w:hint="eastAsia"/>
                <w:color w:val="000000"/>
              </w:rPr>
              <w:t>金融凭证诈骗罪</w:t>
            </w:r>
          </w:p>
        </w:tc>
      </w:tr>
      <w:tr w14:paraId="692EA173">
        <w:tblPrEx/>
        <w:trPr>
          <w:jc w:val="center"/>
        </w:trPr>
        <w:tc>
          <w:tcPr>
            <w:tcW w:w="2319" w:type="dxa"/>
            <w:vMerge w:val="continue"/>
            <w:tcBorders/>
            <w:vAlign w:val="center"/>
          </w:tcPr>
          <w:p w14:paraId="15E9DB41">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1161" w:type="dxa"/>
            <w:vMerge w:val="continue"/>
            <w:tcBorders/>
            <w:vAlign w:val="center"/>
          </w:tcPr>
          <w:p w14:paraId="478D0AF4">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3194" w:type="dxa"/>
            <w:tcBorders/>
            <w:vAlign w:val="center"/>
          </w:tcPr>
          <w:p w14:paraId="08EA1147">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r>
              <w:rPr>
                <w:rFonts w:ascii="汉仪书宋一简" w:cs="Times New Roman" w:eastAsia="汉仪书宋一简" w:hAnsi="Calibri" w:hint="eastAsia"/>
                <w:color w:val="000000"/>
                <w:kern w:val="0"/>
              </w:rPr>
              <w:t>信用证或者附随的单据、文件</w:t>
            </w:r>
          </w:p>
        </w:tc>
        <w:tc>
          <w:tcPr>
            <w:tcW w:w="1831" w:type="dxa"/>
            <w:tcBorders/>
            <w:vAlign w:val="center"/>
          </w:tcPr>
          <w:p w14:paraId="16A59415">
            <w:pPr>
              <w:pStyle w:val="style0"/>
              <w:autoSpaceDE w:val="false"/>
              <w:autoSpaceDN w:val="false"/>
              <w:adjustRightInd w:val="false"/>
              <w:snapToGrid w:val="false"/>
              <w:spacing w:before="31" w:beforeLines="10" w:after="62" w:afterLines="20" w:lineRule="exact" w:line="280"/>
              <w:ind w:firstLine="0" w:firstLineChars="0"/>
              <w:jc w:val="left"/>
              <w:rPr>
                <w:rFonts w:ascii="汉仪中黑简" w:eastAsia="汉仪中黑简"/>
                <w:color w:val="000000"/>
              </w:rPr>
            </w:pPr>
            <w:r>
              <w:rPr>
                <w:rFonts w:ascii="汉仪中黑简" w:eastAsia="汉仪中黑简" w:hint="eastAsia"/>
                <w:color w:val="000000"/>
              </w:rPr>
              <w:t>信用证诈骗罪</w:t>
            </w:r>
          </w:p>
        </w:tc>
      </w:tr>
      <w:tr w14:paraId="03686394">
        <w:tblPrEx/>
        <w:trPr>
          <w:jc w:val="center"/>
        </w:trPr>
        <w:tc>
          <w:tcPr>
            <w:tcW w:w="2319" w:type="dxa"/>
            <w:vMerge w:val="continue"/>
            <w:tcBorders/>
            <w:vAlign w:val="center"/>
          </w:tcPr>
          <w:p w14:paraId="3CF49EFB">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1161" w:type="dxa"/>
            <w:vMerge w:val="continue"/>
            <w:tcBorders/>
            <w:vAlign w:val="center"/>
          </w:tcPr>
          <w:p w14:paraId="0F83D3BC">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p>
        </w:tc>
        <w:tc>
          <w:tcPr>
            <w:tcW w:w="3194" w:type="dxa"/>
            <w:tcBorders/>
            <w:vAlign w:val="center"/>
          </w:tcPr>
          <w:p w14:paraId="4F5E90E3">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cs="Times New Roman" w:eastAsia="汉仪书宋一简" w:hAnsi="Calibri"/>
                <w:color w:val="000000"/>
                <w:kern w:val="0"/>
              </w:rPr>
            </w:pPr>
            <w:r>
              <w:rPr>
                <w:rFonts w:ascii="汉仪书宋一简" w:cs="Times New Roman" w:eastAsia="汉仪书宋一简" w:hAnsi="Calibri" w:hint="eastAsia"/>
                <w:color w:val="000000"/>
                <w:kern w:val="0"/>
              </w:rPr>
              <w:t>信用卡（伪造）</w:t>
            </w:r>
          </w:p>
        </w:tc>
        <w:tc>
          <w:tcPr>
            <w:tcW w:w="1831" w:type="dxa"/>
            <w:tcBorders/>
            <w:vAlign w:val="center"/>
          </w:tcPr>
          <w:p w14:paraId="79E93A24">
            <w:pPr>
              <w:pStyle w:val="style0"/>
              <w:autoSpaceDE w:val="false"/>
              <w:autoSpaceDN w:val="false"/>
              <w:adjustRightInd w:val="false"/>
              <w:snapToGrid w:val="false"/>
              <w:spacing w:before="31" w:beforeLines="10" w:after="62" w:afterLines="20" w:lineRule="exact" w:line="280"/>
              <w:ind w:firstLine="0" w:firstLineChars="0"/>
              <w:jc w:val="left"/>
              <w:rPr>
                <w:rFonts w:ascii="汉仪中黑简" w:eastAsia="汉仪中黑简"/>
                <w:color w:val="000000"/>
              </w:rPr>
            </w:pPr>
            <w:r>
              <w:rPr>
                <w:rFonts w:ascii="汉仪中黑简" w:eastAsia="汉仪中黑简" w:hint="eastAsia"/>
                <w:color w:val="000000"/>
              </w:rPr>
              <w:t>信用卡诈骗罪</w:t>
            </w:r>
          </w:p>
        </w:tc>
      </w:tr>
    </w:tbl>
    <w:p w14:paraId="56C0D8D7">
      <w:pPr>
        <w:pStyle w:val="style0"/>
        <w:snapToGrid w:val="false"/>
        <w:ind w:firstLine="420"/>
        <w:rPr>
          <w:rFonts w:ascii="Calibri" w:cs="Times New Roman" w:eastAsia="宋体" w:hAnsi="Calibri"/>
          <w:color w:val="000000"/>
        </w:rPr>
      </w:pPr>
    </w:p>
    <w:p w14:paraId="3F4B9329">
      <w:pPr>
        <w:pStyle w:val="style0"/>
        <w:keepNext/>
        <w:keepLines/>
        <w:ind w:firstLine="0" w:firstLineChars="0"/>
        <w:jc w:val="left"/>
        <w:outlineLvl w:val="2"/>
        <w:rPr>
          <w:rFonts w:eastAsia="汉仪大宋简"/>
          <w:color w:val="000000"/>
        </w:rPr>
      </w:pPr>
      <w:r>
        <w:rPr>
          <w:rFonts w:eastAsia="汉仪大宋简" w:hint="eastAsia"/>
          <w:color w:val="000000"/>
        </w:rPr>
        <w:t>五、非法吸收公众存款罪；集资诈骗罪</w:t>
      </w:r>
    </w:p>
    <w:p w14:paraId="51596AAE">
      <w:pPr>
        <w:pStyle w:val="style0"/>
        <w:adjustRightInd w:val="false"/>
        <w:snapToGrid w:val="false"/>
        <w:ind w:firstLine="420"/>
        <w:rPr>
          <w:rFonts w:ascii="仿宋" w:eastAsia="楷体" w:hAnsi="仿宋"/>
          <w:color w:val="000000"/>
          <w:kern w:val="0"/>
        </w:rPr>
      </w:pPr>
      <w:r>
        <w:rPr>
          <w:rFonts w:ascii="汉仪中黑简" w:eastAsia="汉仪中黑简"/>
          <w:color w:val="ff0000"/>
        </w:rPr>
        <w:t>第176条</w:t>
      </w:r>
    </w:p>
    <w:p w14:paraId="6E5E666E">
      <w:pPr>
        <w:pStyle w:val="style0"/>
        <w:adjustRightInd w:val="false"/>
        <w:snapToGrid w:val="false"/>
        <w:ind w:firstLine="420"/>
        <w:rPr>
          <w:rFonts w:ascii="Calibri" w:cs="Times New Roman" w:eastAsia="宋体" w:hAnsi="Calibri" w:hint="eastAsia"/>
          <w:color w:val="auto"/>
          <w:kern w:val="0"/>
        </w:rPr>
      </w:pPr>
      <w:r>
        <w:rPr>
          <w:rFonts w:ascii="汉仪中黑简" w:eastAsia="汉仪中黑简" w:hint="eastAsia"/>
          <w:color w:val="ff0000"/>
        </w:rPr>
        <w:t>第192条</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3288"/>
        <w:gridCol w:w="5217"/>
      </w:tblGrid>
      <w:tr w14:paraId="4807C5BB">
        <w:trPr>
          <w:jc w:val="center"/>
        </w:trPr>
        <w:tc>
          <w:tcPr>
            <w:tcW w:w="8353" w:type="dxa"/>
            <w:gridSpan w:val="2"/>
            <w:tcBorders/>
            <w:shd w:val="clear" w:color="auto" w:fill="auto"/>
            <w:vAlign w:val="center"/>
          </w:tcPr>
          <w:p w14:paraId="368C8645">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eastAsia="汉仪书宋一简"/>
                <w:color w:val="000000"/>
                <w:kern w:val="0"/>
              </w:rPr>
            </w:pPr>
            <w:r>
              <w:rPr>
                <w:rFonts w:ascii="汉仪书宋一简" w:eastAsia="汉仪书宋一简" w:hint="eastAsia"/>
                <w:color w:val="000000"/>
              </w:rPr>
              <w:t>非法</w:t>
            </w:r>
            <w:r>
              <w:rPr>
                <w:rFonts w:ascii="汉仪书宋一简" w:eastAsia="汉仪书宋一简" w:hint="eastAsia"/>
                <w:color w:val="000000"/>
                <w:kern w:val="0"/>
              </w:rPr>
              <w:t>集资行为：未经许可、公开宣传、承诺返本付息、社会公众</w:t>
            </w:r>
          </w:p>
        </w:tc>
      </w:tr>
      <w:tr w14:paraId="4E40DDC4">
        <w:tblPrEx/>
        <w:trPr>
          <w:jc w:val="center"/>
        </w:trPr>
        <w:tc>
          <w:tcPr>
            <w:tcW w:w="8353" w:type="dxa"/>
            <w:gridSpan w:val="2"/>
            <w:tcBorders/>
            <w:shd w:val="clear" w:color="auto" w:fill="auto"/>
            <w:vAlign w:val="center"/>
          </w:tcPr>
          <w:p w14:paraId="6D396767">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eastAsia="汉仪书宋一简"/>
                <w:color w:val="000000"/>
              </w:rPr>
            </w:pPr>
            <w:r>
              <w:rPr>
                <w:rFonts w:ascii="汉仪书宋一简" w:eastAsia="汉仪书宋一简" w:hint="eastAsia"/>
                <w:color w:val="000000"/>
                <w:kern w:val="0"/>
              </w:rPr>
              <w:t>无非法占有目的：非法吸收公众存款罪</w:t>
            </w:r>
          </w:p>
        </w:tc>
      </w:tr>
      <w:tr w14:paraId="26164B1D">
        <w:tblPrEx/>
        <w:trPr>
          <w:jc w:val="center"/>
        </w:trPr>
        <w:tc>
          <w:tcPr>
            <w:tcW w:w="3229" w:type="dxa"/>
            <w:tcBorders>
              <w:bottom w:val="single" w:sz="4" w:space="0" w:color="ff0000"/>
            </w:tcBorders>
            <w:shd w:val="clear" w:color="auto" w:fill="auto"/>
            <w:vAlign w:val="center"/>
          </w:tcPr>
          <w:p w14:paraId="29889214">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eastAsia="汉仪书宋一简"/>
                <w:color w:val="000000"/>
              </w:rPr>
            </w:pPr>
            <w:r>
              <w:rPr>
                <w:rFonts w:ascii="汉仪书宋一简" w:eastAsia="汉仪书宋一简" w:hint="eastAsia"/>
                <w:color w:val="000000"/>
                <w:kern w:val="0"/>
              </w:rPr>
              <w:t>有非法占有目的：集资诈骗罪</w:t>
            </w:r>
          </w:p>
        </w:tc>
        <w:tc>
          <w:tcPr>
            <w:tcW w:w="5124" w:type="dxa"/>
            <w:tcBorders>
              <w:bottom w:val="single" w:sz="4" w:space="0" w:color="ff0000"/>
            </w:tcBorders>
            <w:shd w:val="clear" w:color="auto" w:fill="auto"/>
            <w:vAlign w:val="center"/>
          </w:tcPr>
          <w:p w14:paraId="7758D5FD">
            <w:pPr>
              <w:pStyle w:val="style0"/>
              <w:autoSpaceDE w:val="false"/>
              <w:autoSpaceDN w:val="false"/>
              <w:adjustRightInd w:val="false"/>
              <w:snapToGrid w:val="false"/>
              <w:spacing w:before="31" w:beforeLines="10" w:after="62" w:afterLines="20" w:lineRule="exact" w:line="280"/>
              <w:ind w:firstLine="0" w:firstLineChars="0"/>
              <w:jc w:val="left"/>
              <w:rPr>
                <w:rFonts w:ascii="汉仪书宋一简" w:eastAsia="汉仪书宋一简"/>
                <w:color w:val="000000"/>
              </w:rPr>
            </w:pPr>
            <w:r>
              <w:rPr>
                <w:rFonts w:ascii="汉仪书宋一简" w:eastAsia="汉仪书宋一简" w:hint="eastAsia"/>
                <w:color w:val="000000"/>
                <w:kern w:val="0"/>
              </w:rPr>
              <w:t>犯罪数额：以具有非法占有目的的部分款项认定</w:t>
            </w:r>
          </w:p>
        </w:tc>
      </w:tr>
      <w:tr w14:paraId="707FA238">
        <w:tblPrEx/>
        <w:trPr>
          <w:jc w:val="center"/>
        </w:trPr>
        <w:tc>
          <w:tcPr>
            <w:tcW w:w="8353" w:type="dxa"/>
            <w:gridSpan w:val="2"/>
            <w:tcBorders/>
            <w:shd w:val="clear" w:color="auto" w:fill="ffe5e5"/>
            <w:vAlign w:val="center"/>
          </w:tcPr>
          <w:p w14:paraId="404C6948">
            <w:pPr>
              <w:pStyle w:val="style0"/>
              <w:snapToGrid w:val="false"/>
              <w:spacing w:before="31" w:beforeLines="10" w:after="62" w:afterLines="20" w:lineRule="exact" w:line="280"/>
              <w:ind w:firstLine="0" w:firstLineChars="0"/>
              <w:jc w:val="center"/>
              <w:rPr>
                <w:rFonts w:ascii="汉仪中黑简" w:eastAsia="汉仪中黑简"/>
                <w:color w:val="ff0000"/>
              </w:rPr>
            </w:pPr>
            <w:r>
              <w:rPr>
                <w:rFonts w:ascii="微软雅黑" w:cs="微软雅黑" w:eastAsia="微软雅黑" w:hAnsi="微软雅黑" w:hint="eastAsia"/>
                <w:color w:val="ff0000"/>
              </w:rPr>
              <w:t xml:space="preserve">═════ </w:t>
            </w:r>
            <w:r>
              <w:rPr>
                <w:rFonts w:ascii="汉仪中黑简" w:eastAsia="汉仪中黑简" w:hint="eastAsia"/>
                <w:color w:val="ff0000"/>
              </w:rPr>
              <w:t xml:space="preserve"> 考点归纳  </w:t>
            </w:r>
            <w:r>
              <w:rPr>
                <w:rFonts w:ascii="微软雅黑" w:cs="微软雅黑" w:eastAsia="微软雅黑" w:hAnsi="微软雅黑" w:hint="eastAsia"/>
                <w:color w:val="ff0000"/>
              </w:rPr>
              <w:t>═════</w:t>
            </w:r>
          </w:p>
          <w:p w14:paraId="4E6FCF83">
            <w:pPr>
              <w:pStyle w:val="style0"/>
              <w:snapToGrid w:val="false"/>
              <w:spacing w:before="31" w:beforeLines="10" w:after="62" w:afterLines="20" w:lineRule="exact" w:line="280"/>
              <w:ind w:firstLine="0" w:firstLineChars="0"/>
              <w:rPr>
                <w:rFonts w:ascii="汉仪书宋一简" w:eastAsia="汉仪书宋一简"/>
                <w:bCs/>
                <w:color w:val="000000"/>
                <w:kern w:val="0"/>
              </w:rPr>
            </w:pPr>
            <w:r>
              <w:rPr>
                <w:rFonts w:ascii="汉仪中黑简" w:eastAsia="汉仪中黑简" w:hint="eastAsia"/>
                <w:color w:val="000000"/>
              </w:rPr>
              <w:t>（</w:t>
            </w:r>
            <w:r>
              <w:rPr>
                <w:rFonts w:ascii="汉仪书宋一简" w:eastAsia="汉仪书宋一简" w:hint="eastAsia"/>
                <w:bCs/>
                <w:color w:val="000000"/>
              </w:rPr>
              <w:t>1）</w:t>
            </w:r>
            <w:r>
              <w:rPr>
                <w:rFonts w:ascii="汉仪书宋一简" w:eastAsia="汉仪书宋一简" w:hint="eastAsia"/>
                <w:bCs/>
                <w:color w:val="000000"/>
                <w:kern w:val="0"/>
              </w:rPr>
              <w:t>符合四个条件[</w:t>
            </w:r>
            <w:r>
              <w:rPr>
                <w:rFonts w:ascii="汉仪中黑简" w:eastAsia="汉仪中黑简" w:hint="eastAsia"/>
                <w:color w:val="ff0000"/>
              </w:rPr>
              <w:t>未经许可、公开宣传、承诺返本付息、社会公众</w:t>
            </w:r>
            <w:r>
              <w:rPr>
                <w:rFonts w:ascii="汉仪书宋一简" w:eastAsia="汉仪书宋一简" w:hint="eastAsia"/>
                <w:bCs/>
                <w:color w:val="000000"/>
                <w:kern w:val="0"/>
              </w:rPr>
              <w:t>]，是非法集资；</w:t>
            </w:r>
          </w:p>
          <w:p w14:paraId="3278C50F">
            <w:pPr>
              <w:pStyle w:val="style0"/>
              <w:snapToGrid w:val="false"/>
              <w:spacing w:before="31" w:beforeLines="10" w:after="62" w:afterLines="20" w:lineRule="exact" w:line="280"/>
              <w:ind w:firstLine="0" w:firstLineChars="0"/>
              <w:rPr>
                <w:rFonts w:ascii="汉仪书宋一简" w:eastAsia="汉仪书宋一简"/>
                <w:bCs/>
                <w:color w:val="000000"/>
                <w:kern w:val="0"/>
              </w:rPr>
            </w:pPr>
            <w:r>
              <w:rPr>
                <w:rFonts w:ascii="汉仪书宋一简" w:eastAsia="汉仪书宋一简" w:hint="eastAsia"/>
                <w:bCs/>
                <w:color w:val="000000"/>
                <w:kern w:val="0"/>
              </w:rPr>
              <w:t>（2）</w:t>
            </w:r>
            <w:r>
              <w:rPr>
                <w:rFonts w:ascii="汉仪中黑简" w:eastAsia="汉仪中黑简" w:hint="eastAsia"/>
                <w:color w:val="ff0000"/>
              </w:rPr>
              <w:t>没有非法占有目的</w:t>
            </w:r>
            <w:r>
              <w:rPr>
                <w:rFonts w:ascii="汉仪书宋一简" w:eastAsia="汉仪书宋一简" w:hint="eastAsia"/>
                <w:bCs/>
                <w:color w:val="000000"/>
                <w:kern w:val="0"/>
              </w:rPr>
              <w:t>，定非法吸收公众存款；</w:t>
            </w:r>
          </w:p>
          <w:p w14:paraId="5E2C9C93">
            <w:pPr>
              <w:pStyle w:val="style0"/>
              <w:snapToGrid w:val="false"/>
              <w:spacing w:before="31" w:beforeLines="10" w:after="62" w:afterLines="20" w:lineRule="exact" w:line="280"/>
              <w:ind w:firstLine="0" w:firstLineChars="0"/>
              <w:rPr>
                <w:rFonts w:ascii="汉仪书宋一简" w:eastAsia="汉仪书宋一简"/>
                <w:bCs/>
                <w:color w:val="000000"/>
                <w:kern w:val="0"/>
              </w:rPr>
            </w:pPr>
            <w:r>
              <w:rPr>
                <w:rFonts w:ascii="汉仪书宋一简" w:eastAsia="汉仪书宋一简" w:hint="eastAsia"/>
                <w:bCs/>
                <w:color w:val="000000"/>
                <w:kern w:val="0"/>
              </w:rPr>
              <w:t>（3）</w:t>
            </w:r>
            <w:r>
              <w:rPr>
                <w:rFonts w:ascii="汉仪中黑简" w:eastAsia="汉仪中黑简" w:hint="eastAsia"/>
                <w:color w:val="ff0000"/>
              </w:rPr>
              <w:t>对具有非法占有目的</w:t>
            </w:r>
            <w:r>
              <w:rPr>
                <w:rFonts w:ascii="汉仪书宋一简" w:eastAsia="汉仪书宋一简" w:hint="eastAsia"/>
                <w:bCs/>
                <w:color w:val="000000"/>
                <w:kern w:val="0"/>
              </w:rPr>
              <w:t>（8种推定）的部分，成立集资诈骗</w:t>
            </w:r>
          </w:p>
        </w:tc>
      </w:tr>
    </w:tbl>
    <w:p w14:paraId="6B7F30FB">
      <w:pPr>
        <w:pStyle w:val="style0"/>
        <w:adjustRightInd w:val="false"/>
        <w:snapToGrid w:val="false"/>
        <w:ind w:firstLine="420"/>
        <w:rPr>
          <w:rFonts w:ascii="仿宋" w:cs="Times New Roman" w:eastAsia="楷体" w:hAnsi="仿宋"/>
          <w:color w:val="000000"/>
        </w:rPr>
      </w:pPr>
    </w:p>
    <w:bookmarkStart w:id="1" w:name="_Hlk43096353"/>
    <w:p w14:paraId="09870A18">
      <w:pPr>
        <w:pStyle w:val="style0"/>
        <w:keepNext/>
        <w:keepLines/>
        <w:ind w:firstLine="0" w:firstLineChars="0"/>
        <w:jc w:val="left"/>
        <w:outlineLvl w:val="2"/>
        <w:rPr>
          <w:rFonts w:eastAsia="汉仪大宋简"/>
          <w:color w:val="000000"/>
        </w:rPr>
      </w:pPr>
      <w:r>
        <w:rPr>
          <w:rFonts w:eastAsia="汉仪大宋简" w:hint="eastAsia"/>
          <w:color w:val="000000"/>
        </w:rPr>
        <w:t>六、骗取贷款罪（修正）（高利转贷罪）；贷款诈骗罪</w:t>
      </w:r>
      <w:bookmarkEnd w:id="1"/>
    </w:p>
    <w:bookmarkStart w:id="2" w:name="_Hlk43096374"/>
    <w:p w14:paraId="1C9AE668">
      <w:pPr>
        <w:pStyle w:val="style0"/>
        <w:widowControl/>
        <w:snapToGrid w:val="false"/>
        <w:ind w:firstLine="420"/>
        <w:rPr>
          <w:rFonts w:ascii="仿宋" w:cs="仿宋_GB2312" w:eastAsia="楷体" w:hAnsi="仿宋"/>
          <w:color w:val="000000"/>
          <w:kern w:val="0"/>
        </w:rPr>
      </w:pPr>
      <w:r>
        <w:rPr>
          <w:rFonts w:ascii="汉仪中黑简" w:eastAsia="汉仪中黑简" w:hint="eastAsia"/>
          <w:color w:val="ff0000"/>
        </w:rPr>
        <w:t>第175条之一</w:t>
      </w:r>
    </w:p>
    <w:p w14:paraId="7D85D348">
      <w:pPr>
        <w:pStyle w:val="style0"/>
        <w:snapToGrid w:val="false"/>
        <w:ind w:firstLine="420"/>
        <w:rPr>
          <w:rFonts w:ascii="仿宋" w:cs="仿宋_GB2312" w:eastAsia="楷体" w:hAnsi="仿宋"/>
          <w:color w:val="000000"/>
        </w:rPr>
      </w:pPr>
      <w:r>
        <w:rPr>
          <w:rFonts w:ascii="汉仪中黑简" w:eastAsia="汉仪中黑简" w:hint="eastAsia"/>
          <w:color w:val="ff0000"/>
        </w:rPr>
        <w:t>第175条</w:t>
      </w:r>
    </w:p>
    <w:p w14:paraId="12077781">
      <w:pPr>
        <w:pStyle w:val="style0"/>
        <w:widowControl/>
        <w:snapToGrid w:val="false"/>
        <w:ind w:firstLine="420"/>
        <w:rPr>
          <w:rFonts w:ascii="楷体" w:cs="Times New Roman" w:eastAsia="楷体" w:hAnsi="楷体"/>
          <w:color w:val="000000"/>
          <w:kern w:val="0"/>
        </w:rPr>
      </w:pPr>
      <w:r>
        <w:rPr>
          <w:rFonts w:ascii="汉仪中黑简" w:eastAsia="汉仪中黑简" w:hint="eastAsia"/>
          <w:color w:val="ff0000"/>
        </w:rPr>
        <w:t>第193条</w:t>
      </w:r>
      <w:bookmarkEnd w:id="2"/>
    </w:p>
    <w:p w14:paraId="43805D90">
      <w:pPr>
        <w:pStyle w:val="style0"/>
        <w:widowControl/>
        <w:snapToGrid w:val="false"/>
        <w:ind w:firstLine="420"/>
        <w:rPr>
          <w:rFonts w:ascii="楷体" w:cs="Times New Roman" w:eastAsia="楷体" w:hAnsi="楷体"/>
          <w:color w:val="000000"/>
          <w:kern w:val="0"/>
        </w:rPr>
      </w:pPr>
    </w:p>
    <w:bookmarkStart w:id="3" w:name="_Hlk515638153"/>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37"/>
        <w:gridCol w:w="1672"/>
        <w:gridCol w:w="3556"/>
        <w:gridCol w:w="1540"/>
      </w:tblGrid>
      <w:tr w14:paraId="3C6E6CEA">
        <w:trPr>
          <w:jc w:val="center"/>
        </w:trPr>
        <w:tc>
          <w:tcPr>
            <w:tcW w:w="8505" w:type="dxa"/>
            <w:gridSpan w:val="4"/>
            <w:tcBorders/>
            <w:shd w:val="clear" w:color="auto" w:fill="auto"/>
            <w:vAlign w:val="center"/>
          </w:tcPr>
          <w:p w14:paraId="2E924504">
            <w:pPr>
              <w:pStyle w:val="style0"/>
              <w:autoSpaceDE w:val="false"/>
              <w:autoSpaceDN w:val="false"/>
              <w:adjustRightInd w:val="false"/>
              <w:snapToGrid w:val="false"/>
              <w:spacing w:before="31" w:beforeLines="10" w:after="62" w:afterLines="20" w:lineRule="exact" w:line="280"/>
              <w:ind w:firstLine="0" w:firstLineChars="0"/>
              <w:jc w:val="center"/>
              <w:rPr>
                <w:rFonts w:ascii="汉仪书宋一简" w:eastAsia="汉仪书宋一简"/>
                <w:b/>
                <w:color w:val="000000"/>
              </w:rPr>
            </w:pPr>
            <w:r>
              <w:rPr>
                <w:rFonts w:ascii="汉仪中黑简" w:eastAsia="汉仪中黑简" w:hint="eastAsia"/>
                <w:color w:val="000000"/>
              </w:rPr>
              <w:t>骗取贷款行为：</w:t>
            </w:r>
            <w:r>
              <w:rPr>
                <w:rFonts w:ascii="汉仪书宋一简" w:eastAsia="汉仪书宋一简" w:hint="eastAsia"/>
                <w:color w:val="000000"/>
              </w:rPr>
              <w:t>贷款时弄虚作假</w:t>
            </w:r>
          </w:p>
        </w:tc>
      </w:tr>
      <w:tr w14:paraId="20726186">
        <w:tblPrEx/>
        <w:trPr>
          <w:jc w:val="center"/>
        </w:trPr>
        <w:tc>
          <w:tcPr>
            <w:tcW w:w="1737" w:type="dxa"/>
            <w:vMerge w:val="restart"/>
            <w:tcBorders/>
            <w:shd w:val="clear" w:color="auto" w:fill="auto"/>
            <w:vAlign w:val="center"/>
          </w:tcPr>
          <w:p w14:paraId="73552B44">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rPr>
            </w:pPr>
            <w:r>
              <w:rPr>
                <w:rFonts w:ascii="汉仪中黑简" w:eastAsia="汉仪中黑简" w:hint="eastAsia"/>
                <w:color w:val="000000"/>
              </w:rPr>
              <w:t>无非法占有目的</w:t>
            </w:r>
          </w:p>
        </w:tc>
        <w:tc>
          <w:tcPr>
            <w:tcW w:w="1672" w:type="dxa"/>
            <w:tcBorders/>
            <w:shd w:val="clear" w:color="auto" w:fill="auto"/>
            <w:vAlign w:val="center"/>
          </w:tcPr>
          <w:p w14:paraId="2569BCE0">
            <w:pPr>
              <w:pStyle w:val="style0"/>
              <w:autoSpaceDE w:val="false"/>
              <w:autoSpaceDN w:val="false"/>
              <w:adjustRightInd w:val="false"/>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造成重大损失</w:t>
            </w:r>
          </w:p>
        </w:tc>
        <w:tc>
          <w:tcPr>
            <w:tcW w:w="3556" w:type="dxa"/>
            <w:tcBorders/>
            <w:shd w:val="clear" w:color="auto" w:fill="auto"/>
            <w:vAlign w:val="center"/>
          </w:tcPr>
          <w:p w14:paraId="647FA9E0">
            <w:pPr>
              <w:pStyle w:val="style0"/>
              <w:autoSpaceDE w:val="false"/>
              <w:autoSpaceDN w:val="false"/>
              <w:adjustRightInd w:val="false"/>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骗取贷款罪</w:t>
            </w:r>
          </w:p>
        </w:tc>
        <w:tc>
          <w:tcPr>
            <w:tcW w:w="1540" w:type="dxa"/>
            <w:vMerge w:val="restart"/>
            <w:tcBorders/>
            <w:shd w:val="clear" w:color="auto" w:fill="auto"/>
            <w:vAlign w:val="center"/>
          </w:tcPr>
          <w:p w14:paraId="10A4E1AD">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b/>
                <w:color w:val="000000"/>
                <w:kern w:val="0"/>
              </w:rPr>
            </w:pPr>
            <w:r>
              <w:rPr>
                <w:rFonts w:ascii="汉仪书宋一简" w:eastAsia="汉仪书宋一简" w:hint="eastAsia"/>
                <w:color w:val="000000"/>
                <w:kern w:val="0"/>
              </w:rPr>
              <w:t>自然人、单位</w:t>
            </w:r>
          </w:p>
        </w:tc>
      </w:tr>
      <w:tr w14:paraId="3B8DF19B">
        <w:tblPrEx/>
        <w:trPr>
          <w:jc w:val="center"/>
        </w:trPr>
        <w:tc>
          <w:tcPr>
            <w:tcW w:w="1737" w:type="dxa"/>
            <w:vMerge w:val="continue"/>
            <w:tcBorders/>
            <w:shd w:val="clear" w:color="auto" w:fill="auto"/>
            <w:vAlign w:val="center"/>
          </w:tcPr>
          <w:p w14:paraId="5F140395">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p>
        </w:tc>
        <w:tc>
          <w:tcPr>
            <w:tcW w:w="1672" w:type="dxa"/>
            <w:tcBorders/>
            <w:shd w:val="clear" w:color="auto" w:fill="auto"/>
            <w:vAlign w:val="center"/>
          </w:tcPr>
          <w:p w14:paraId="1DDA43EC">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骗贷时</w:t>
            </w:r>
            <w:r>
              <w:rPr>
                <w:rFonts w:ascii="汉仪中黑简" w:eastAsia="汉仪中黑简" w:hint="eastAsia"/>
                <w:color w:val="000000"/>
              </w:rPr>
              <w:t>以转贷牟利为目的</w:t>
            </w:r>
          </w:p>
        </w:tc>
        <w:tc>
          <w:tcPr>
            <w:tcW w:w="3556" w:type="dxa"/>
            <w:tcBorders/>
            <w:shd w:val="clear" w:color="auto" w:fill="auto"/>
            <w:vAlign w:val="center"/>
          </w:tcPr>
          <w:p w14:paraId="596C7193">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r>
              <w:rPr>
                <w:rFonts w:ascii="汉仪中黑简" w:eastAsia="汉仪中黑简" w:hint="eastAsia"/>
                <w:color w:val="000000"/>
              </w:rPr>
              <w:t>高利转贷罪</w:t>
            </w:r>
            <w:r>
              <w:rPr>
                <w:rFonts w:ascii="汉仪书宋一简" w:eastAsia="汉仪书宋一简" w:hint="eastAsia"/>
                <w:color w:val="000000"/>
                <w:kern w:val="0"/>
              </w:rPr>
              <w:t>（骗取贷款罪的特别法）</w:t>
            </w:r>
          </w:p>
        </w:tc>
        <w:tc>
          <w:tcPr>
            <w:tcW w:w="1540" w:type="dxa"/>
            <w:vMerge w:val="continue"/>
            <w:tcBorders/>
            <w:shd w:val="clear" w:color="auto" w:fill="auto"/>
            <w:vAlign w:val="center"/>
          </w:tcPr>
          <w:p w14:paraId="304E0120">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p>
        </w:tc>
      </w:tr>
      <w:tr w14:paraId="4144E8D4">
        <w:tblPrEx/>
        <w:trPr>
          <w:jc w:val="center"/>
        </w:trPr>
        <w:tc>
          <w:tcPr>
            <w:tcW w:w="3409" w:type="dxa"/>
            <w:gridSpan w:val="2"/>
            <w:tcBorders>
              <w:bottom w:val="single" w:sz="4" w:space="0" w:color="ff0000"/>
            </w:tcBorders>
            <w:shd w:val="clear" w:color="auto" w:fill="auto"/>
            <w:vAlign w:val="center"/>
          </w:tcPr>
          <w:p w14:paraId="4F7A9E00">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r>
              <w:rPr>
                <w:rFonts w:ascii="汉仪中黑简" w:eastAsia="汉仪中黑简" w:hint="eastAsia"/>
                <w:color w:val="000000"/>
              </w:rPr>
              <w:t>有非法占有目的</w:t>
            </w:r>
          </w:p>
        </w:tc>
        <w:tc>
          <w:tcPr>
            <w:tcW w:w="3556" w:type="dxa"/>
            <w:tcBorders>
              <w:bottom w:val="single" w:sz="4" w:space="0" w:color="ff0000"/>
            </w:tcBorders>
            <w:shd w:val="clear" w:color="auto" w:fill="auto"/>
            <w:vAlign w:val="center"/>
          </w:tcPr>
          <w:p w14:paraId="2E0C45E9">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b/>
                <w:color w:val="000000"/>
                <w:kern w:val="0"/>
              </w:rPr>
            </w:pPr>
            <w:r>
              <w:rPr>
                <w:rFonts w:ascii="汉仪中黑简" w:eastAsia="汉仪中黑简" w:hint="eastAsia"/>
                <w:color w:val="000000"/>
              </w:rPr>
              <w:t>贷款诈骗罪（</w:t>
            </w:r>
            <w:r>
              <w:rPr>
                <w:rFonts w:ascii="汉仪书宋一简" w:eastAsia="汉仪书宋一简" w:hint="eastAsia"/>
                <w:color w:val="000000"/>
                <w:kern w:val="0"/>
              </w:rPr>
              <w:t>犯罪数额：以具有非法占有目的的部分款项认定</w:t>
            </w:r>
            <w:r>
              <w:rPr>
                <w:rFonts w:ascii="汉仪中黑简" w:eastAsia="汉仪中黑简" w:hint="eastAsia"/>
                <w:color w:val="000000"/>
              </w:rPr>
              <w:t>）</w:t>
            </w:r>
          </w:p>
        </w:tc>
        <w:tc>
          <w:tcPr>
            <w:tcW w:w="1540" w:type="dxa"/>
            <w:tcBorders>
              <w:bottom w:val="single" w:sz="4" w:space="0" w:color="ff0000"/>
            </w:tcBorders>
            <w:shd w:val="clear" w:color="auto" w:fill="auto"/>
            <w:vAlign w:val="center"/>
          </w:tcPr>
          <w:p w14:paraId="27E2C24E">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r>
              <w:rPr>
                <w:rFonts w:ascii="汉仪中黑简" w:eastAsia="汉仪中黑简" w:hint="eastAsia"/>
                <w:color w:val="ff0000"/>
              </w:rPr>
              <w:t>只能由自然人构成</w:t>
            </w:r>
          </w:p>
        </w:tc>
      </w:tr>
      <w:tr w14:paraId="031A79D1">
        <w:tblPrEx/>
        <w:trPr>
          <w:jc w:val="center"/>
        </w:trPr>
        <w:tc>
          <w:tcPr>
            <w:tcW w:w="8505" w:type="dxa"/>
            <w:gridSpan w:val="4"/>
            <w:tcBorders/>
            <w:shd w:val="clear" w:color="auto" w:fill="ffe5e5"/>
            <w:vAlign w:val="center"/>
          </w:tcPr>
          <w:p w14:paraId="0BA4D33A">
            <w:pPr>
              <w:pStyle w:val="style0"/>
              <w:snapToGrid w:val="false"/>
              <w:spacing w:before="31" w:beforeLines="10" w:after="62" w:afterLines="20" w:lineRule="exact" w:line="280"/>
              <w:ind w:firstLine="0" w:firstLineChars="0"/>
              <w:jc w:val="center"/>
              <w:rPr>
                <w:rFonts w:ascii="汉仪中黑简" w:eastAsia="汉仪中黑简"/>
                <w:color w:val="ff0000"/>
              </w:rPr>
            </w:pPr>
            <w:r>
              <w:rPr>
                <w:rFonts w:ascii="微软雅黑" w:cs="微软雅黑" w:eastAsia="微软雅黑" w:hAnsi="微软雅黑" w:hint="eastAsia"/>
                <w:color w:val="ff0000"/>
              </w:rPr>
              <w:t xml:space="preserve">═════ </w:t>
            </w:r>
            <w:r>
              <w:rPr>
                <w:rFonts w:ascii="汉仪中黑简" w:eastAsia="汉仪中黑简" w:hint="eastAsia"/>
                <w:color w:val="ff0000"/>
              </w:rPr>
              <w:t xml:space="preserve"> 考点归纳  </w:t>
            </w:r>
            <w:r>
              <w:rPr>
                <w:rFonts w:ascii="微软雅黑" w:cs="微软雅黑" w:eastAsia="微软雅黑" w:hAnsi="微软雅黑" w:hint="eastAsia"/>
                <w:color w:val="ff0000"/>
              </w:rPr>
              <w:t>═════</w:t>
            </w:r>
          </w:p>
          <w:p w14:paraId="4D48131D">
            <w:pPr>
              <w:pStyle w:val="style0"/>
              <w:spacing w:before="31" w:beforeLines="10" w:after="62" w:afterLines="20" w:lineRule="exact" w:line="280"/>
              <w:ind w:firstLine="0" w:firstLineChars="0"/>
              <w:rPr>
                <w:rFonts w:ascii="汉仪书宋一简" w:eastAsia="汉仪书宋一简"/>
                <w:bCs/>
                <w:color w:val="000000"/>
                <w:kern w:val="0"/>
              </w:rPr>
            </w:pPr>
            <w:r>
              <w:rPr>
                <w:rFonts w:ascii="汉仪书宋一简" w:eastAsia="汉仪书宋一简" w:hint="eastAsia"/>
                <w:bCs/>
                <w:color w:val="000000"/>
                <w:kern w:val="0"/>
              </w:rPr>
              <w:t>欺骗</w:t>
            </w:r>
            <w:r>
              <w:rPr>
                <w:rFonts w:ascii="汉仪书宋一简" w:eastAsia="汉仪书宋一简" w:hint="eastAsia"/>
                <w:color w:val="000000"/>
              </w:rPr>
              <w:t>金融机构</w:t>
            </w:r>
            <w:r>
              <w:rPr>
                <w:rFonts w:ascii="汉仪书宋一简" w:eastAsia="汉仪书宋一简" w:hint="eastAsia"/>
                <w:bCs/>
                <w:color w:val="000000"/>
                <w:kern w:val="0"/>
              </w:rPr>
              <w:t>贷款行为：</w:t>
            </w:r>
          </w:p>
          <w:p w14:paraId="61121E78">
            <w:pPr>
              <w:pStyle w:val="style0"/>
              <w:spacing w:before="31" w:beforeLines="10" w:after="62" w:afterLines="20" w:lineRule="exact" w:line="280"/>
              <w:ind w:firstLine="0" w:firstLineChars="0"/>
              <w:rPr>
                <w:rFonts w:ascii="汉仪书宋一简" w:eastAsia="汉仪书宋一简"/>
                <w:bCs/>
                <w:color w:val="000000"/>
                <w:kern w:val="0"/>
              </w:rPr>
            </w:pPr>
            <w:r>
              <w:rPr>
                <w:rFonts w:ascii="汉仪书宋一简" w:eastAsia="汉仪书宋一简" w:hint="eastAsia"/>
                <w:bCs/>
                <w:color w:val="000000"/>
                <w:kern w:val="0"/>
              </w:rPr>
              <w:t>（1）</w:t>
            </w:r>
            <w:r>
              <w:rPr>
                <w:rFonts w:ascii="汉仪中黑简" w:eastAsia="汉仪中黑简" w:hint="eastAsia"/>
                <w:color w:val="ff0000"/>
              </w:rPr>
              <w:t>没有非法占有目的，但造成重大损失</w:t>
            </w:r>
            <w:r>
              <w:rPr>
                <w:rFonts w:ascii="汉仪书宋一简" w:eastAsia="汉仪书宋一简" w:hint="eastAsia"/>
                <w:bCs/>
                <w:color w:val="000000"/>
                <w:kern w:val="0"/>
              </w:rPr>
              <w:t>，定骗取贷款罪；</w:t>
            </w:r>
            <w:r>
              <w:rPr>
                <w:rFonts w:ascii="汉仪中黑简" w:eastAsia="汉仪中黑简" w:hint="eastAsia"/>
                <w:color w:val="ff0000"/>
              </w:rPr>
              <w:t>具有转贷牟利目的</w:t>
            </w:r>
            <w:r>
              <w:rPr>
                <w:rFonts w:ascii="汉仪书宋一简" w:eastAsia="汉仪书宋一简" w:hint="eastAsia"/>
                <w:bCs/>
                <w:color w:val="000000"/>
                <w:kern w:val="0"/>
              </w:rPr>
              <w:t>，定高利转贷罪。</w:t>
            </w:r>
          </w:p>
          <w:p w14:paraId="0F27C0C2">
            <w:pPr>
              <w:pStyle w:val="style0"/>
              <w:spacing w:before="31" w:beforeLines="10" w:after="62" w:afterLines="20" w:lineRule="exact" w:line="280"/>
              <w:ind w:firstLine="0" w:firstLineChars="0"/>
              <w:rPr>
                <w:rFonts w:ascii="汉仪书宋一简" w:eastAsia="汉仪书宋一简"/>
                <w:bCs/>
                <w:color w:val="000000"/>
                <w:kern w:val="0"/>
              </w:rPr>
            </w:pPr>
            <w:r>
              <w:rPr>
                <w:rFonts w:ascii="汉仪书宋一简" w:eastAsia="汉仪书宋一简" w:hint="eastAsia"/>
                <w:bCs/>
                <w:color w:val="000000"/>
                <w:kern w:val="0"/>
              </w:rPr>
              <w:t>（2）</w:t>
            </w:r>
            <w:r>
              <w:rPr>
                <w:rFonts w:ascii="汉仪中黑简" w:eastAsia="汉仪中黑简" w:hint="eastAsia"/>
                <w:color w:val="ff0000"/>
              </w:rPr>
              <w:t>具有非法占有目的</w:t>
            </w:r>
            <w:r>
              <w:rPr>
                <w:rFonts w:ascii="汉仪书宋一简" w:eastAsia="汉仪书宋一简" w:hint="eastAsia"/>
                <w:bCs/>
                <w:color w:val="000000"/>
                <w:kern w:val="0"/>
              </w:rPr>
              <w:t>，构成贷款诈骗罪；只能由自然人构成。</w:t>
            </w:r>
          </w:p>
        </w:tc>
      </w:tr>
      <w:bookmarkEnd w:id="3"/>
    </w:tbl>
    <w:p w14:paraId="29C00844">
      <w:pPr>
        <w:pStyle w:val="style0"/>
        <w:keepNext/>
        <w:keepLines/>
        <w:ind w:firstLine="0" w:firstLineChars="0"/>
        <w:jc w:val="left"/>
        <w:outlineLvl w:val="2"/>
        <w:rPr>
          <w:rFonts w:eastAsia="宋体"/>
          <w:b/>
          <w:bCs/>
          <w:color w:val="ff0000"/>
          <w:sz w:val="18"/>
          <w:szCs w:val="18"/>
        </w:rPr>
      </w:pPr>
      <w:r>
        <w:rPr>
          <w:rFonts w:eastAsia="宋体" w:hint="eastAsia"/>
          <w:b/>
          <w:bCs/>
          <w:color w:val="ff0000"/>
          <w:sz w:val="18"/>
          <w:szCs w:val="18"/>
        </w:rPr>
        <w:t>注意：非法占有目的是区分的关键</w:t>
      </w:r>
    </w:p>
    <w:p w14:paraId="4709DB2B">
      <w:pPr>
        <w:pStyle w:val="style0"/>
        <w:keepNext/>
        <w:keepLines/>
        <w:ind w:firstLine="0" w:firstLineChars="0"/>
        <w:jc w:val="left"/>
        <w:outlineLvl w:val="2"/>
        <w:rPr>
          <w:rFonts w:eastAsia="汉仪大宋简"/>
          <w:color w:val="000000"/>
        </w:rPr>
      </w:pPr>
      <w:r>
        <w:rPr>
          <w:rFonts w:eastAsia="汉仪大宋简" w:hint="eastAsia"/>
          <w:color w:val="000000"/>
        </w:rPr>
        <w:t>七、保险诈骗罪</w:t>
      </w:r>
    </w:p>
    <w:bookmarkStart w:id="4" w:name="_Hlk43096986"/>
    <w:p w14:paraId="6029CF85">
      <w:pPr>
        <w:pStyle w:val="style0"/>
        <w:snapToGrid w:val="false"/>
        <w:ind w:firstLine="420"/>
        <w:rPr>
          <w:rFonts w:ascii="仿宋" w:cs="Times New Roman" w:eastAsia="楷体" w:hAnsi="仿宋" w:hint="eastAsia"/>
          <w:color w:val="000000"/>
        </w:rPr>
      </w:pPr>
      <w:r>
        <w:rPr>
          <w:rFonts w:ascii="汉仪中黑简" w:eastAsia="汉仪中黑简" w:hint="eastAsia"/>
          <w:color w:val="ff0000"/>
        </w:rPr>
        <w:t>第198条</w:t>
      </w:r>
      <w:bookmarkEnd w:id="4"/>
    </w:p>
    <w:bookmarkStart w:id="5" w:name="_Hlk43097003"/>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162"/>
        <w:gridCol w:w="7343"/>
      </w:tblGrid>
      <w:tr w14:paraId="4B6A4F29">
        <w:trPr>
          <w:jc w:val="center"/>
        </w:trPr>
        <w:tc>
          <w:tcPr>
            <w:tcW w:w="1162" w:type="dxa"/>
            <w:tcBorders/>
            <w:shd w:val="clear" w:color="auto" w:fill="auto"/>
            <w:vAlign w:val="center"/>
          </w:tcPr>
          <w:p w14:paraId="3F0B056C">
            <w:pPr>
              <w:pStyle w:val="style0"/>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主体身份</w:t>
            </w:r>
          </w:p>
        </w:tc>
        <w:tc>
          <w:tcPr>
            <w:tcW w:w="7343" w:type="dxa"/>
            <w:tcBorders/>
            <w:shd w:val="clear" w:color="auto" w:fill="auto"/>
            <w:vAlign w:val="center"/>
          </w:tcPr>
          <w:p w14:paraId="24DBCD7D">
            <w:pPr>
              <w:pStyle w:val="style0"/>
              <w:autoSpaceDE w:val="false"/>
              <w:autoSpaceDN w:val="false"/>
              <w:adjustRightInd w:val="false"/>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（1）</w:t>
            </w:r>
            <w:r>
              <w:rPr>
                <w:rFonts w:ascii="汉仪中黑简" w:eastAsia="汉仪中黑简" w:hint="eastAsia"/>
                <w:color w:val="000000"/>
              </w:rPr>
              <w:t>身份犯</w:t>
            </w:r>
            <w:r>
              <w:rPr>
                <w:rFonts w:ascii="汉仪书宋一简" w:eastAsia="汉仪书宋一简" w:hint="eastAsia"/>
                <w:color w:val="000000"/>
                <w:kern w:val="0"/>
              </w:rPr>
              <w:t>：投保人、被保险人、受益人。自然人、单位均可构成。</w:t>
            </w:r>
          </w:p>
          <w:p w14:paraId="1F66F24E">
            <w:pPr>
              <w:pStyle w:val="style0"/>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（2）无身份者不能构成保险诈骗罪的正犯（间接正犯、直接正犯），只能构成共犯（帮助犯、教唆犯）。</w:t>
            </w:r>
          </w:p>
        </w:tc>
      </w:tr>
      <w:tr w14:paraId="79D8E44F">
        <w:tblPrEx/>
        <w:trPr>
          <w:jc w:val="center"/>
        </w:trPr>
        <w:tc>
          <w:tcPr>
            <w:tcW w:w="1162" w:type="dxa"/>
            <w:tcBorders/>
            <w:shd w:val="clear" w:color="auto" w:fill="auto"/>
            <w:vAlign w:val="center"/>
          </w:tcPr>
          <w:p w14:paraId="486BB3E8">
            <w:pPr>
              <w:pStyle w:val="style0"/>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着手实行</w:t>
            </w:r>
          </w:p>
        </w:tc>
        <w:tc>
          <w:tcPr>
            <w:tcW w:w="7343" w:type="dxa"/>
            <w:tcBorders/>
            <w:shd w:val="clear" w:color="auto" w:fill="auto"/>
            <w:vAlign w:val="center"/>
          </w:tcPr>
          <w:p w14:paraId="66E1A737">
            <w:pPr>
              <w:pStyle w:val="style0"/>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开始“骗人”，即申报理赔</w:t>
            </w:r>
          </w:p>
        </w:tc>
      </w:tr>
      <w:tr w14:paraId="3CF60436">
        <w:tblPrEx/>
        <w:trPr>
          <w:jc w:val="center"/>
        </w:trPr>
        <w:tc>
          <w:tcPr>
            <w:tcW w:w="1162" w:type="dxa"/>
            <w:tcBorders/>
            <w:shd w:val="clear" w:color="auto" w:fill="auto"/>
            <w:vAlign w:val="center"/>
          </w:tcPr>
          <w:p w14:paraId="10BBAA28">
            <w:pPr>
              <w:pStyle w:val="style0"/>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既遂</w:t>
            </w:r>
          </w:p>
        </w:tc>
        <w:tc>
          <w:tcPr>
            <w:tcW w:w="7343" w:type="dxa"/>
            <w:tcBorders/>
            <w:shd w:val="clear" w:color="auto" w:fill="auto"/>
            <w:vAlign w:val="center"/>
          </w:tcPr>
          <w:p w14:paraId="0A7B72F6">
            <w:pPr>
              <w:pStyle w:val="style0"/>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获得保险赔偿（与诈骗有因果关系）</w:t>
            </w:r>
          </w:p>
        </w:tc>
      </w:tr>
      <w:tr w14:paraId="2F3F0B2B">
        <w:tblPrEx/>
        <w:trPr>
          <w:jc w:val="center"/>
        </w:trPr>
        <w:tc>
          <w:tcPr>
            <w:tcW w:w="1162" w:type="dxa"/>
            <w:tcBorders/>
            <w:shd w:val="clear" w:color="auto" w:fill="auto"/>
            <w:vAlign w:val="center"/>
          </w:tcPr>
          <w:p w14:paraId="450C51FA">
            <w:pPr>
              <w:pStyle w:val="style0"/>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罪数</w:t>
            </w:r>
          </w:p>
        </w:tc>
        <w:tc>
          <w:tcPr>
            <w:tcW w:w="7343" w:type="dxa"/>
            <w:tcBorders/>
            <w:shd w:val="clear" w:color="auto" w:fill="auto"/>
            <w:vAlign w:val="center"/>
          </w:tcPr>
          <w:p w14:paraId="04B1ACCE">
            <w:pPr>
              <w:pStyle w:val="style0"/>
              <w:snapToGrid w:val="false"/>
              <w:spacing w:before="31" w:beforeLines="10" w:after="62" w:afterLines="20" w:lineRule="exact" w:line="280"/>
              <w:ind w:firstLine="0" w:firstLineChars="0"/>
              <w:rPr>
                <w:rFonts w:ascii="汉仪书宋一简" w:eastAsia="汉仪书宋一简"/>
                <w:color w:val="000000"/>
              </w:rPr>
            </w:pPr>
            <w:r>
              <w:rPr>
                <w:rFonts w:ascii="汉仪书宋一简" w:eastAsia="汉仪书宋一简" w:hint="eastAsia"/>
                <w:color w:val="000000"/>
                <w:kern w:val="0"/>
              </w:rPr>
              <w:t>故意造成保险事故，骗取保险金，如手段行为构成它罪，则数罪并罚</w:t>
            </w:r>
          </w:p>
        </w:tc>
      </w:tr>
      <w:tr w14:paraId="6D2DD883">
        <w:tblPrEx/>
        <w:trPr>
          <w:jc w:val="center"/>
        </w:trPr>
        <w:tc>
          <w:tcPr>
            <w:tcW w:w="1162" w:type="dxa"/>
            <w:tcBorders>
              <w:bottom w:val="single" w:sz="4" w:space="0" w:color="ff0000"/>
            </w:tcBorders>
            <w:shd w:val="clear" w:color="auto" w:fill="auto"/>
            <w:vAlign w:val="center"/>
          </w:tcPr>
          <w:p w14:paraId="209C2A2B">
            <w:pPr>
              <w:pStyle w:val="style0"/>
              <w:snapToGrid w:val="false"/>
              <w:spacing w:before="31" w:beforeLines="10" w:after="62" w:afterLines="20" w:lineRule="exact" w:line="280"/>
              <w:ind w:firstLine="0" w:firstLineChars="0"/>
              <w:rPr>
                <w:rFonts w:ascii="汉仪中黑简" w:eastAsia="汉仪中黑简"/>
                <w:color w:val="000000"/>
              </w:rPr>
            </w:pPr>
            <w:r>
              <w:rPr>
                <w:rFonts w:ascii="汉仪中黑简" w:eastAsia="汉仪中黑简" w:hint="eastAsia"/>
                <w:color w:val="000000"/>
              </w:rPr>
              <w:t>共犯</w:t>
            </w:r>
          </w:p>
        </w:tc>
        <w:tc>
          <w:tcPr>
            <w:tcW w:w="7343" w:type="dxa"/>
            <w:tcBorders>
              <w:bottom w:val="single" w:sz="4" w:space="0" w:color="ff0000"/>
            </w:tcBorders>
            <w:shd w:val="clear" w:color="auto" w:fill="auto"/>
            <w:vAlign w:val="center"/>
          </w:tcPr>
          <w:p w14:paraId="220A7A48">
            <w:pPr>
              <w:pStyle w:val="style0"/>
              <w:snapToGrid w:val="false"/>
              <w:spacing w:before="31" w:beforeLines="10" w:after="62" w:afterLines="20" w:lineRule="exact" w:line="280"/>
              <w:ind w:firstLine="0" w:firstLineChars="0"/>
              <w:rPr>
                <w:rFonts w:ascii="汉仪书宋一简" w:eastAsia="汉仪书宋一简"/>
                <w:color w:val="000000"/>
                <w:kern w:val="0"/>
              </w:rPr>
            </w:pPr>
            <w:r>
              <w:rPr>
                <w:rFonts w:ascii="汉仪书宋一简" w:eastAsia="汉仪书宋一简" w:hint="eastAsia"/>
                <w:color w:val="000000"/>
                <w:kern w:val="0"/>
              </w:rPr>
              <w:t>（1）保险事故的鉴定人、证明人、财产评估人</w:t>
            </w:r>
            <w:r>
              <w:rPr>
                <w:rFonts w:ascii="汉仪中黑简" w:eastAsia="汉仪中黑简" w:hint="eastAsia"/>
                <w:color w:val="ff0000"/>
              </w:rPr>
              <w:t>明知</w:t>
            </w:r>
            <w:r>
              <w:rPr>
                <w:rFonts w:ascii="汉仪书宋一简" w:eastAsia="汉仪书宋一简" w:hint="eastAsia"/>
                <w:color w:val="000000"/>
                <w:kern w:val="0"/>
              </w:rPr>
              <w:t>保险诈骗，而故意提供虚假的证明文件，为他人诈骗提供条件的，以保险诈骗罪的</w:t>
            </w:r>
            <w:r>
              <w:rPr>
                <w:rFonts w:ascii="汉仪中黑简" w:eastAsia="汉仪中黑简" w:hint="eastAsia"/>
                <w:color w:val="ff0000"/>
              </w:rPr>
              <w:t>共犯</w:t>
            </w:r>
            <w:r>
              <w:rPr>
                <w:rFonts w:ascii="汉仪书宋一简" w:eastAsia="汉仪书宋一简" w:hint="eastAsia"/>
                <w:color w:val="000000"/>
                <w:kern w:val="0"/>
              </w:rPr>
              <w:t>论处。</w:t>
            </w:r>
          </w:p>
          <w:p w14:paraId="0701DAA6">
            <w:pPr>
              <w:pStyle w:val="style0"/>
              <w:snapToGrid w:val="false"/>
              <w:spacing w:before="31" w:beforeLines="10" w:after="62" w:afterLines="20" w:lineRule="exact" w:line="280"/>
              <w:ind w:firstLine="0" w:firstLineChars="0"/>
              <w:rPr>
                <w:rFonts w:ascii="汉仪书宋一简" w:eastAsia="汉仪书宋一简"/>
                <w:color w:val="000000"/>
              </w:rPr>
            </w:pPr>
            <w:r>
              <w:rPr>
                <w:rFonts w:ascii="汉仪书宋一简" w:eastAsia="汉仪书宋一简" w:hint="eastAsia"/>
                <w:color w:val="000000"/>
                <w:kern w:val="0"/>
              </w:rPr>
              <w:t>（2）如</w:t>
            </w:r>
            <w:r>
              <w:rPr>
                <w:rFonts w:ascii="汉仪中黑简" w:eastAsia="汉仪中黑简" w:hint="eastAsia"/>
                <w:color w:val="ff0000"/>
              </w:rPr>
              <w:t>不明知</w:t>
            </w:r>
            <w:r>
              <w:rPr>
                <w:rFonts w:ascii="汉仪书宋一简" w:eastAsia="汉仪书宋一简" w:hint="eastAsia"/>
                <w:color w:val="000000"/>
                <w:kern w:val="0"/>
              </w:rPr>
              <w:t>诈骗而明知假证，可涉嫌</w:t>
            </w:r>
            <w:r>
              <w:rPr>
                <w:rFonts w:ascii="汉仪中黑简" w:eastAsia="汉仪中黑简" w:hint="eastAsia"/>
                <w:color w:val="ff0000"/>
              </w:rPr>
              <w:t>提供虚假证明文件罪</w:t>
            </w:r>
            <w:r>
              <w:rPr>
                <w:rFonts w:ascii="汉仪书宋一简" w:eastAsia="汉仪书宋一简" w:hint="eastAsia"/>
                <w:color w:val="000000"/>
                <w:kern w:val="0"/>
              </w:rPr>
              <w:t>。</w:t>
            </w:r>
          </w:p>
        </w:tc>
      </w:tr>
      <w:tr w14:paraId="56F4AB32">
        <w:tblPrEx/>
        <w:trPr>
          <w:jc w:val="center"/>
        </w:trPr>
        <w:tc>
          <w:tcPr>
            <w:tcW w:w="8505" w:type="dxa"/>
            <w:gridSpan w:val="2"/>
            <w:tcBorders/>
            <w:shd w:val="clear" w:color="auto" w:fill="ffe5e5"/>
            <w:vAlign w:val="center"/>
          </w:tcPr>
          <w:p w14:paraId="12D7FB00">
            <w:pPr>
              <w:pStyle w:val="style0"/>
              <w:snapToGrid w:val="false"/>
              <w:spacing w:before="31" w:beforeLines="10" w:after="62" w:afterLines="20" w:lineRule="exact" w:line="280"/>
              <w:ind w:firstLine="0" w:firstLineChars="0"/>
              <w:jc w:val="center"/>
              <w:rPr>
                <w:rFonts w:ascii="汉仪中黑简" w:eastAsia="汉仪中黑简"/>
                <w:color w:val="ff0000"/>
              </w:rPr>
            </w:pPr>
            <w:r>
              <w:rPr>
                <w:rFonts w:ascii="微软雅黑" w:cs="微软雅黑" w:eastAsia="微软雅黑" w:hAnsi="微软雅黑" w:hint="eastAsia"/>
                <w:color w:val="ff0000"/>
              </w:rPr>
              <w:t xml:space="preserve">═════ </w:t>
            </w:r>
            <w:r>
              <w:rPr>
                <w:rFonts w:ascii="汉仪中黑简" w:eastAsia="汉仪中黑简" w:hint="eastAsia"/>
                <w:color w:val="ff0000"/>
              </w:rPr>
              <w:t xml:space="preserve"> 考点归纳  </w:t>
            </w:r>
            <w:r>
              <w:rPr>
                <w:rFonts w:ascii="微软雅黑" w:cs="微软雅黑" w:eastAsia="微软雅黑" w:hAnsi="微软雅黑" w:hint="eastAsia"/>
                <w:color w:val="ff0000"/>
              </w:rPr>
              <w:t>═════</w:t>
            </w:r>
          </w:p>
          <w:p w14:paraId="02C4E793">
            <w:pPr>
              <w:pStyle w:val="style0"/>
              <w:snapToGrid w:val="false"/>
              <w:spacing w:before="31" w:beforeLines="10" w:after="62" w:afterLines="20" w:lineRule="exact" w:line="280"/>
              <w:ind w:firstLine="0" w:firstLineChars="0"/>
              <w:rPr>
                <w:rFonts w:ascii="汉仪书宋一简" w:eastAsia="汉仪书宋一简"/>
                <w:color w:val="000000"/>
                <w:kern w:val="0"/>
              </w:rPr>
            </w:pPr>
            <w:r>
              <w:rPr>
                <w:rFonts w:ascii="汉仪中黑简" w:eastAsia="汉仪中黑简" w:hint="eastAsia"/>
                <w:color w:val="000000"/>
              </w:rPr>
              <w:t>保险诈骗罪是身份犯（投保人、被保险人、受益人）；数罪并罚要注意</w:t>
            </w:r>
            <w:r>
              <w:rPr>
                <w:rFonts w:ascii="汉仪中黑简" w:eastAsia="汉仪中黑简" w:hint="eastAsia"/>
                <w:color w:val="000000"/>
              </w:rPr>
              <w:t>（注意与故意杀人罪）</w:t>
            </w:r>
            <w:r>
              <w:rPr>
                <w:rFonts w:ascii="汉仪中黑简" w:eastAsia="汉仪中黑简" w:hint="eastAsia"/>
                <w:color w:val="000000"/>
              </w:rPr>
              <w:t>。</w:t>
            </w:r>
          </w:p>
        </w:tc>
      </w:tr>
      <w:bookmarkEnd w:id="5"/>
    </w:tbl>
    <w:p w14:paraId="0358913C">
      <w:pPr>
        <w:pStyle w:val="style0"/>
        <w:ind w:firstLine="0" w:firstLineChars="0"/>
        <w:rPr>
          <w:rFonts w:ascii="汉仪书宋二简" w:cs="汉仪书宋二简" w:hAnsi="汉仪书宋二简"/>
          <w:color w:val="000000"/>
          <w:kern w:val="0"/>
        </w:rPr>
      </w:pPr>
    </w:p>
    <w:p w14:paraId="5F3AC94B">
      <w:pPr>
        <w:pStyle w:val="style1"/>
        <w:spacing w:before="0" w:lineRule="exact" w:line="400"/>
        <w:rPr>
          <w:b/>
          <w:bCs w:val="false"/>
          <w:color w:val="auto"/>
          <w:sz w:val="21"/>
          <w:szCs w:val="21"/>
        </w:rPr>
      </w:pPr>
    </w:p>
    <w:p w14:paraId="3EFCFA07">
      <w:pPr>
        <w:pStyle w:val="style1"/>
        <w:spacing w:before="0" w:lineRule="exact" w:line="400"/>
        <w:rPr>
          <w:rFonts w:ascii="Calibri" w:cs="Times New Roman" w:eastAsia="宋体" w:hAnsi="Calibri"/>
          <w:b/>
          <w:bCs w:val="false"/>
          <w:color w:val="auto"/>
          <w:sz w:val="21"/>
          <w:szCs w:val="21"/>
        </w:rPr>
      </w:pPr>
      <w:r>
        <w:rPr>
          <w:rFonts w:hint="eastAsia"/>
          <w:b/>
          <w:bCs w:val="false"/>
          <w:color w:val="auto"/>
          <w:sz w:val="21"/>
          <w:szCs w:val="21"/>
        </w:rPr>
        <w:t>考点23  危害税收征管罪</w:t>
      </w:r>
    </w:p>
    <w:p w14:paraId="0A10BA69">
      <w:pPr>
        <w:pStyle w:val="style0"/>
        <w:snapToGrid w:val="false"/>
        <w:spacing w:lineRule="exact" w:line="400"/>
        <w:ind w:firstLine="0" w:firstLineChars="0"/>
        <w:rPr>
          <w:rFonts w:ascii="Calibri" w:cs="Times New Roman" w:eastAsia="宋体" w:hAnsi="Calibri"/>
          <w:b/>
          <w:color w:val="ff000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21"/>
        <w:gridCol w:w="5694"/>
        <w:gridCol w:w="890"/>
      </w:tblGrid>
      <w:tr w14:paraId="31A0D6DE">
        <w:trPr>
          <w:cantSplit/>
          <w:jc w:val="center"/>
        </w:trPr>
        <w:tc>
          <w:tcPr>
            <w:tcW w:w="8296" w:type="dxa"/>
            <w:gridSpan w:val="3"/>
            <w:tcBorders/>
            <w:vAlign w:val="center"/>
          </w:tcPr>
          <w:p w14:paraId="3ECBF5C8">
            <w:pPr>
              <w:pStyle w:val="style0"/>
              <w:adjustRightInd w:val="false"/>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第六节  危害税收征管罪(14)</w:t>
            </w:r>
          </w:p>
        </w:tc>
      </w:tr>
      <w:tr w14:paraId="1B5F04FE">
        <w:tblPrEx/>
        <w:trPr>
          <w:cantSplit/>
          <w:jc w:val="center"/>
        </w:trPr>
        <w:tc>
          <w:tcPr>
            <w:tcW w:w="1874" w:type="dxa"/>
            <w:tcBorders/>
            <w:vAlign w:val="center"/>
          </w:tcPr>
          <w:p w14:paraId="025FDAF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第201条</w:t>
            </w:r>
          </w:p>
        </w:tc>
        <w:tc>
          <w:tcPr>
            <w:tcW w:w="5554" w:type="dxa"/>
            <w:tcBorders/>
            <w:vAlign w:val="center"/>
          </w:tcPr>
          <w:p w14:paraId="3260FBAB">
            <w:pPr>
              <w:pStyle w:val="style0"/>
              <w:adjustRightInd w:val="false"/>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color w:val="ff0000"/>
              </w:rPr>
              <w:t>逃税罪(7)</w:t>
            </w:r>
          </w:p>
        </w:tc>
        <w:tc>
          <w:tcPr>
            <w:tcW w:w="868" w:type="dxa"/>
            <w:tcBorders/>
            <w:vAlign w:val="center"/>
          </w:tcPr>
          <w:p w14:paraId="4DA3AE35">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7A009A7A">
        <w:tblPrEx/>
        <w:trPr>
          <w:cantSplit/>
          <w:jc w:val="center"/>
        </w:trPr>
        <w:tc>
          <w:tcPr>
            <w:tcW w:w="1874" w:type="dxa"/>
            <w:tcBorders/>
            <w:vAlign w:val="center"/>
          </w:tcPr>
          <w:p w14:paraId="274F40AB">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第202条</w:t>
            </w:r>
          </w:p>
        </w:tc>
        <w:tc>
          <w:tcPr>
            <w:tcW w:w="5554" w:type="dxa"/>
            <w:tcBorders/>
            <w:vAlign w:val="center"/>
          </w:tcPr>
          <w:p w14:paraId="2670A309">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抗税罪</w:t>
            </w:r>
          </w:p>
        </w:tc>
        <w:tc>
          <w:tcPr>
            <w:tcW w:w="868" w:type="dxa"/>
            <w:tcBorders/>
            <w:vAlign w:val="center"/>
          </w:tcPr>
          <w:p w14:paraId="4A2B4B9D">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轻伤</w:t>
            </w:r>
          </w:p>
        </w:tc>
      </w:tr>
      <w:tr w14:paraId="667A35C9">
        <w:tblPrEx/>
        <w:trPr>
          <w:cantSplit/>
          <w:jc w:val="center"/>
        </w:trPr>
        <w:tc>
          <w:tcPr>
            <w:tcW w:w="1874" w:type="dxa"/>
            <w:tcBorders/>
            <w:vAlign w:val="center"/>
          </w:tcPr>
          <w:p w14:paraId="04332F5D">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第203条</w:t>
            </w:r>
          </w:p>
        </w:tc>
        <w:tc>
          <w:tcPr>
            <w:tcW w:w="5554" w:type="dxa"/>
            <w:tcBorders/>
            <w:vAlign w:val="center"/>
          </w:tcPr>
          <w:p w14:paraId="3AACABC6">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逃避追缴欠税罪</w:t>
            </w:r>
          </w:p>
        </w:tc>
        <w:tc>
          <w:tcPr>
            <w:tcW w:w="868" w:type="dxa"/>
            <w:tcBorders/>
            <w:vAlign w:val="center"/>
          </w:tcPr>
          <w:p w14:paraId="0D468C1F">
            <w:pPr>
              <w:pStyle w:val="style0"/>
              <w:adjustRightInd w:val="false"/>
              <w:snapToGrid w:val="false"/>
              <w:spacing w:before="31" w:beforeLines="10" w:after="62" w:afterLines="20" w:lineRule="exact" w:line="400"/>
              <w:ind w:firstLine="0" w:firstLineChars="0"/>
              <w:rPr>
                <w:rFonts w:ascii="汉仪书宋一简" w:eastAsia="汉仪书宋一简" w:hint="eastAsia"/>
              </w:rPr>
            </w:pPr>
          </w:p>
        </w:tc>
      </w:tr>
      <w:tr w14:paraId="00400F0A">
        <w:tblPrEx/>
        <w:trPr>
          <w:cantSplit/>
          <w:jc w:val="center"/>
        </w:trPr>
        <w:tc>
          <w:tcPr>
            <w:tcW w:w="1874" w:type="dxa"/>
            <w:tcBorders/>
            <w:vAlign w:val="center"/>
          </w:tcPr>
          <w:p w14:paraId="796E4685">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第204条第1款</w:t>
            </w:r>
          </w:p>
          <w:bookmarkStart w:id="6" w:name="_Hlk187842820"/>
        </w:tc>
        <w:tc>
          <w:tcPr>
            <w:tcW w:w="5554" w:type="dxa"/>
            <w:tcBorders/>
            <w:vAlign w:val="center"/>
          </w:tcPr>
          <w:p w14:paraId="169448B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骗取出口退税罪</w:t>
            </w:r>
            <w:bookmarkEnd w:id="6"/>
          </w:p>
        </w:tc>
        <w:tc>
          <w:tcPr>
            <w:tcW w:w="868" w:type="dxa"/>
            <w:tcBorders/>
            <w:vAlign w:val="center"/>
          </w:tcPr>
          <w:p w14:paraId="51B74E34">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55BD2288">
        <w:tblPrEx/>
        <w:trPr>
          <w:cantSplit/>
          <w:jc w:val="center"/>
        </w:trPr>
        <w:tc>
          <w:tcPr>
            <w:tcW w:w="1874" w:type="dxa"/>
            <w:tcBorders/>
            <w:vAlign w:val="center"/>
          </w:tcPr>
          <w:p w14:paraId="348DA68F">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第205条</w:t>
            </w:r>
          </w:p>
        </w:tc>
        <w:tc>
          <w:tcPr>
            <w:tcW w:w="5554" w:type="dxa"/>
            <w:tcBorders/>
            <w:vAlign w:val="center"/>
          </w:tcPr>
          <w:p w14:paraId="393B9112">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虚开增值税专用发票、用于骗取出口退税、抵押税款发票罪</w:t>
            </w:r>
          </w:p>
        </w:tc>
        <w:tc>
          <w:tcPr>
            <w:tcW w:w="868" w:type="dxa"/>
            <w:tcBorders/>
            <w:vAlign w:val="center"/>
          </w:tcPr>
          <w:p w14:paraId="3D392E97">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78E1AD46">
        <w:tblPrEx/>
        <w:trPr>
          <w:cantSplit/>
          <w:jc w:val="center"/>
        </w:trPr>
        <w:tc>
          <w:tcPr>
            <w:tcW w:w="1874" w:type="dxa"/>
            <w:tcBorders/>
            <w:vAlign w:val="center"/>
          </w:tcPr>
          <w:p w14:paraId="53E2A6C7">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第205条之一</w:t>
            </w:r>
          </w:p>
        </w:tc>
        <w:tc>
          <w:tcPr>
            <w:tcW w:w="5554" w:type="dxa"/>
            <w:tcBorders/>
            <w:vAlign w:val="center"/>
          </w:tcPr>
          <w:p w14:paraId="3925054C">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中黑简" w:eastAsia="汉仪中黑简" w:hint="eastAsia"/>
                <w:color w:val="ff0000"/>
              </w:rPr>
              <w:t>虚开发票罪(8)</w:t>
            </w:r>
          </w:p>
        </w:tc>
        <w:tc>
          <w:tcPr>
            <w:tcW w:w="868" w:type="dxa"/>
            <w:tcBorders/>
            <w:vAlign w:val="center"/>
          </w:tcPr>
          <w:p w14:paraId="5C4908C1">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50万</w:t>
            </w:r>
          </w:p>
        </w:tc>
      </w:tr>
      <w:tr w14:paraId="68AF5678">
        <w:tblPrEx/>
        <w:trPr>
          <w:cantSplit/>
          <w:jc w:val="center"/>
        </w:trPr>
        <w:tc>
          <w:tcPr>
            <w:tcW w:w="1874" w:type="dxa"/>
            <w:tcBorders/>
            <w:vAlign w:val="center"/>
          </w:tcPr>
          <w:p w14:paraId="04C15C7B">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第206条</w:t>
            </w:r>
          </w:p>
        </w:tc>
        <w:tc>
          <w:tcPr>
            <w:tcW w:w="5554" w:type="dxa"/>
            <w:tcBorders/>
            <w:vAlign w:val="center"/>
          </w:tcPr>
          <w:p w14:paraId="09058C84">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伪造、出售伪造的增值税专用发票罪</w:t>
            </w:r>
          </w:p>
        </w:tc>
        <w:tc>
          <w:tcPr>
            <w:tcW w:w="868" w:type="dxa"/>
            <w:tcBorders/>
            <w:vAlign w:val="center"/>
          </w:tcPr>
          <w:p w14:paraId="34EC4F6A">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0463B6DB">
        <w:tblPrEx/>
        <w:trPr>
          <w:cantSplit/>
          <w:jc w:val="center"/>
        </w:trPr>
        <w:tc>
          <w:tcPr>
            <w:tcW w:w="1874" w:type="dxa"/>
            <w:tcBorders/>
            <w:vAlign w:val="center"/>
          </w:tcPr>
          <w:p w14:paraId="299525F1">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第207条</w:t>
            </w:r>
          </w:p>
        </w:tc>
        <w:tc>
          <w:tcPr>
            <w:tcW w:w="5554" w:type="dxa"/>
            <w:tcBorders/>
            <w:vAlign w:val="center"/>
          </w:tcPr>
          <w:p w14:paraId="59DD5B0D">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非法出售增值税专用发票罪</w:t>
            </w:r>
          </w:p>
        </w:tc>
        <w:tc>
          <w:tcPr>
            <w:tcW w:w="868" w:type="dxa"/>
            <w:tcBorders/>
            <w:vAlign w:val="center"/>
          </w:tcPr>
          <w:p w14:paraId="1BFAED06">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2EC9EA05">
        <w:tblPrEx/>
        <w:trPr>
          <w:cantSplit/>
          <w:jc w:val="center"/>
        </w:trPr>
        <w:tc>
          <w:tcPr>
            <w:tcW w:w="1874" w:type="dxa"/>
            <w:tcBorders/>
            <w:vAlign w:val="center"/>
          </w:tcPr>
          <w:p w14:paraId="006AA177">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第208条第1款</w:t>
            </w:r>
          </w:p>
        </w:tc>
        <w:tc>
          <w:tcPr>
            <w:tcW w:w="5554" w:type="dxa"/>
            <w:tcBorders/>
            <w:vAlign w:val="center"/>
          </w:tcPr>
          <w:p w14:paraId="15C104A9">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非法购买增值税专用发票、购买伪造的增值税专用发票罪</w:t>
            </w:r>
          </w:p>
        </w:tc>
        <w:tc>
          <w:tcPr>
            <w:tcW w:w="868" w:type="dxa"/>
            <w:tcBorders/>
            <w:vAlign w:val="center"/>
          </w:tcPr>
          <w:p w14:paraId="28DC843D">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20万</w:t>
            </w:r>
          </w:p>
        </w:tc>
      </w:tr>
      <w:tr w14:paraId="11A747DE">
        <w:tblPrEx/>
        <w:trPr>
          <w:cantSplit/>
          <w:jc w:val="center"/>
        </w:trPr>
        <w:tc>
          <w:tcPr>
            <w:tcW w:w="1874" w:type="dxa"/>
            <w:tcBorders/>
            <w:vAlign w:val="center"/>
          </w:tcPr>
          <w:p w14:paraId="13239973">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第209条第1款</w:t>
            </w:r>
          </w:p>
        </w:tc>
        <w:tc>
          <w:tcPr>
            <w:tcW w:w="5554" w:type="dxa"/>
            <w:tcBorders/>
            <w:vAlign w:val="center"/>
          </w:tcPr>
          <w:p w14:paraId="57C28184">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非法制造、出售非法制造的用于骗取出口退税、抵押税款发票罪</w:t>
            </w:r>
          </w:p>
        </w:tc>
        <w:tc>
          <w:tcPr>
            <w:tcW w:w="868" w:type="dxa"/>
            <w:tcBorders/>
            <w:vAlign w:val="center"/>
          </w:tcPr>
          <w:p w14:paraId="5BEF9801">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3B45F146">
        <w:tblPrEx/>
        <w:trPr>
          <w:cantSplit/>
          <w:jc w:val="center"/>
        </w:trPr>
        <w:tc>
          <w:tcPr>
            <w:tcW w:w="1874" w:type="dxa"/>
            <w:tcBorders/>
            <w:vAlign w:val="center"/>
          </w:tcPr>
          <w:p w14:paraId="597CB988">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第2款</w:t>
            </w:r>
          </w:p>
        </w:tc>
        <w:tc>
          <w:tcPr>
            <w:tcW w:w="5554" w:type="dxa"/>
            <w:tcBorders/>
            <w:vAlign w:val="center"/>
          </w:tcPr>
          <w:p w14:paraId="20E684DA">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非法制造、出售非法制造的发票罪</w:t>
            </w:r>
          </w:p>
        </w:tc>
        <w:tc>
          <w:tcPr>
            <w:tcW w:w="868" w:type="dxa"/>
            <w:tcBorders/>
            <w:vAlign w:val="center"/>
          </w:tcPr>
          <w:p w14:paraId="46836EF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50万</w:t>
            </w:r>
          </w:p>
        </w:tc>
      </w:tr>
      <w:tr w14:paraId="598C98DF">
        <w:tblPrEx/>
        <w:trPr>
          <w:cantSplit/>
          <w:jc w:val="center"/>
        </w:trPr>
        <w:tc>
          <w:tcPr>
            <w:tcW w:w="1874" w:type="dxa"/>
            <w:tcBorders/>
            <w:vAlign w:val="center"/>
          </w:tcPr>
          <w:p w14:paraId="0545CC98">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第3款</w:t>
            </w:r>
          </w:p>
        </w:tc>
        <w:tc>
          <w:tcPr>
            <w:tcW w:w="5554" w:type="dxa"/>
            <w:tcBorders/>
            <w:vAlign w:val="center"/>
          </w:tcPr>
          <w:p w14:paraId="61C6A59A">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非法出售用于骗取出口退税、抵扣税款发票罪</w:t>
            </w:r>
          </w:p>
        </w:tc>
        <w:tc>
          <w:tcPr>
            <w:tcW w:w="868" w:type="dxa"/>
            <w:tcBorders/>
            <w:vAlign w:val="center"/>
          </w:tcPr>
          <w:p w14:paraId="1CCC029A">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10万</w:t>
            </w:r>
          </w:p>
        </w:tc>
      </w:tr>
      <w:tr w14:paraId="6243D55E">
        <w:tblPrEx/>
        <w:trPr>
          <w:cantSplit/>
          <w:jc w:val="center"/>
        </w:trPr>
        <w:tc>
          <w:tcPr>
            <w:tcW w:w="1874" w:type="dxa"/>
            <w:tcBorders/>
            <w:vAlign w:val="center"/>
          </w:tcPr>
          <w:p w14:paraId="01D1956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第4款</w:t>
            </w:r>
          </w:p>
        </w:tc>
        <w:tc>
          <w:tcPr>
            <w:tcW w:w="5554" w:type="dxa"/>
            <w:tcBorders/>
            <w:vAlign w:val="center"/>
          </w:tcPr>
          <w:p w14:paraId="605E5E72">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非法出售发票罪</w:t>
            </w:r>
          </w:p>
        </w:tc>
        <w:tc>
          <w:tcPr>
            <w:tcW w:w="868" w:type="dxa"/>
            <w:tcBorders/>
            <w:vAlign w:val="center"/>
          </w:tcPr>
          <w:p w14:paraId="1F5A322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50万</w:t>
            </w:r>
          </w:p>
        </w:tc>
      </w:tr>
      <w:tr w14:paraId="1B9E865A">
        <w:tblPrEx/>
        <w:trPr>
          <w:cantSplit/>
          <w:jc w:val="center"/>
        </w:trPr>
        <w:tc>
          <w:tcPr>
            <w:tcW w:w="1874" w:type="dxa"/>
            <w:tcBorders/>
            <w:vAlign w:val="center"/>
          </w:tcPr>
          <w:p w14:paraId="5F5D5C00">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第210条之一</w:t>
            </w:r>
          </w:p>
        </w:tc>
        <w:tc>
          <w:tcPr>
            <w:tcW w:w="5554" w:type="dxa"/>
            <w:tcBorders/>
            <w:vAlign w:val="center"/>
          </w:tcPr>
          <w:p w14:paraId="1B9F5893">
            <w:pPr>
              <w:pStyle w:val="style0"/>
              <w:adjustRightInd w:val="false"/>
              <w:snapToGrid w:val="false"/>
              <w:spacing w:before="31" w:beforeLines="10" w:after="62" w:afterLines="20" w:lineRule="exact" w:line="400"/>
              <w:ind w:firstLine="0" w:firstLineChars="0"/>
              <w:rPr>
                <w:rFonts w:ascii="汉仪书宋一简" w:eastAsia="汉仪书宋一简" w:hint="eastAsia"/>
                <w:u w:val="thick"/>
              </w:rPr>
            </w:pPr>
            <w:r>
              <w:rPr>
                <w:rFonts w:ascii="汉仪中黑简" w:eastAsia="汉仪中黑简" w:hint="eastAsia"/>
                <w:color w:val="ff0000"/>
              </w:rPr>
              <w:t>持有伪造的发票罪(8)</w:t>
            </w:r>
          </w:p>
        </w:tc>
        <w:tc>
          <w:tcPr>
            <w:tcW w:w="868" w:type="dxa"/>
            <w:tcBorders/>
            <w:vAlign w:val="center"/>
          </w:tcPr>
          <w:p w14:paraId="4B15BA72">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50万</w:t>
            </w:r>
          </w:p>
        </w:tc>
      </w:tr>
    </w:tbl>
    <w:p w14:paraId="2B94E37E">
      <w:pPr>
        <w:pStyle w:val="style0"/>
        <w:spacing w:lineRule="exact" w:line="400"/>
        <w:ind w:firstLine="420"/>
        <w:rPr>
          <w:rFonts w:ascii="汉仪书宋二简" w:cs="汉仪书宋二简" w:hAnsi="汉仪书宋二简" w:hint="eastAsia"/>
          <w:kern w:val="0"/>
        </w:rPr>
      </w:pPr>
    </w:p>
    <w:p w14:paraId="09E8267A">
      <w:pPr>
        <w:pStyle w:val="style3"/>
        <w:spacing w:lineRule="exact" w:line="400"/>
        <w:rPr>
          <w:rFonts w:hint="eastAsia"/>
          <w:sz w:val="21"/>
        </w:rPr>
      </w:pPr>
      <w:r>
        <w:rPr>
          <w:rFonts w:hint="eastAsia"/>
          <w:sz w:val="21"/>
        </w:rPr>
        <w:t>一、逃税罪</w:t>
      </w:r>
    </w:p>
    <w:p w14:paraId="2A18D7A9">
      <w:pPr>
        <w:pStyle w:val="style0"/>
        <w:spacing w:lineRule="exact" w:line="400"/>
        <w:ind w:firstLine="420"/>
        <w:rPr>
          <w:rFonts w:ascii="楷体" w:cs="Times New Roman" w:eastAsia="楷体" w:hAnsi="楷体" w:hint="eastAsia"/>
        </w:rPr>
      </w:pPr>
      <w:r>
        <w:rPr>
          <w:rFonts w:ascii="汉仪中黑简" w:cs="Times New Roman" w:eastAsia="汉仪中黑简" w:hAnsi="楷体" w:hint="eastAsia"/>
          <w:color w:val="ff0000"/>
        </w:rPr>
        <w:t>第201条</w:t>
      </w:r>
    </w:p>
    <w:p w14:paraId="161630D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1．主体身份</w:t>
      </w:r>
    </w:p>
    <w:p w14:paraId="6C5D1FD1">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两种：</w:t>
      </w:r>
      <w:r>
        <w:rPr>
          <w:rFonts w:ascii="汉仪书宋二简" w:cs="汉仪书宋二简" w:hAnsi="汉仪书宋二简" w:hint="eastAsia"/>
          <w:b/>
          <w:bCs/>
          <w:kern w:val="0"/>
        </w:rPr>
        <w:t>纳税人和扣缴义务人</w:t>
      </w:r>
      <w:r>
        <w:rPr>
          <w:rFonts w:ascii="汉仪书宋二简" w:cs="汉仪书宋二简" w:hAnsi="汉仪书宋二简" w:hint="eastAsia"/>
          <w:kern w:val="0"/>
        </w:rPr>
        <w:t>。</w:t>
      </w:r>
    </w:p>
    <w:p w14:paraId="4B9A821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（1）纳税人是指法律、行政法规规定的负有纳税义务的单位或者个人，扣缴义务人是指法律、行政法规规定的负有代扣代缴、代收代缴税款义务的单位或者个人。</w:t>
      </w:r>
    </w:p>
    <w:p w14:paraId="017DC59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（2）没有该两种身份的人，可构成逃税罪的共犯（教唆犯、帮助犯）。</w:t>
      </w:r>
    </w:p>
    <w:p w14:paraId="5111D06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税务机关的工作人员利用职权帮助纳税人、扣缴义务人逃税的，触犯徇私舞弊不征、少征税款罪；如与纳税人、扣缴义务人相互勾结共同实施逃税行为的，还成立逃税罪的共犯，属于想象竞合犯，从一重罪论处。</w:t>
      </w:r>
    </w:p>
    <w:p w14:paraId="3375C3A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2．逃税行为：三种手段行为、一种目的行为。</w:t>
      </w:r>
    </w:p>
    <w:p w14:paraId="47DF0195">
      <w:pPr>
        <w:pStyle w:val="style0"/>
        <w:spacing w:lineRule="exact" w:line="400"/>
        <w:ind w:firstLine="422"/>
        <w:rPr>
          <w:rFonts w:ascii="汉仪书宋二简" w:cs="汉仪书宋二简" w:hAnsi="汉仪书宋二简" w:hint="eastAsia"/>
          <w:b/>
          <w:bCs/>
          <w:kern w:val="0"/>
        </w:rPr>
      </w:pPr>
      <w:r>
        <w:rPr>
          <w:rFonts w:ascii="汉仪书宋二简" w:cs="汉仪书宋二简" w:hAnsi="汉仪书宋二简" w:hint="eastAsia"/>
          <w:b/>
          <w:bCs/>
          <w:kern w:val="0"/>
        </w:rPr>
        <w:t>逃税罪行为：违反税收法律规定，虚假申报或者不申报。</w:t>
      </w:r>
    </w:p>
    <w:p w14:paraId="514C81E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（1）三种手段行为：虚假申报（作为）、不申报（不作为）；缴纳之后又骗回。</w:t>
      </w:r>
    </w:p>
    <w:p w14:paraId="7F204D6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（2）目的行为：逃避缴纳，即不缴、少缴税款（不作为）。</w:t>
      </w:r>
    </w:p>
    <w:p w14:paraId="1546B4D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3．罪过形式：故意。过失漏税，不构成逃税罪。</w:t>
      </w:r>
    </w:p>
    <w:p w14:paraId="5493C9E9">
      <w:pPr>
        <w:pStyle w:val="style0"/>
        <w:spacing w:lineRule="exact" w:line="400"/>
        <w:ind w:firstLine="420"/>
        <w:rPr>
          <w:rFonts w:ascii="汉仪中黑简" w:cs="汉仪书宋二简" w:eastAsia="汉仪中黑简" w:hAnsi="汉仪书宋二简" w:hint="eastAsia"/>
          <w:color w:val="ff0000"/>
          <w:kern w:val="0"/>
        </w:rPr>
      </w:pPr>
      <w:r>
        <w:rPr>
          <w:rFonts w:ascii="汉仪中黑简" w:cs="汉仪书宋二简" w:eastAsia="汉仪中黑简" w:hAnsi="汉仪书宋二简" w:hint="eastAsia"/>
          <w:color w:val="ff0000"/>
          <w:kern w:val="0"/>
        </w:rPr>
        <w:t>4．责任阻却事由。</w:t>
      </w:r>
      <w:r>
        <w:rPr>
          <w:rFonts w:ascii="汉仪书宋二简" w:cs="汉仪书宋二简" w:hAnsi="汉仪书宋二简" w:hint="eastAsia"/>
          <w:kern w:val="0"/>
        </w:rPr>
        <w:t>（1）纳税人有逃税行为，在公安机关立案前，经税务机关依法下达追缴通知后，补缴应纳税款，缴纳滞纳金，已受行政处罚的不予追究刑事责任；但是，五年内因逃避缴纳税款受过刑事处罚或者被税务机关给予二次以上行政处罚的除外；（2）税务机关没有依法下达追缴通知的，不予追究刑事责任；（3）</w:t>
      </w:r>
      <w:r>
        <w:rPr>
          <w:rFonts w:ascii="汉仪中黑简" w:cs="汉仪书宋二简" w:eastAsia="汉仪中黑简" w:hAnsi="汉仪书宋二简" w:hint="eastAsia"/>
          <w:color w:val="ff0000"/>
          <w:kern w:val="0"/>
        </w:rPr>
        <w:t>注意：扣缴义务人不适用此责任阻却事由。</w:t>
      </w:r>
    </w:p>
    <w:p w14:paraId="44B5BF85">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5．税款、行政罚款、罚金的缴纳顺序：先追缴税款，如已经交纳行政罚款，行政罚款可抵罚金。</w:t>
      </w:r>
    </w:p>
    <w:p w14:paraId="0B811CEC">
      <w:pPr>
        <w:pStyle w:val="style0"/>
        <w:spacing w:lineRule="exact" w:line="400"/>
        <w:ind w:firstLine="420"/>
        <w:rPr>
          <w:rFonts w:ascii="汉仪书宋二简" w:cs="汉仪书宋二简" w:hAnsi="汉仪书宋二简" w:hint="eastAsia"/>
          <w:kern w:val="0"/>
        </w:rPr>
      </w:pPr>
    </w:p>
    <w:p w14:paraId="733F47C6">
      <w:pPr>
        <w:pStyle w:val="style3"/>
        <w:spacing w:lineRule="exact" w:line="400"/>
        <w:rPr>
          <w:rFonts w:hint="eastAsia"/>
          <w:sz w:val="21"/>
        </w:rPr>
      </w:pPr>
      <w:r>
        <w:rPr>
          <w:rFonts w:hint="eastAsia"/>
          <w:sz w:val="21"/>
        </w:rPr>
        <w:t>二、抗税罪</w:t>
      </w:r>
      <w:r>
        <w:rPr>
          <w:rFonts w:ascii="汉仪书宋二简" w:cs="汉仪书宋二简" w:eastAsia="汉仪书宋二简" w:hAnsi="汉仪书宋二简" w:hint="eastAsia"/>
          <w:kern w:val="0"/>
          <w:sz w:val="21"/>
        </w:rPr>
        <w:t>（妨害公务罪的特别法）</w:t>
      </w:r>
    </w:p>
    <w:p w14:paraId="5DB1600D">
      <w:pPr>
        <w:pStyle w:val="style0"/>
        <w:spacing w:lineRule="exact" w:line="400"/>
        <w:ind w:firstLine="420"/>
        <w:rPr>
          <w:rFonts w:ascii="楷体" w:cs="Times New Roman" w:eastAsia="楷体" w:hAnsi="楷体" w:hint="eastAsia"/>
        </w:rPr>
      </w:pPr>
      <w:r>
        <w:rPr>
          <w:rFonts w:ascii="汉仪中黑简" w:cs="Times New Roman" w:eastAsia="汉仪中黑简" w:hAnsi="楷体" w:hint="eastAsia"/>
          <w:color w:val="ff0000"/>
        </w:rPr>
        <w:t>第202条【抗税罪】</w:t>
      </w:r>
      <w:r>
        <w:rPr>
          <w:rFonts w:ascii="楷体" w:cs="Times New Roman" w:eastAsia="楷体" w:hAnsi="楷体" w:hint="eastAsia"/>
        </w:rPr>
        <w:t xml:space="preserve">  </w:t>
      </w:r>
      <w:r>
        <w:rPr>
          <w:rFonts w:ascii="楷体" w:cs="Times New Roman" w:eastAsia="楷体" w:hAnsi="楷体" w:hint="eastAsia"/>
          <w:color w:val="ff0000"/>
        </w:rPr>
        <w:t>以暴力、威胁方法拒不缴纳税款</w:t>
      </w:r>
      <w:r>
        <w:rPr>
          <w:rFonts w:ascii="楷体" w:cs="Times New Roman" w:eastAsia="楷体" w:hAnsi="楷体" w:hint="eastAsia"/>
        </w:rPr>
        <w:t>的，处三年以下有期徒刑或者拘役，并处拒缴税款一倍以上五倍以下罚金；情节严重的，处三年以上七年以下有期徒刑，并处拒缴税款一倍以上五倍以下罚金。</w:t>
      </w:r>
    </w:p>
    <w:p w14:paraId="78BECCED">
      <w:pPr>
        <w:pStyle w:val="style0"/>
        <w:spacing w:lineRule="exact" w:line="400"/>
        <w:ind w:firstLine="0" w:firstLineChars="0"/>
        <w:rPr>
          <w:rFonts w:ascii="汉仪书宋二简" w:cs="汉仪书宋二简" w:hAnsi="汉仪书宋二简" w:hint="eastAsia"/>
          <w:kern w:val="0"/>
        </w:rPr>
      </w:pPr>
    </w:p>
    <w:p w14:paraId="4AC8AA1E">
      <w:pPr>
        <w:pStyle w:val="style3"/>
        <w:spacing w:lineRule="exact" w:line="400"/>
        <w:rPr>
          <w:rFonts w:hint="eastAsia"/>
          <w:sz w:val="21"/>
        </w:rPr>
      </w:pPr>
      <w:r>
        <w:rPr>
          <w:rFonts w:hint="eastAsia"/>
          <w:sz w:val="21"/>
        </w:rPr>
        <w:t>三、骗取出口退税罪</w:t>
      </w:r>
    </w:p>
    <w:p w14:paraId="0F330ADB">
      <w:pPr>
        <w:pStyle w:val="style0"/>
        <w:spacing w:lineRule="exact" w:line="400"/>
        <w:ind w:firstLine="420"/>
        <w:rPr>
          <w:rFonts w:ascii="楷体" w:cs="Times New Roman" w:eastAsia="楷体" w:hAnsi="楷体" w:hint="eastAsia"/>
        </w:rPr>
      </w:pPr>
      <w:r>
        <w:rPr>
          <w:rFonts w:ascii="汉仪中黑简" w:cs="Times New Roman" w:eastAsia="汉仪中黑简" w:hAnsi="楷体" w:hint="eastAsia"/>
          <w:color w:val="ff0000"/>
        </w:rPr>
        <w:t>第204条【骗取出口退税罪】</w:t>
      </w:r>
      <w:r>
        <w:rPr>
          <w:rFonts w:ascii="汉仪书宋二简" w:cs="汉仪书宋二简" w:hAnsi="汉仪书宋二简" w:hint="eastAsia"/>
          <w:kern w:val="0"/>
        </w:rPr>
        <w:t xml:space="preserve">  </w:t>
      </w:r>
      <w:r>
        <w:rPr>
          <w:rFonts w:ascii="楷体" w:cs="Times New Roman" w:eastAsia="楷体" w:hAnsi="楷体" w:hint="eastAsia"/>
        </w:rPr>
        <w:t>以假报出口或者其他欺骗手段，</w:t>
      </w:r>
      <w:r>
        <w:rPr>
          <w:rFonts w:ascii="楷体" w:cs="Times New Roman" w:eastAsia="楷体" w:hAnsi="楷体" w:hint="eastAsia"/>
          <w:color w:val="ff0000"/>
        </w:rPr>
        <w:t>骗取国家出口退税款</w:t>
      </w:r>
      <w:r>
        <w:rPr>
          <w:rFonts w:ascii="楷体" w:cs="Times New Roman" w:eastAsia="楷体" w:hAnsi="楷体" w:hint="eastAsia"/>
        </w:rPr>
        <w:t>，数额较大的，处五年以下有期徒刑或者拘役，并处骗取税款一倍以上五倍以下罚金；数额巨大或者有其他严重情节的，处五年以上十年以下有期徒刑，并处骗取税款一倍以上五倍以下罚金；数额特别巨大或者有其他特别严重情节的，处十年以上有期徒刑或者无期徒刑，并处骗取税款一倍以上五倍以下罚金或者没收财产。</w:t>
      </w:r>
    </w:p>
    <w:p w14:paraId="343431C0">
      <w:pPr>
        <w:pStyle w:val="style0"/>
        <w:spacing w:lineRule="exact" w:line="400"/>
        <w:ind w:firstLine="420"/>
        <w:rPr>
          <w:rFonts w:ascii="楷体" w:cs="Times New Roman" w:eastAsia="楷体" w:hAnsi="楷体" w:hint="eastAsia"/>
        </w:rPr>
      </w:pPr>
      <w:r>
        <w:rPr>
          <w:rFonts w:ascii="汉仪中黑简" w:cs="Times New Roman" w:eastAsia="汉仪中黑简" w:hAnsi="楷体" w:hint="eastAsia"/>
          <w:color w:val="ff0000"/>
        </w:rPr>
        <w:t>【逃税罪，数罪并罚】</w:t>
      </w:r>
      <w:r>
        <w:rPr>
          <w:rFonts w:ascii="汉仪书宋二简" w:cs="汉仪书宋二简" w:hAnsi="汉仪书宋二简" w:hint="eastAsia"/>
          <w:kern w:val="0"/>
        </w:rPr>
        <w:t xml:space="preserve">  </w:t>
      </w:r>
      <w:r>
        <w:rPr>
          <w:rFonts w:ascii="楷体" w:cs="Times New Roman" w:eastAsia="楷体" w:hAnsi="楷体" w:hint="eastAsia"/>
        </w:rPr>
        <w:t>纳税人缴纳税款后，采取前款规定的欺骗方法，</w:t>
      </w:r>
      <w:r>
        <w:rPr>
          <w:rFonts w:ascii="楷体" w:cs="Times New Roman" w:eastAsia="楷体" w:hAnsi="楷体" w:hint="eastAsia"/>
          <w:color w:val="ff0000"/>
        </w:rPr>
        <w:t>骗取所缴纳的税款的</w:t>
      </w:r>
      <w:r>
        <w:rPr>
          <w:rFonts w:ascii="楷体" w:cs="Times New Roman" w:eastAsia="楷体" w:hAnsi="楷体" w:hint="eastAsia"/>
        </w:rPr>
        <w:t>，依照本法第二百零一条的规定（</w:t>
      </w:r>
      <w:r>
        <w:rPr>
          <w:rFonts w:ascii="楷体" w:cs="Times New Roman" w:eastAsia="楷体" w:hAnsi="楷体" w:hint="eastAsia"/>
          <w:color w:val="ff0000"/>
        </w:rPr>
        <w:t>逃税罪</w:t>
      </w:r>
      <w:r>
        <w:rPr>
          <w:rFonts w:ascii="楷体" w:cs="Times New Roman" w:eastAsia="楷体" w:hAnsi="楷体" w:hint="eastAsia"/>
        </w:rPr>
        <w:t>）定罪处罚；骗取税款</w:t>
      </w:r>
      <w:r>
        <w:rPr>
          <w:rFonts w:ascii="楷体" w:cs="Times New Roman" w:eastAsia="楷体" w:hAnsi="楷体" w:hint="eastAsia"/>
          <w:color w:val="ff0000"/>
        </w:rPr>
        <w:t>超过所缴纳的税款部分</w:t>
      </w:r>
      <w:r>
        <w:rPr>
          <w:rFonts w:ascii="楷体" w:cs="Times New Roman" w:eastAsia="楷体" w:hAnsi="楷体" w:hint="eastAsia"/>
        </w:rPr>
        <w:t>，依照前款的规定（</w:t>
      </w:r>
      <w:r>
        <w:rPr>
          <w:rFonts w:ascii="楷体" w:cs="Times New Roman" w:eastAsia="楷体" w:hAnsi="楷体" w:hint="eastAsia"/>
          <w:color w:val="ff0000"/>
        </w:rPr>
        <w:t>骗取出口退税罪</w:t>
      </w:r>
      <w:r>
        <w:rPr>
          <w:rFonts w:ascii="楷体" w:cs="Times New Roman" w:eastAsia="楷体" w:hAnsi="楷体" w:hint="eastAsia"/>
        </w:rPr>
        <w:t>）处罚。</w:t>
      </w:r>
    </w:p>
    <w:p w14:paraId="51656372">
      <w:pPr>
        <w:pStyle w:val="style0"/>
        <w:spacing w:lineRule="exact" w:line="400"/>
        <w:ind w:firstLine="420"/>
        <w:rPr>
          <w:rFonts w:ascii="汉仪书宋二简" w:cs="汉仪书宋二简" w:hAnsi="汉仪书宋二简" w:hint="eastAsia"/>
          <w:kern w:val="0"/>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257"/>
        <w:gridCol w:w="2080"/>
        <w:gridCol w:w="1257"/>
        <w:gridCol w:w="1257"/>
        <w:gridCol w:w="2653"/>
      </w:tblGrid>
      <w:tr w14:paraId="09BCD3C6">
        <w:trPr>
          <w:jc w:val="center"/>
        </w:trPr>
        <w:tc>
          <w:tcPr>
            <w:tcW w:w="0" w:type="auto"/>
            <w:gridSpan w:val="5"/>
            <w:tcBorders/>
            <w:vAlign w:val="center"/>
          </w:tcPr>
          <w:p w14:paraId="39A4FE4E">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在没有任何货物出口的情况下</w:t>
            </w:r>
          </w:p>
        </w:tc>
      </w:tr>
      <w:tr w14:paraId="1FACF40E">
        <w:tblPrEx/>
        <w:trPr>
          <w:jc w:val="center"/>
        </w:trPr>
        <w:tc>
          <w:tcPr>
            <w:tcW w:w="0" w:type="auto"/>
            <w:tcBorders/>
            <w:vAlign w:val="center"/>
          </w:tcPr>
          <w:p w14:paraId="2C1519D0">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已缴税款</w:t>
            </w:r>
          </w:p>
        </w:tc>
        <w:tc>
          <w:tcPr>
            <w:tcW w:w="0" w:type="auto"/>
            <w:tcBorders/>
            <w:vAlign w:val="center"/>
          </w:tcPr>
          <w:p w14:paraId="408C13F5">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报称出口应退税</w:t>
            </w:r>
          </w:p>
        </w:tc>
        <w:tc>
          <w:tcPr>
            <w:tcW w:w="0" w:type="auto"/>
            <w:tcBorders/>
            <w:vAlign w:val="center"/>
          </w:tcPr>
          <w:p w14:paraId="58E67E36">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逃交税款</w:t>
            </w:r>
          </w:p>
        </w:tc>
        <w:tc>
          <w:tcPr>
            <w:tcW w:w="0" w:type="auto"/>
            <w:tcBorders/>
            <w:vAlign w:val="center"/>
          </w:tcPr>
          <w:p w14:paraId="1D84C026">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骗得税款</w:t>
            </w:r>
          </w:p>
        </w:tc>
        <w:tc>
          <w:tcPr>
            <w:tcW w:w="0" w:type="auto"/>
            <w:tcBorders/>
            <w:vAlign w:val="center"/>
          </w:tcPr>
          <w:p w14:paraId="08CC462D">
            <w:pPr>
              <w:pStyle w:val="style0"/>
              <w:autoSpaceDE w:val="false"/>
              <w:autoSpaceDN w:val="false"/>
              <w:adjustRightInd w:val="false"/>
              <w:snapToGrid w:val="false"/>
              <w:spacing w:before="31" w:beforeLines="10" w:after="62" w:afterLines="20" w:lineRule="exact" w:line="400"/>
              <w:ind w:firstLine="0" w:firstLineChars="0"/>
              <w:jc w:val="center"/>
              <w:rPr>
                <w:rFonts w:ascii="汉仪中黑简" w:cs="Times New Roman" w:eastAsia="汉仪中黑简" w:hAnsi="Times New Roman"/>
                <w:kern w:val="0"/>
              </w:rPr>
            </w:pPr>
            <w:r>
              <w:rPr>
                <w:rFonts w:ascii="汉仪中黑简" w:cs="Times New Roman" w:eastAsia="汉仪中黑简" w:hAnsi="Times New Roman" w:hint="eastAsia"/>
                <w:kern w:val="0"/>
              </w:rPr>
              <w:t>罪名</w:t>
            </w:r>
          </w:p>
        </w:tc>
      </w:tr>
      <w:tr w14:paraId="7611FD8D">
        <w:tblPrEx/>
        <w:trPr>
          <w:jc w:val="center"/>
        </w:trPr>
        <w:tc>
          <w:tcPr>
            <w:tcW w:w="0" w:type="auto"/>
            <w:tcBorders/>
            <w:vAlign w:val="center"/>
          </w:tcPr>
          <w:p w14:paraId="491B9068">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0万</w:t>
            </w:r>
          </w:p>
        </w:tc>
        <w:tc>
          <w:tcPr>
            <w:tcW w:w="0" w:type="auto"/>
            <w:tcBorders/>
            <w:vAlign w:val="center"/>
          </w:tcPr>
          <w:p w14:paraId="417FBF05">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vAlign w:val="center"/>
          </w:tcPr>
          <w:p w14:paraId="5CD00977">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p>
        </w:tc>
        <w:tc>
          <w:tcPr>
            <w:tcW w:w="0" w:type="auto"/>
            <w:tcBorders/>
            <w:vAlign w:val="center"/>
          </w:tcPr>
          <w:p w14:paraId="34081497">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vAlign w:val="center"/>
          </w:tcPr>
          <w:p w14:paraId="350AB016">
            <w:pPr>
              <w:pStyle w:val="style0"/>
              <w:autoSpaceDE w:val="false"/>
              <w:autoSpaceDN w:val="false"/>
              <w:adjustRightInd w:val="false"/>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骗取出口退税罪10万</w:t>
            </w:r>
          </w:p>
        </w:tc>
      </w:tr>
      <w:tr w14:paraId="3FFBB6BE">
        <w:tblPrEx/>
        <w:trPr>
          <w:jc w:val="center"/>
        </w:trPr>
        <w:tc>
          <w:tcPr>
            <w:tcW w:w="0" w:type="auto"/>
            <w:tcBorders/>
            <w:vAlign w:val="center"/>
          </w:tcPr>
          <w:p w14:paraId="2B3907F4">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vAlign w:val="center"/>
          </w:tcPr>
          <w:p w14:paraId="45F2EDB0">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vAlign w:val="center"/>
          </w:tcPr>
          <w:p w14:paraId="13954ECF">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vAlign w:val="center"/>
          </w:tcPr>
          <w:p w14:paraId="61FD14D1">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p>
        </w:tc>
        <w:tc>
          <w:tcPr>
            <w:tcW w:w="0" w:type="auto"/>
            <w:tcBorders/>
            <w:vAlign w:val="center"/>
          </w:tcPr>
          <w:p w14:paraId="451489EA">
            <w:pPr>
              <w:pStyle w:val="style0"/>
              <w:autoSpaceDE w:val="false"/>
              <w:autoSpaceDN w:val="false"/>
              <w:adjustRightInd w:val="false"/>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逃税罪10万</w:t>
            </w:r>
          </w:p>
        </w:tc>
      </w:tr>
      <w:tr w14:paraId="6F6E2E6D">
        <w:tblPrEx/>
        <w:trPr>
          <w:jc w:val="center"/>
        </w:trPr>
        <w:tc>
          <w:tcPr>
            <w:tcW w:w="0" w:type="auto"/>
            <w:tcBorders>
              <w:bottom w:val="single" w:sz="8" w:space="0" w:color="ff0000"/>
            </w:tcBorders>
            <w:vAlign w:val="center"/>
          </w:tcPr>
          <w:p w14:paraId="369E5D9B">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bottom w:val="single" w:sz="8" w:space="0" w:color="ff0000"/>
            </w:tcBorders>
            <w:vAlign w:val="center"/>
          </w:tcPr>
          <w:p w14:paraId="7479E131">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25万</w:t>
            </w:r>
          </w:p>
        </w:tc>
        <w:tc>
          <w:tcPr>
            <w:tcW w:w="0" w:type="auto"/>
            <w:tcBorders>
              <w:bottom w:val="single" w:sz="8" w:space="0" w:color="ff0000"/>
            </w:tcBorders>
            <w:vAlign w:val="center"/>
          </w:tcPr>
          <w:p w14:paraId="02C1057F">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10万</w:t>
            </w:r>
          </w:p>
        </w:tc>
        <w:tc>
          <w:tcPr>
            <w:tcW w:w="0" w:type="auto"/>
            <w:tcBorders>
              <w:bottom w:val="single" w:sz="8" w:space="0" w:color="ff0000"/>
            </w:tcBorders>
            <w:vAlign w:val="center"/>
          </w:tcPr>
          <w:p w14:paraId="41FC93CE">
            <w:pPr>
              <w:pStyle w:val="style0"/>
              <w:autoSpaceDE w:val="false"/>
              <w:autoSpaceDN w:val="false"/>
              <w:adjustRightInd w:val="false"/>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书宋一简" w:cs="Times New Roman" w:eastAsia="汉仪书宋一简" w:hAnsi="Times New Roman" w:hint="eastAsia"/>
                <w:kern w:val="0"/>
              </w:rPr>
              <w:t>15万</w:t>
            </w:r>
          </w:p>
        </w:tc>
        <w:tc>
          <w:tcPr>
            <w:tcW w:w="0" w:type="auto"/>
            <w:tcBorders>
              <w:bottom w:val="single" w:sz="8" w:space="0" w:color="ff0000"/>
            </w:tcBorders>
            <w:vAlign w:val="center"/>
          </w:tcPr>
          <w:p w14:paraId="11BF284C">
            <w:pPr>
              <w:pStyle w:val="style0"/>
              <w:autoSpaceDE w:val="false"/>
              <w:autoSpaceDN w:val="false"/>
              <w:adjustRightInd w:val="false"/>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逃税罪10万</w:t>
            </w:r>
          </w:p>
          <w:p w14:paraId="6D79A9A6">
            <w:pPr>
              <w:pStyle w:val="style0"/>
              <w:autoSpaceDE w:val="false"/>
              <w:autoSpaceDN w:val="false"/>
              <w:adjustRightInd w:val="false"/>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骗取出口退税罪15万</w:t>
            </w:r>
          </w:p>
        </w:tc>
      </w:tr>
      <w:tr w14:paraId="76039390">
        <w:tblPrEx/>
        <w:trPr>
          <w:trHeight w:val="52" w:hRule="atLeast"/>
          <w:jc w:val="center"/>
        </w:trPr>
        <w:tc>
          <w:tcPr>
            <w:tcW w:w="0" w:type="auto"/>
            <w:gridSpan w:val="5"/>
            <w:tcBorders/>
            <w:shd w:val="clear" w:color="auto" w:fill="ffe5e5"/>
            <w:vAlign w:val="center"/>
          </w:tcPr>
          <w:p w14:paraId="70F805CE">
            <w:pPr>
              <w:pStyle w:val="style0"/>
              <w:autoSpaceDE w:val="false"/>
              <w:autoSpaceDN w:val="false"/>
              <w:adjustRightInd w:val="false"/>
              <w:snapToGrid w:val="false"/>
              <w:spacing w:before="31" w:beforeLines="10" w:after="62" w:afterLines="20" w:lineRule="exact" w:line="400"/>
              <w:ind w:firstLine="0" w:firstLineChars="0"/>
              <w:rPr>
                <w:rFonts w:ascii="汉仪书宋一简" w:cs="Times New Roman" w:eastAsia="汉仪书宋一简" w:hAnsi="Times New Roman"/>
                <w:kern w:val="0"/>
              </w:rPr>
            </w:pPr>
          </w:p>
        </w:tc>
      </w:tr>
    </w:tbl>
    <w:p w14:paraId="0240F287">
      <w:pPr>
        <w:pStyle w:val="style0"/>
        <w:spacing w:lineRule="exact" w:line="400"/>
        <w:ind w:firstLine="420"/>
        <w:rPr>
          <w:rFonts w:ascii="汉仪书宋二简" w:cs="汉仪书宋二简" w:hAnsi="汉仪书宋二简" w:hint="eastAsia"/>
          <w:kern w:val="0"/>
        </w:rPr>
      </w:pPr>
    </w:p>
    <w:p w14:paraId="10A4D83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骗取出口退税罪与逃税罪的关系。（1）行为人已经缴纳税款，但产品并未出口而虚构出口事实，骗取所缴纳的税款，在缴纳税款额度内的，应定逃税罪；（2）骗取税款超出所缴纳的税款部分，对于骗取的部分，以骗取出口退税罪论处；（3）既逃税又骗取出口退税的，数罪并罚。</w:t>
      </w:r>
    </w:p>
    <w:p w14:paraId="1F07B88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2．实施骗取出口退税犯罪，同时构成购买增值税专用发票罪等其他犯罪的，依照刑法处罚较重的规定定罪处罚。</w:t>
      </w:r>
    </w:p>
    <w:p w14:paraId="063E2DBE">
      <w:pPr>
        <w:pStyle w:val="style0"/>
        <w:spacing w:lineRule="exact" w:line="400"/>
        <w:ind w:firstLine="420"/>
        <w:rPr>
          <w:rFonts w:ascii="汉仪书宋二简" w:cs="汉仪书宋二简" w:hAnsi="汉仪书宋二简" w:hint="eastAsia"/>
          <w:kern w:val="0"/>
        </w:rPr>
      </w:pPr>
    </w:p>
    <w:bookmarkStart w:id="7" w:name="_Hlk515639370"/>
    <w:p w14:paraId="1A6D95B0">
      <w:pPr>
        <w:pStyle w:val="style3"/>
        <w:spacing w:lineRule="exact" w:line="400"/>
        <w:rPr>
          <w:rFonts w:hint="eastAsia"/>
          <w:sz w:val="21"/>
        </w:rPr>
      </w:pPr>
      <w:r>
        <w:rPr>
          <w:rFonts w:hint="eastAsia"/>
          <w:sz w:val="21"/>
        </w:rPr>
        <w:t>四、发票类犯罪</w:t>
      </w:r>
    </w:p>
    <w:bookmarkEnd w:id="7"/>
    <w:p w14:paraId="7914353C">
      <w:pPr>
        <w:pStyle w:val="style0"/>
        <w:spacing w:lineRule="exact" w:line="400"/>
        <w:ind w:firstLine="420"/>
        <w:rPr>
          <w:rFonts w:ascii="楷体" w:cs="Times New Roman" w:eastAsia="楷体" w:hAnsi="楷体" w:hint="eastAsia"/>
        </w:rPr>
      </w:pPr>
      <w:r>
        <w:rPr>
          <w:rFonts w:ascii="汉仪中黑简" w:cs="Times New Roman" w:eastAsia="汉仪中黑简" w:hAnsi="楷体"/>
          <w:color w:val="ff0000"/>
        </w:rPr>
        <w:t>第</w:t>
      </w:r>
      <w:r>
        <w:rPr>
          <w:rFonts w:ascii="汉仪中黑简" w:cs="Times New Roman" w:eastAsia="汉仪中黑简" w:hAnsi="楷体" w:hint="eastAsia"/>
          <w:color w:val="ff0000"/>
        </w:rPr>
        <w:t>2</w:t>
      </w:r>
      <w:r>
        <w:rPr>
          <w:rFonts w:ascii="汉仪中黑简" w:cs="Times New Roman" w:eastAsia="汉仪中黑简" w:hAnsi="楷体"/>
          <w:color w:val="ff0000"/>
        </w:rPr>
        <w:t>05条</w:t>
      </w:r>
      <w:r>
        <w:rPr>
          <w:rFonts w:ascii="汉仪中黑简" w:cs="Times New Roman" w:eastAsia="汉仪中黑简" w:hAnsi="楷体" w:hint="eastAsia"/>
          <w:color w:val="ff0000"/>
        </w:rPr>
        <w:t>第3款【</w:t>
      </w:r>
      <w:r>
        <w:rPr>
          <w:rFonts w:ascii="汉仪中黑简" w:cs="Times New Roman" w:eastAsia="汉仪中黑简" w:hAnsi="楷体"/>
          <w:color w:val="ff0000"/>
        </w:rPr>
        <w:t>虚开增值税专用发票、用于骗取出口退税、抵扣税款发票罪</w:t>
      </w:r>
      <w:r>
        <w:rPr>
          <w:rFonts w:ascii="汉仪中黑简" w:cs="Times New Roman" w:eastAsia="汉仪中黑简" w:hAnsi="楷体" w:hint="eastAsia"/>
          <w:color w:val="ff0000"/>
        </w:rPr>
        <w:t>】</w:t>
      </w:r>
      <w:r>
        <w:rPr>
          <w:rFonts w:ascii="楷体" w:cs="Times New Roman" w:eastAsia="楷体" w:hAnsi="楷体" w:hint="eastAsia"/>
        </w:rPr>
        <w:t xml:space="preserve">  </w:t>
      </w:r>
      <w:r>
        <w:rPr>
          <w:rFonts w:ascii="楷体" w:cs="Times New Roman" w:eastAsia="楷体" w:hAnsi="楷体"/>
        </w:rPr>
        <w:t>虚开增值税专用发票或者虚开用于骗取出口退税、抵扣税款的其他发票，是指有</w:t>
      </w:r>
      <w:r>
        <w:rPr>
          <w:rFonts w:ascii="楷体" w:cs="Times New Roman" w:eastAsia="楷体" w:hAnsi="楷体"/>
          <w:color w:val="ff0000"/>
        </w:rPr>
        <w:t>为他人虚开、为自己虚开、让他人为自己虚开、介绍他人虚开</w:t>
      </w:r>
      <w:r>
        <w:rPr>
          <w:rFonts w:ascii="楷体" w:cs="Times New Roman" w:eastAsia="楷体" w:hAnsi="楷体"/>
        </w:rPr>
        <w:t>行为之一的。</w:t>
      </w:r>
    </w:p>
    <w:p w14:paraId="174B36C3">
      <w:pPr>
        <w:pStyle w:val="style0"/>
        <w:spacing w:lineRule="exact" w:line="400"/>
        <w:ind w:firstLine="420"/>
        <w:rPr>
          <w:rFonts w:ascii="楷体" w:cs="Times New Roman" w:eastAsia="楷体" w:hAnsi="楷体" w:hint="eastAsia"/>
        </w:rPr>
      </w:pPr>
      <w:r>
        <w:rPr>
          <w:rFonts w:ascii="汉仪中黑简" w:cs="Times New Roman" w:eastAsia="汉仪中黑简" w:hAnsi="楷体"/>
          <w:color w:val="ff0000"/>
        </w:rPr>
        <w:t>第</w:t>
      </w:r>
      <w:r>
        <w:rPr>
          <w:rFonts w:ascii="汉仪中黑简" w:cs="Times New Roman" w:eastAsia="汉仪中黑简" w:hAnsi="楷体" w:hint="eastAsia"/>
          <w:color w:val="ff0000"/>
        </w:rPr>
        <w:t>2</w:t>
      </w:r>
      <w:r>
        <w:rPr>
          <w:rFonts w:ascii="汉仪中黑简" w:cs="Times New Roman" w:eastAsia="汉仪中黑简" w:hAnsi="楷体"/>
          <w:color w:val="ff0000"/>
        </w:rPr>
        <w:t>06条</w:t>
      </w:r>
      <w:r>
        <w:rPr>
          <w:rFonts w:ascii="汉仪中黑简" w:cs="Times New Roman" w:eastAsia="汉仪中黑简" w:hAnsi="楷体" w:hint="eastAsia"/>
          <w:color w:val="ff0000"/>
        </w:rPr>
        <w:t>【</w:t>
      </w:r>
      <w:r>
        <w:rPr>
          <w:rFonts w:ascii="汉仪中黑简" w:cs="Times New Roman" w:eastAsia="汉仪中黑简" w:hAnsi="楷体"/>
          <w:color w:val="ff0000"/>
        </w:rPr>
        <w:t>伪造、出售伪造的增值税专用发票罪</w:t>
      </w:r>
      <w:r>
        <w:rPr>
          <w:rFonts w:ascii="汉仪中黑简" w:cs="Times New Roman" w:eastAsia="汉仪中黑简" w:hAnsi="楷体" w:hint="eastAsia"/>
          <w:color w:val="ff0000"/>
        </w:rPr>
        <w:t>】</w:t>
      </w:r>
      <w:r>
        <w:rPr>
          <w:rFonts w:ascii="楷体" w:cs="Times New Roman" w:eastAsia="楷体" w:hAnsi="楷体" w:hint="eastAsia"/>
        </w:rPr>
        <w:t xml:space="preserve">  </w:t>
      </w:r>
      <w:r>
        <w:rPr>
          <w:rFonts w:ascii="楷体" w:cs="Times New Roman" w:eastAsia="楷体" w:hAnsi="楷体"/>
        </w:rPr>
        <w:t>伪造或者出售伪造的增值税专用发票的</w:t>
      </w:r>
      <w:r>
        <w:rPr>
          <w:rFonts w:ascii="楷体" w:cs="Times New Roman" w:eastAsia="楷体" w:hAnsi="楷体" w:hint="eastAsia"/>
        </w:rPr>
        <w:t>……</w:t>
      </w:r>
      <w:r>
        <w:rPr>
          <w:rFonts w:ascii="楷体" w:cs="Times New Roman" w:eastAsia="楷体" w:hAnsi="楷体"/>
        </w:rPr>
        <w:t>。</w:t>
      </w:r>
    </w:p>
    <w:p w14:paraId="3B8082F9">
      <w:pPr>
        <w:pStyle w:val="style0"/>
        <w:spacing w:lineRule="exact" w:line="400"/>
        <w:ind w:firstLine="420"/>
        <w:rPr>
          <w:rFonts w:ascii="楷体" w:cs="Times New Roman" w:eastAsia="楷体" w:hAnsi="楷体" w:hint="eastAsia"/>
        </w:rPr>
      </w:pPr>
      <w:r>
        <w:rPr>
          <w:rFonts w:ascii="汉仪中黑简" w:cs="Times New Roman" w:eastAsia="汉仪中黑简" w:hAnsi="楷体"/>
          <w:color w:val="ff0000"/>
        </w:rPr>
        <w:t>第</w:t>
      </w:r>
      <w:r>
        <w:rPr>
          <w:rFonts w:ascii="汉仪中黑简" w:cs="Times New Roman" w:eastAsia="汉仪中黑简" w:hAnsi="楷体" w:hint="eastAsia"/>
          <w:color w:val="ff0000"/>
        </w:rPr>
        <w:t>2</w:t>
      </w:r>
      <w:r>
        <w:rPr>
          <w:rFonts w:ascii="汉仪中黑简" w:cs="Times New Roman" w:eastAsia="汉仪中黑简" w:hAnsi="楷体"/>
          <w:color w:val="ff0000"/>
        </w:rPr>
        <w:t>07条</w:t>
      </w:r>
      <w:r>
        <w:rPr>
          <w:rFonts w:ascii="汉仪中黑简" w:cs="Times New Roman" w:eastAsia="汉仪中黑简" w:hAnsi="楷体" w:hint="eastAsia"/>
          <w:color w:val="ff0000"/>
        </w:rPr>
        <w:t>【</w:t>
      </w:r>
      <w:r>
        <w:rPr>
          <w:rFonts w:ascii="汉仪中黑简" w:cs="Times New Roman" w:eastAsia="汉仪中黑简" w:hAnsi="楷体"/>
          <w:color w:val="ff0000"/>
        </w:rPr>
        <w:t>非法出售增值税专用发票罪</w:t>
      </w:r>
      <w:r>
        <w:rPr>
          <w:rFonts w:ascii="汉仪中黑简" w:cs="Times New Roman" w:eastAsia="汉仪中黑简" w:hAnsi="楷体" w:hint="eastAsia"/>
          <w:color w:val="ff0000"/>
        </w:rPr>
        <w:t>】</w:t>
      </w:r>
      <w:r>
        <w:rPr>
          <w:rFonts w:ascii="楷体" w:cs="Times New Roman" w:eastAsia="楷体" w:hAnsi="楷体" w:hint="eastAsia"/>
        </w:rPr>
        <w:t xml:space="preserve">  </w:t>
      </w:r>
      <w:r>
        <w:rPr>
          <w:rFonts w:ascii="楷体" w:cs="Times New Roman" w:eastAsia="楷体" w:hAnsi="楷体"/>
        </w:rPr>
        <w:t>非法出售增值税专用发票的</w:t>
      </w:r>
      <w:r>
        <w:rPr>
          <w:rFonts w:ascii="楷体" w:cs="Times New Roman" w:eastAsia="楷体" w:hAnsi="楷体" w:hint="eastAsia"/>
        </w:rPr>
        <w:t>……</w:t>
      </w:r>
      <w:r>
        <w:rPr>
          <w:rFonts w:ascii="楷体" w:cs="Times New Roman" w:eastAsia="楷体" w:hAnsi="楷体"/>
        </w:rPr>
        <w:t>。</w:t>
      </w:r>
    </w:p>
    <w:bookmarkStart w:id="8" w:name="_Hlk515639389"/>
    <w:p w14:paraId="4C2D63C5">
      <w:pPr>
        <w:pStyle w:val="style0"/>
        <w:spacing w:lineRule="exact" w:line="400"/>
        <w:ind w:firstLine="420"/>
        <w:rPr>
          <w:rFonts w:ascii="楷体" w:cs="Times New Roman" w:eastAsia="楷体" w:hAnsi="楷体" w:hint="eastAsia"/>
        </w:rPr>
      </w:pPr>
      <w:r>
        <w:rPr>
          <w:rFonts w:ascii="汉仪中黑简" w:cs="Times New Roman" w:eastAsia="汉仪中黑简" w:hAnsi="楷体"/>
          <w:color w:val="ff0000"/>
        </w:rPr>
        <w:t>第</w:t>
      </w:r>
      <w:r>
        <w:rPr>
          <w:rFonts w:ascii="汉仪中黑简" w:cs="Times New Roman" w:eastAsia="汉仪中黑简" w:hAnsi="楷体" w:hint="eastAsia"/>
          <w:color w:val="ff0000"/>
        </w:rPr>
        <w:t>2</w:t>
      </w:r>
      <w:r>
        <w:rPr>
          <w:rFonts w:ascii="汉仪中黑简" w:cs="Times New Roman" w:eastAsia="汉仪中黑简" w:hAnsi="楷体"/>
          <w:color w:val="ff0000"/>
        </w:rPr>
        <w:t>08条</w:t>
      </w:r>
      <w:r>
        <w:rPr>
          <w:rFonts w:ascii="汉仪中黑简" w:cs="Times New Roman" w:eastAsia="汉仪中黑简" w:hAnsi="楷体" w:hint="eastAsia"/>
          <w:color w:val="ff0000"/>
        </w:rPr>
        <w:t>第2款【以后一行为即目的行为定罪】</w:t>
      </w:r>
      <w:r>
        <w:rPr>
          <w:rFonts w:ascii="楷体" w:cs="Times New Roman" w:eastAsia="楷体" w:hAnsi="楷体" w:hint="eastAsia"/>
        </w:rPr>
        <w:t xml:space="preserve">  </w:t>
      </w:r>
      <w:r>
        <w:rPr>
          <w:rFonts w:ascii="楷体" w:cs="Times New Roman" w:eastAsia="楷体" w:hAnsi="楷体"/>
          <w:color w:val="ff0000"/>
        </w:rPr>
        <w:t>非法购买</w:t>
      </w:r>
      <w:r>
        <w:rPr>
          <w:rFonts w:ascii="楷体" w:cs="Times New Roman" w:eastAsia="楷体" w:hAnsi="楷体"/>
        </w:rPr>
        <w:t>增值税专用发票或者</w:t>
      </w:r>
      <w:r>
        <w:rPr>
          <w:rFonts w:ascii="楷体" w:cs="Times New Roman" w:eastAsia="楷体" w:hAnsi="楷体"/>
          <w:color w:val="ff0000"/>
        </w:rPr>
        <w:t>购买伪造</w:t>
      </w:r>
      <w:r>
        <w:rPr>
          <w:rFonts w:ascii="楷体" w:cs="Times New Roman" w:eastAsia="楷体" w:hAnsi="楷体"/>
        </w:rPr>
        <w:t>的增值税专用发票</w:t>
      </w:r>
      <w:r>
        <w:rPr>
          <w:rFonts w:ascii="楷体" w:cs="Times New Roman" w:eastAsia="楷体" w:hAnsi="楷体"/>
          <w:color w:val="ff0000"/>
        </w:rPr>
        <w:t>又虚开或者出售的</w:t>
      </w:r>
      <w:r>
        <w:rPr>
          <w:rFonts w:ascii="楷体" w:cs="Times New Roman" w:eastAsia="楷体" w:hAnsi="楷体"/>
        </w:rPr>
        <w:t>，分别依照本法第二百零五条</w:t>
      </w:r>
      <w:r>
        <w:rPr>
          <w:rFonts w:ascii="楷体" w:cs="Times New Roman" w:eastAsia="楷体" w:hAnsi="楷体" w:hint="eastAsia"/>
        </w:rPr>
        <w:t>（虚开增值税专用发票罪）</w:t>
      </w:r>
      <w:r>
        <w:rPr>
          <w:rFonts w:ascii="楷体" w:cs="Times New Roman" w:eastAsia="楷体" w:hAnsi="楷体"/>
        </w:rPr>
        <w:t>、第二百零六条</w:t>
      </w:r>
      <w:r>
        <w:rPr>
          <w:rFonts w:ascii="楷体" w:cs="Times New Roman" w:eastAsia="楷体" w:hAnsi="楷体" w:hint="eastAsia"/>
        </w:rPr>
        <w:t>（伪造、出售伪造的增值税专用发票罪）</w:t>
      </w:r>
      <w:r>
        <w:rPr>
          <w:rFonts w:ascii="楷体" w:cs="Times New Roman" w:eastAsia="楷体" w:hAnsi="楷体"/>
        </w:rPr>
        <w:t>、第二百零七条</w:t>
      </w:r>
      <w:r>
        <w:rPr>
          <w:rFonts w:ascii="楷体" w:cs="Times New Roman" w:eastAsia="楷体" w:hAnsi="楷体" w:hint="eastAsia"/>
        </w:rPr>
        <w:t>（出售增值税专用发票罪）</w:t>
      </w:r>
      <w:r>
        <w:rPr>
          <w:rFonts w:ascii="楷体" w:cs="Times New Roman" w:eastAsia="楷体" w:hAnsi="楷体"/>
        </w:rPr>
        <w:t>的规定定罪处罚。</w:t>
      </w:r>
    </w:p>
    <w:bookmarkEnd w:id="8"/>
    <w:p w14:paraId="04596A31">
      <w:pPr>
        <w:pStyle w:val="style0"/>
        <w:spacing w:lineRule="exact" w:line="400"/>
        <w:ind w:firstLine="420"/>
        <w:rPr>
          <w:rFonts w:ascii="汉仪中黑简" w:cs="Times New Roman" w:eastAsia="汉仪中黑简" w:hAnsi="楷体" w:hint="eastAsia"/>
          <w:color w:val="ff0000"/>
        </w:rPr>
      </w:pPr>
      <w:r>
        <w:rPr>
          <w:rFonts w:ascii="汉仪书宋二简" w:cs="汉仪书宋二简" w:hAnsi="汉仪书宋二简" w:hint="eastAsia"/>
          <w:kern w:val="0"/>
        </w:rPr>
        <w:t>★1．虚开增值税专用发票、用于骗取出口退税，抵扣税款发票罪。</w:t>
      </w:r>
      <w:r>
        <w:rPr>
          <w:rFonts w:ascii="汉仪中黑简" w:cs="Times New Roman" w:eastAsia="汉仪中黑简" w:hAnsi="楷体" w:hint="eastAsia"/>
          <w:color w:val="ff0000"/>
        </w:rPr>
        <w:t>虚开行为：为他人虚开、为自己虚开、让他人为自己虚开、介绍他人虚开。</w:t>
      </w:r>
    </w:p>
    <w:p w14:paraId="754B834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具体行为形式包括：</w:t>
      </w:r>
    </w:p>
    <w:p w14:paraId="6CF95FAA">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（1）没有实际业务，开具增值税专用发票、用于骗取出口退税、抵扣税款的其他发票的；</w:t>
      </w:r>
    </w:p>
    <w:p w14:paraId="35D7E13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（2）有实际应抵扣业务，但开具超过实际应抵扣业务对应税款的增值税专用发票、用于骗取出口退税、抵扣税款的其他发票的；</w:t>
      </w:r>
    </w:p>
    <w:p w14:paraId="35E8AAF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（3）对依法不能抵扣税款的业务，通过虚构交易主体开具增值税专用发票、用于骗取出口退税、抵扣税款的其他发票的；</w:t>
      </w:r>
    </w:p>
    <w:p w14:paraId="39F39C5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（4）非法篡改增值税专用发票或者用于骗取出口退税、抵扣税款的其他发票相关电子信息的；</w:t>
      </w:r>
    </w:p>
    <w:p w14:paraId="51C1DB45">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（5）违反规定以其他手段虚开的。</w:t>
      </w:r>
    </w:p>
    <w:p w14:paraId="1505D736">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w:t>
      </w:r>
      <w:r>
        <w:rPr>
          <w:rFonts w:ascii="汉仪中黑简" w:cs="汉仪书宋二简" w:eastAsia="汉仪中黑简" w:hAnsi="汉仪书宋二简" w:hint="eastAsia"/>
          <w:color w:val="ff0000"/>
          <w:kern w:val="0"/>
        </w:rPr>
        <w:t>目的犯；</w:t>
      </w:r>
      <w:r>
        <w:rPr>
          <w:rFonts w:ascii="汉仪书宋二简" w:cs="汉仪书宋二简" w:hAnsi="汉仪书宋二简" w:hint="eastAsia"/>
          <w:kern w:val="0"/>
        </w:rPr>
        <w:t>以骗抵税款为目的。</w:t>
      </w:r>
    </w:p>
    <w:p w14:paraId="1C1DF0B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为虚增业绩、融资、贷款等不以骗抵税款为目的，没有因抵扣造成税款被骗损失的，不以本罪（虚开……罪）论处；构成其他犯罪的，依法以其他犯罪（例如</w:t>
      </w:r>
      <w:r>
        <w:rPr>
          <w:rFonts w:ascii="汉仪书宋二简" w:cs="汉仪书宋二简" w:hAnsi="汉仪书宋二简"/>
          <w:kern w:val="0"/>
        </w:rPr>
        <w:t>非法出售增值税专用发票罪</w:t>
      </w:r>
      <w:r>
        <w:rPr>
          <w:rFonts w:ascii="汉仪书宋二简" w:cs="汉仪书宋二简" w:hAnsi="汉仪书宋二简" w:hint="eastAsia"/>
          <w:kern w:val="0"/>
        </w:rPr>
        <w:t>等）追究刑事责任。</w:t>
      </w:r>
    </w:p>
    <w:p w14:paraId="43A9260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w:t>
      </w:r>
      <w:r>
        <w:rPr>
          <w:rFonts w:ascii="汉仪中黑简" w:cs="汉仪书宋二简" w:eastAsia="汉仪中黑简" w:hAnsi="汉仪书宋二简" w:hint="eastAsia"/>
          <w:color w:val="ff0000"/>
          <w:kern w:val="0"/>
        </w:rPr>
        <w:t>具体危险犯：</w:t>
      </w:r>
      <w:r>
        <w:rPr>
          <w:rFonts w:ascii="汉仪书宋二简" w:cs="汉仪书宋二简" w:hAnsi="汉仪书宋二简" w:hint="eastAsia"/>
          <w:kern w:val="0"/>
        </w:rPr>
        <w:t>虚开行为完成，具有造成税款被骗损失的具体危险的，成立既遂。</w:t>
      </w:r>
    </w:p>
    <w:p w14:paraId="4B24AA31">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w:t>
      </w:r>
      <w:r>
        <w:rPr>
          <w:rFonts w:ascii="汉仪中黑简" w:cs="汉仪书宋二简" w:eastAsia="汉仪中黑简" w:hAnsi="汉仪书宋二简" w:hint="eastAsia"/>
          <w:color w:val="ff0000"/>
          <w:kern w:val="0"/>
        </w:rPr>
        <w:t>罪数：</w:t>
      </w:r>
      <w:r>
        <w:rPr>
          <w:rFonts w:ascii="汉仪书宋二简" w:cs="汉仪书宋二简" w:hAnsi="汉仪书宋二简" w:hint="eastAsia"/>
          <w:kern w:val="0"/>
        </w:rPr>
        <w:t>以后一行为定罪。非法购买增值税专用发票或者购买伪造的增值税专用发票又虚开或者出售的，按目的行为定罪。亦即，分别依照本法第205条（虚开增值税专用发票罪）、第206条（伪造、出售伪造的增值税专用发票罪）、第207条（出售增值税专用发票罪）的规定定罪处罚（刑法第208条第2款）。</w:t>
      </w:r>
    </w:p>
    <w:p w14:paraId="58A1F6D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5．增值税发票可成为盗窃罪、诈骗罪的对象。盗窃、诈骗增值税发票，构成盗窃罪、诈骗罪。</w:t>
      </w:r>
    </w:p>
    <w:p w14:paraId="588846B0">
      <w:pPr>
        <w:pStyle w:val="style0"/>
        <w:spacing w:lineRule="exact" w:line="400"/>
        <w:ind w:firstLine="0" w:firstLineChars="0"/>
        <w:rPr>
          <w:rFonts w:ascii="汉仪书宋二简" w:cs="汉仪书宋二简" w:hAnsi="汉仪书宋二简" w:hint="eastAsia"/>
          <w:kern w:val="0"/>
        </w:rPr>
      </w:pPr>
    </w:p>
    <w:p w14:paraId="7F0CB5EF">
      <w:pPr>
        <w:pStyle w:val="style0"/>
        <w:spacing w:lineRule="exact" w:line="400"/>
        <w:ind w:firstLine="0" w:firstLineChars="0"/>
        <w:rPr>
          <w:rFonts w:ascii="汉仪书宋二简" w:cs="Times New Roman" w:hint="eastAsia"/>
          <w:color w:val="ff0000"/>
        </w:rPr>
      </w:pPr>
    </w:p>
    <w:p w14:paraId="25AC9686">
      <w:pPr>
        <w:pStyle w:val="style1"/>
        <w:spacing w:before="0" w:lineRule="exact" w:line="400"/>
        <w:rPr>
          <w:rFonts w:hint="eastAsia"/>
          <w:b/>
          <w:bCs w:val="false"/>
          <w:color w:val="auto"/>
          <w:sz w:val="21"/>
          <w:szCs w:val="21"/>
        </w:rPr>
      </w:pPr>
      <w:r>
        <w:rPr>
          <w:rFonts w:hint="eastAsia"/>
          <w:b/>
          <w:bCs w:val="false"/>
          <w:color w:val="auto"/>
          <w:sz w:val="21"/>
          <w:szCs w:val="21"/>
        </w:rPr>
        <w:t>考点37</w:t>
      </w:r>
      <w:r>
        <w:rPr>
          <w:b/>
          <w:bCs w:val="false"/>
          <w:color w:val="auto"/>
          <w:sz w:val="21"/>
          <w:szCs w:val="21"/>
        </w:rPr>
        <w:t xml:space="preserve">  </w:t>
      </w:r>
      <w:r>
        <w:rPr>
          <w:rFonts w:hint="eastAsia"/>
          <w:b/>
          <w:bCs w:val="false"/>
          <w:color w:val="auto"/>
          <w:sz w:val="21"/>
          <w:szCs w:val="21"/>
        </w:rPr>
        <w:t>网络犯罪</w:t>
      </w:r>
    </w:p>
    <w:p w14:paraId="69176087">
      <w:pPr>
        <w:pStyle w:val="style0"/>
        <w:spacing w:lineRule="exact" w:line="400"/>
        <w:ind w:firstLine="0" w:firstLineChars="0"/>
        <w:jc w:val="left"/>
        <w:rPr>
          <w:rFonts w:ascii="汉仪书宋二简" w:cs="汉仪书宋二简" w:hAnsi="汉仪书宋二简" w:hint="eastAsia"/>
          <w:kern w:val="0"/>
        </w:rPr>
      </w:pPr>
    </w:p>
    <w:p w14:paraId="40DF10AE">
      <w:pPr>
        <w:pStyle w:val="style0"/>
        <w:snapToGrid w:val="false"/>
        <w:spacing w:lineRule="exact" w:line="400"/>
        <w:ind w:firstLine="420"/>
        <w:rPr>
          <w:rFonts w:ascii="楷体" w:cs="Times New Roman" w:eastAsia="楷体" w:hAnsi="楷体" w:hint="eastAsia"/>
        </w:rPr>
      </w:pPr>
      <w:r>
        <w:rPr>
          <w:rFonts w:ascii="汉仪中黑简" w:cs="汉仪书宋二简" w:eastAsia="汉仪中黑简" w:hAnsi="汉仪书宋二简"/>
          <w:color w:val="ff0000"/>
          <w:kern w:val="0"/>
        </w:rPr>
        <w:t>第</w:t>
      </w:r>
      <w:r>
        <w:rPr>
          <w:rFonts w:ascii="汉仪中黑简" w:cs="汉仪书宋二简" w:eastAsia="汉仪中黑简" w:hAnsi="汉仪书宋二简" w:hint="eastAsia"/>
          <w:color w:val="ff0000"/>
          <w:kern w:val="0"/>
        </w:rPr>
        <w:t>2</w:t>
      </w:r>
      <w:r>
        <w:rPr>
          <w:rFonts w:ascii="汉仪中黑简" w:cs="汉仪书宋二简" w:eastAsia="汉仪中黑简" w:hAnsi="汉仪书宋二简"/>
          <w:color w:val="ff0000"/>
          <w:kern w:val="0"/>
        </w:rPr>
        <w:t>87条之一</w:t>
      </w:r>
    </w:p>
    <w:p w14:paraId="488FC3CB">
      <w:pPr>
        <w:pStyle w:val="style0"/>
        <w:snapToGrid w:val="false"/>
        <w:spacing w:lineRule="exact" w:line="400"/>
        <w:ind w:firstLine="420"/>
        <w:rPr>
          <w:rFonts w:ascii="楷体" w:cs="Times New Roman" w:eastAsia="楷体" w:hAnsi="楷体" w:hint="eastAsia"/>
        </w:rPr>
      </w:pPr>
      <w:r>
        <w:rPr>
          <w:rFonts w:ascii="汉仪中黑简" w:cs="汉仪书宋二简" w:eastAsia="汉仪中黑简" w:hAnsi="汉仪书宋二简"/>
          <w:color w:val="ff0000"/>
          <w:kern w:val="0"/>
        </w:rPr>
        <w:t>第</w:t>
      </w:r>
      <w:r>
        <w:rPr>
          <w:rFonts w:ascii="汉仪中黑简" w:cs="汉仪书宋二简" w:eastAsia="汉仪中黑简" w:hAnsi="汉仪书宋二简" w:hint="eastAsia"/>
          <w:color w:val="ff0000"/>
          <w:kern w:val="0"/>
        </w:rPr>
        <w:t>2</w:t>
      </w:r>
      <w:r>
        <w:rPr>
          <w:rFonts w:ascii="汉仪中黑简" w:cs="汉仪书宋二简" w:eastAsia="汉仪中黑简" w:hAnsi="汉仪书宋二简"/>
          <w:color w:val="ff0000"/>
          <w:kern w:val="0"/>
        </w:rPr>
        <w:t>87条之二</w:t>
      </w:r>
    </w:p>
    <w:p w14:paraId="4E5721C1">
      <w:pPr>
        <w:pStyle w:val="style0"/>
        <w:snapToGrid w:val="false"/>
        <w:spacing w:lineRule="exact" w:line="400"/>
        <w:ind w:firstLine="420"/>
        <w:rPr>
          <w:rFonts w:ascii="楷体" w:cs="Times New Roman" w:eastAsia="楷体" w:hAnsi="楷体"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967"/>
        <w:gridCol w:w="1418"/>
        <w:gridCol w:w="4120"/>
      </w:tblGrid>
      <w:tr w14:paraId="2339471B">
        <w:trPr>
          <w:cantSplit/>
          <w:jc w:val="center"/>
        </w:trPr>
        <w:tc>
          <w:tcPr>
            <w:tcW w:w="8505" w:type="dxa"/>
            <w:gridSpan w:val="3"/>
            <w:tcBorders/>
            <w:vAlign w:val="center"/>
          </w:tcPr>
          <w:p w14:paraId="7FB6CF3D">
            <w:pPr>
              <w:pStyle w:val="style0"/>
              <w:snapToGrid w:val="false"/>
              <w:spacing w:before="31" w:beforeLines="10" w:after="62" w:afterLines="20" w:lineRule="exact" w:line="400"/>
              <w:ind w:firstLine="0" w:firstLineChars="0"/>
              <w:jc w:val="center"/>
              <w:rPr>
                <w:rFonts w:ascii="汉仪书宋一简" w:cs="Times New Roman" w:eastAsia="汉仪书宋一简" w:hAnsi="Times New Roman"/>
                <w:kern w:val="0"/>
              </w:rPr>
            </w:pPr>
            <w:r>
              <w:rPr>
                <w:rFonts w:ascii="汉仪中黑简" w:eastAsia="汉仪中黑简"/>
              </w:rPr>
              <w:t>自然人、单位均可构成</w:t>
            </w:r>
          </w:p>
        </w:tc>
      </w:tr>
      <w:tr w14:paraId="2EAD1DF5">
        <w:tblPrEx/>
        <w:trPr>
          <w:cantSplit/>
          <w:trHeight w:val="419" w:hRule="atLeast"/>
          <w:jc w:val="center"/>
        </w:trPr>
        <w:tc>
          <w:tcPr>
            <w:tcW w:w="2967" w:type="dxa"/>
            <w:tcBorders/>
            <w:vAlign w:val="center"/>
          </w:tcPr>
          <w:p w14:paraId="676998AB">
            <w:pPr>
              <w:pStyle w:val="style0"/>
              <w:snapToGrid w:val="false"/>
              <w:spacing w:before="31" w:beforeLines="10" w:after="62" w:afterLines="20" w:lineRule="exact" w:line="400"/>
              <w:ind w:firstLine="0" w:firstLineChars="0"/>
              <w:rPr>
                <w:rFonts w:ascii="汉仪中黑简" w:cs="Times New Roman" w:eastAsia="汉仪中黑简" w:hAnsi="Times New Roman"/>
                <w:kern w:val="0"/>
              </w:rPr>
            </w:pPr>
            <w:r>
              <w:rPr>
                <w:rFonts w:ascii="汉仪中黑简" w:cs="Times New Roman" w:eastAsia="汉仪中黑简" w:hAnsi="Times New Roman" w:hint="eastAsia"/>
                <w:kern w:val="0"/>
              </w:rPr>
              <w:t>非法</w:t>
            </w:r>
            <w:r>
              <w:rPr>
                <w:rFonts w:ascii="汉仪中黑简" w:eastAsia="汉仪中黑简" w:hint="eastAsia"/>
                <w:color w:val="ff0000"/>
              </w:rPr>
              <w:t>侵入</w:t>
            </w:r>
            <w:r>
              <w:rPr>
                <w:rFonts w:ascii="汉仪中黑简" w:cs="Times New Roman" w:eastAsia="汉仪中黑简" w:hAnsi="Times New Roman" w:hint="eastAsia"/>
                <w:kern w:val="0"/>
              </w:rPr>
              <w:t>计算</w:t>
            </w:r>
            <w:r>
              <w:rPr>
                <w:rFonts w:ascii="Calibri" w:cs="Times New Roman" w:hAnsi="Calibri" w:hint="eastAsia"/>
              </w:rPr>
              <w:t>机信</w:t>
            </w:r>
            <w:r>
              <w:rPr>
                <w:rFonts w:ascii="汉仪中黑简" w:cs="Times New Roman" w:eastAsia="汉仪中黑简" w:hAnsi="Times New Roman" w:hint="eastAsia"/>
                <w:kern w:val="0"/>
              </w:rPr>
              <w:t>息系统罪</w:t>
            </w:r>
          </w:p>
        </w:tc>
        <w:tc>
          <w:tcPr>
            <w:tcW w:w="1418" w:type="dxa"/>
            <w:tcBorders/>
            <w:vAlign w:val="center"/>
          </w:tcPr>
          <w:p w14:paraId="5912CB5C">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kern w:val="0"/>
              </w:rPr>
              <w:t>侵入</w:t>
            </w:r>
            <w:r>
              <w:rPr>
                <w:rFonts w:ascii="汉仪书宋一简" w:cs="Times New Roman" w:eastAsia="汉仪书宋一简" w:hAnsi="Times New Roman" w:hint="eastAsia"/>
                <w:kern w:val="0"/>
              </w:rPr>
              <w:t>三领域</w:t>
            </w:r>
          </w:p>
        </w:tc>
        <w:tc>
          <w:tcPr>
            <w:tcW w:w="4120" w:type="dxa"/>
            <w:tcBorders/>
            <w:vAlign w:val="center"/>
          </w:tcPr>
          <w:p w14:paraId="41107033">
            <w:pPr>
              <w:pStyle w:val="style0"/>
              <w:snapToGrid w:val="false"/>
              <w:spacing w:before="31" w:beforeLines="10" w:after="62" w:afterLines="20" w:lineRule="exact" w:line="400"/>
              <w:ind w:firstLine="0" w:firstLineChars="0"/>
              <w:rPr>
                <w:rFonts w:ascii="楷体" w:cs="Times New Roman" w:eastAsia="楷体" w:hAnsi="楷体" w:hint="eastAsia"/>
                <w:kern w:val="0"/>
              </w:rPr>
            </w:pPr>
            <w:r>
              <w:rPr>
                <w:rFonts w:ascii="楷体" w:cs="Times New Roman" w:eastAsia="楷体" w:hAnsi="楷体"/>
                <w:kern w:val="0"/>
              </w:rPr>
              <w:t>侵入</w:t>
            </w:r>
            <w:r>
              <w:rPr>
                <w:rFonts w:ascii="楷体" w:eastAsia="楷体" w:hAnsi="楷体"/>
                <w:color w:val="ff0000"/>
              </w:rPr>
              <w:t>国家事务、国防建设、尖端科学</w:t>
            </w:r>
            <w:r>
              <w:rPr>
                <w:rFonts w:ascii="楷体" w:cs="Times New Roman" w:eastAsia="楷体" w:hAnsi="楷体"/>
                <w:kern w:val="0"/>
              </w:rPr>
              <w:t>技术领域的计算机信息系统</w:t>
            </w:r>
          </w:p>
        </w:tc>
      </w:tr>
      <w:tr w14:paraId="0886BDB5">
        <w:tblPrEx/>
        <w:trPr>
          <w:cantSplit/>
          <w:trHeight w:val="331" w:hRule="atLeast"/>
          <w:jc w:val="center"/>
        </w:trPr>
        <w:tc>
          <w:tcPr>
            <w:tcW w:w="2967" w:type="dxa"/>
            <w:tcBorders/>
            <w:vAlign w:val="center"/>
          </w:tcPr>
          <w:p w14:paraId="42631A25">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kern w:val="0"/>
              </w:rPr>
              <w:t>非法</w:t>
            </w:r>
            <w:r>
              <w:rPr>
                <w:rFonts w:ascii="汉仪中黑简" w:eastAsia="汉仪中黑简"/>
                <w:color w:val="ff0000"/>
              </w:rPr>
              <w:t>获取</w:t>
            </w:r>
            <w:r>
              <w:rPr>
                <w:rFonts w:ascii="汉仪书宋一简" w:cs="Times New Roman" w:eastAsia="汉仪书宋一简" w:hAnsi="Times New Roman"/>
                <w:kern w:val="0"/>
              </w:rPr>
              <w:t>计算机信息系统数据、非法</w:t>
            </w:r>
            <w:r>
              <w:rPr>
                <w:rFonts w:ascii="汉仪中黑简" w:eastAsia="汉仪中黑简"/>
                <w:color w:val="ff0000"/>
              </w:rPr>
              <w:t>控制</w:t>
            </w:r>
            <w:r>
              <w:rPr>
                <w:rFonts w:ascii="汉仪书宋一简" w:cs="Times New Roman" w:eastAsia="汉仪书宋一简" w:hAnsi="Times New Roman"/>
                <w:kern w:val="0"/>
              </w:rPr>
              <w:t>计算机信息系统罪</w:t>
            </w:r>
          </w:p>
        </w:tc>
        <w:tc>
          <w:tcPr>
            <w:tcW w:w="1418" w:type="dxa"/>
            <w:tcBorders/>
            <w:vAlign w:val="center"/>
          </w:tcPr>
          <w:p w14:paraId="6EEEC49F">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侵入其它领域</w:t>
            </w:r>
          </w:p>
        </w:tc>
        <w:tc>
          <w:tcPr>
            <w:tcW w:w="4120" w:type="dxa"/>
            <w:tcBorders/>
            <w:vAlign w:val="center"/>
          </w:tcPr>
          <w:p w14:paraId="58F9F707">
            <w:pPr>
              <w:pStyle w:val="style0"/>
              <w:snapToGrid w:val="false"/>
              <w:spacing w:before="31" w:beforeLines="10" w:after="62" w:afterLines="20" w:lineRule="exact" w:line="400"/>
              <w:ind w:firstLine="0" w:firstLineChars="0"/>
              <w:rPr>
                <w:rFonts w:ascii="楷体" w:cs="Times New Roman" w:eastAsia="楷体" w:hAnsi="楷体" w:hint="eastAsia"/>
                <w:kern w:val="0"/>
              </w:rPr>
            </w:pPr>
            <w:r>
              <w:rPr>
                <w:rFonts w:ascii="楷体" w:cs="Times New Roman" w:eastAsia="楷体" w:hAnsi="楷体"/>
                <w:kern w:val="0"/>
              </w:rPr>
              <w:t>侵入</w:t>
            </w:r>
            <w:r>
              <w:rPr>
                <w:rFonts w:ascii="楷体" w:eastAsia="楷体" w:hAnsi="楷体"/>
                <w:color w:val="ff0000"/>
              </w:rPr>
              <w:t>其它</w:t>
            </w:r>
            <w:r>
              <w:rPr>
                <w:rFonts w:ascii="楷体" w:cs="Times New Roman" w:eastAsia="楷体" w:hAnsi="楷体"/>
                <w:kern w:val="0"/>
              </w:rPr>
              <w:t>计算机信息系统，或获取数据，或非法控制</w:t>
            </w:r>
          </w:p>
        </w:tc>
      </w:tr>
      <w:tr w14:paraId="17EA7F30">
        <w:tblPrEx/>
        <w:trPr>
          <w:cantSplit/>
          <w:jc w:val="center"/>
        </w:trPr>
        <w:tc>
          <w:tcPr>
            <w:tcW w:w="2967" w:type="dxa"/>
            <w:tcBorders/>
            <w:vAlign w:val="center"/>
          </w:tcPr>
          <w:p w14:paraId="34288D64">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中黑简" w:eastAsia="汉仪中黑简"/>
                <w:color w:val="ff0000"/>
              </w:rPr>
              <w:t>提供</w:t>
            </w:r>
            <w:r>
              <w:rPr>
                <w:rFonts w:ascii="汉仪书宋一简" w:cs="Times New Roman" w:eastAsia="汉仪书宋一简" w:hAnsi="Times New Roman"/>
                <w:kern w:val="0"/>
              </w:rPr>
              <w:t>侵入、非法控制计算机信息系统的程序、工具罪</w:t>
            </w:r>
          </w:p>
        </w:tc>
        <w:tc>
          <w:tcPr>
            <w:tcW w:w="1418" w:type="dxa"/>
            <w:tcBorders/>
            <w:vAlign w:val="center"/>
          </w:tcPr>
          <w:p w14:paraId="12C4F77E">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提供程序工具</w:t>
            </w:r>
          </w:p>
        </w:tc>
        <w:tc>
          <w:tcPr>
            <w:tcW w:w="4120" w:type="dxa"/>
            <w:tcBorders/>
            <w:vAlign w:val="center"/>
          </w:tcPr>
          <w:p w14:paraId="29575F29">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楷体" w:cs="Times New Roman" w:eastAsia="楷体" w:hAnsi="楷体"/>
                <w:kern w:val="0"/>
              </w:rPr>
              <w:t>提供专门程序、工具，或者明知他人违法犯罪而提供</w:t>
            </w:r>
            <w:r>
              <w:rPr>
                <w:rFonts w:ascii="汉仪书宋一简" w:cs="Times New Roman" w:eastAsia="汉仪书宋一简" w:hAnsi="Times New Roman" w:hint="eastAsia"/>
                <w:kern w:val="0"/>
              </w:rPr>
              <w:t>（</w:t>
            </w:r>
            <w:r>
              <w:rPr>
                <w:rFonts w:ascii="汉仪书宋一简" w:cs="Times New Roman" w:eastAsia="汉仪书宋一简" w:hAnsi="Times New Roman"/>
                <w:kern w:val="0"/>
              </w:rPr>
              <w:t>帮助行为正犯化</w:t>
            </w:r>
            <w:r>
              <w:rPr>
                <w:rFonts w:ascii="汉仪书宋一简" w:cs="Times New Roman" w:eastAsia="汉仪书宋一简" w:hAnsi="Times New Roman" w:hint="eastAsia"/>
                <w:kern w:val="0"/>
              </w:rPr>
              <w:t>）</w:t>
            </w:r>
          </w:p>
        </w:tc>
      </w:tr>
      <w:tr w14:paraId="551E42A3">
        <w:tblPrEx/>
        <w:trPr>
          <w:cantSplit/>
          <w:jc w:val="center"/>
        </w:trPr>
        <w:tc>
          <w:tcPr>
            <w:tcW w:w="2967" w:type="dxa"/>
            <w:tcBorders/>
            <w:vAlign w:val="center"/>
          </w:tcPr>
          <w:p w14:paraId="1A1E1F5E">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中黑简" w:eastAsia="汉仪中黑简"/>
                <w:color w:val="ff0000"/>
              </w:rPr>
              <w:t>破坏</w:t>
            </w:r>
            <w:r>
              <w:rPr>
                <w:rFonts w:ascii="汉仪书宋一简" w:cs="Times New Roman" w:eastAsia="汉仪书宋一简" w:hAnsi="Times New Roman"/>
                <w:kern w:val="0"/>
              </w:rPr>
              <w:t>计算机信息系统罪</w:t>
            </w:r>
          </w:p>
        </w:tc>
        <w:tc>
          <w:tcPr>
            <w:tcW w:w="1418" w:type="dxa"/>
            <w:tcBorders/>
            <w:vAlign w:val="center"/>
          </w:tcPr>
          <w:p w14:paraId="10A62534">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破坏系统、数据、</w:t>
            </w:r>
            <w:r>
              <w:rPr>
                <w:rFonts w:ascii="汉仪书宋一简" w:cs="Times New Roman" w:eastAsia="汉仪书宋一简" w:hAnsi="Times New Roman"/>
                <w:kern w:val="0"/>
              </w:rPr>
              <w:t>病毒</w:t>
            </w:r>
          </w:p>
        </w:tc>
        <w:tc>
          <w:tcPr>
            <w:tcW w:w="4120" w:type="dxa"/>
            <w:tcBorders/>
            <w:vAlign w:val="center"/>
          </w:tcPr>
          <w:p w14:paraId="50EDFD61">
            <w:pPr>
              <w:pStyle w:val="style0"/>
              <w:snapToGrid w:val="false"/>
              <w:spacing w:before="31" w:beforeLines="10" w:after="62" w:afterLines="20" w:lineRule="exact" w:line="400"/>
              <w:ind w:firstLine="0" w:firstLineChars="0"/>
              <w:rPr>
                <w:rFonts w:ascii="楷体" w:cs="Times New Roman" w:eastAsia="楷体" w:hAnsi="楷体" w:hint="eastAsia"/>
                <w:kern w:val="0"/>
              </w:rPr>
            </w:pPr>
            <w:r>
              <w:rPr>
                <w:rFonts w:ascii="楷体" w:cs="Times New Roman" w:eastAsia="楷体" w:hAnsi="楷体"/>
                <w:kern w:val="0"/>
              </w:rPr>
              <w:t>对系统功能进行删除、修改、增加、干扰，或对数据和应用程序进行删除、修改、增加</w:t>
            </w:r>
          </w:p>
        </w:tc>
      </w:tr>
      <w:tr w14:paraId="78027688">
        <w:tblPrEx/>
        <w:trPr>
          <w:cantSplit/>
          <w:jc w:val="center"/>
        </w:trPr>
        <w:tc>
          <w:tcPr>
            <w:tcW w:w="2967" w:type="dxa"/>
            <w:tcBorders/>
            <w:vAlign w:val="center"/>
          </w:tcPr>
          <w:p w14:paraId="04EF3D3D">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kern w:val="0"/>
              </w:rPr>
              <w:t>拒不履行信息网络安全管理义务罪</w:t>
            </w:r>
          </w:p>
        </w:tc>
        <w:tc>
          <w:tcPr>
            <w:tcW w:w="1418" w:type="dxa"/>
            <w:tcBorders/>
            <w:vAlign w:val="center"/>
          </w:tcPr>
          <w:p w14:paraId="690CEE5A">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kern w:val="0"/>
              </w:rPr>
              <w:t>不作为犯</w:t>
            </w:r>
          </w:p>
        </w:tc>
        <w:tc>
          <w:tcPr>
            <w:tcW w:w="4120" w:type="dxa"/>
            <w:tcBorders/>
            <w:vAlign w:val="center"/>
          </w:tcPr>
          <w:p w14:paraId="3020DE72">
            <w:pPr>
              <w:pStyle w:val="style0"/>
              <w:snapToGrid w:val="false"/>
              <w:spacing w:before="31" w:beforeLines="10" w:after="62" w:afterLines="20" w:lineRule="exact" w:line="400"/>
              <w:ind w:firstLine="0" w:firstLineChars="0"/>
              <w:rPr>
                <w:rFonts w:ascii="楷体" w:cs="Times New Roman" w:eastAsia="楷体" w:hAnsi="楷体" w:hint="eastAsia"/>
                <w:kern w:val="0"/>
              </w:rPr>
            </w:pPr>
            <w:r>
              <w:rPr>
                <w:rFonts w:ascii="楷体" w:cs="Times New Roman" w:eastAsia="楷体" w:hAnsi="楷体"/>
                <w:kern w:val="0"/>
              </w:rPr>
              <w:t>经监管部门通知采取改正措施而拒绝执行</w:t>
            </w:r>
          </w:p>
        </w:tc>
      </w:tr>
      <w:tr w14:paraId="678462A0">
        <w:tblPrEx/>
        <w:trPr>
          <w:cantSplit/>
          <w:jc w:val="center"/>
        </w:trPr>
        <w:tc>
          <w:tcPr>
            <w:tcW w:w="2967" w:type="dxa"/>
            <w:tcBorders/>
            <w:vAlign w:val="center"/>
          </w:tcPr>
          <w:p w14:paraId="118A2550">
            <w:pPr>
              <w:pStyle w:val="style0"/>
              <w:snapToGrid w:val="false"/>
              <w:spacing w:before="31" w:beforeLines="10" w:after="62" w:afterLines="20" w:lineRule="exact" w:line="400"/>
              <w:ind w:firstLine="0" w:firstLineChars="0"/>
              <w:rPr>
                <w:rFonts w:ascii="汉仪中黑简" w:cs="Times New Roman" w:eastAsia="汉仪中黑简" w:hAnsi="Times New Roman"/>
                <w:kern w:val="0"/>
              </w:rPr>
            </w:pPr>
            <w:r>
              <w:rPr>
                <w:rFonts w:ascii="汉仪中黑简" w:eastAsia="汉仪中黑简" w:hint="eastAsia"/>
                <w:color w:val="ff0000"/>
              </w:rPr>
              <w:t>★</w:t>
            </w:r>
            <w:r>
              <w:rPr>
                <w:rFonts w:ascii="汉仪中黑简" w:cs="Times New Roman" w:eastAsia="汉仪中黑简" w:hAnsi="Times New Roman" w:hint="eastAsia"/>
                <w:kern w:val="0"/>
              </w:rPr>
              <w:t>非法</w:t>
            </w:r>
            <w:r>
              <w:rPr>
                <w:rFonts w:ascii="汉仪中黑简" w:eastAsia="汉仪中黑简" w:hint="eastAsia"/>
                <w:color w:val="ff0000"/>
              </w:rPr>
              <w:t>利用</w:t>
            </w:r>
            <w:r>
              <w:rPr>
                <w:rFonts w:ascii="汉仪中黑简" w:cs="Times New Roman" w:eastAsia="汉仪中黑简" w:hAnsi="Times New Roman" w:hint="eastAsia"/>
                <w:kern w:val="0"/>
              </w:rPr>
              <w:t>信息网络罪</w:t>
            </w:r>
          </w:p>
        </w:tc>
        <w:tc>
          <w:tcPr>
            <w:tcW w:w="1418" w:type="dxa"/>
            <w:tcBorders/>
            <w:vAlign w:val="center"/>
          </w:tcPr>
          <w:p w14:paraId="7BC622BC">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kern w:val="0"/>
              </w:rPr>
              <w:t>设立网组</w:t>
            </w:r>
            <w:r>
              <w:rPr>
                <w:rFonts w:ascii="汉仪书宋一简" w:cs="Times New Roman" w:eastAsia="汉仪书宋一简" w:hAnsi="Times New Roman" w:hint="eastAsia"/>
                <w:kern w:val="0"/>
              </w:rPr>
              <w:t>、发布信息</w:t>
            </w:r>
          </w:p>
        </w:tc>
        <w:tc>
          <w:tcPr>
            <w:tcW w:w="4120" w:type="dxa"/>
            <w:tcBorders/>
            <w:vAlign w:val="center"/>
          </w:tcPr>
          <w:p w14:paraId="7B2F7ABB">
            <w:pPr>
              <w:pStyle w:val="style0"/>
              <w:snapToGrid w:val="false"/>
              <w:spacing w:before="31" w:beforeLines="10" w:after="62" w:afterLines="20" w:lineRule="exact" w:line="400"/>
              <w:ind w:firstLine="0" w:firstLineChars="0"/>
              <w:rPr>
                <w:rFonts w:ascii="楷体" w:cs="Times New Roman" w:eastAsia="楷体" w:hAnsi="楷体" w:hint="eastAsia"/>
                <w:kern w:val="0"/>
              </w:rPr>
            </w:pPr>
            <w:r>
              <w:rPr>
                <w:rFonts w:ascii="楷体" w:cs="Times New Roman" w:eastAsia="楷体" w:hAnsi="楷体"/>
                <w:kern w:val="0"/>
              </w:rPr>
              <w:t>设立用于违法犯罪活动</w:t>
            </w:r>
            <w:r>
              <w:rPr>
                <w:rFonts w:ascii="楷体" w:cs="Times New Roman" w:eastAsia="楷体" w:hAnsi="楷体" w:hint="eastAsia"/>
                <w:kern w:val="0"/>
              </w:rPr>
              <w:t>（刑法分则规定的行为类型）</w:t>
            </w:r>
            <w:r>
              <w:rPr>
                <w:rFonts w:ascii="楷体" w:cs="Times New Roman" w:eastAsia="楷体" w:hAnsi="楷体"/>
                <w:kern w:val="0"/>
              </w:rPr>
              <w:t>的网站、通讯群组的；发布信息</w:t>
            </w:r>
            <w:r>
              <w:rPr>
                <w:rFonts w:ascii="楷体" w:cs="Times New Roman" w:eastAsia="楷体" w:hAnsi="楷体" w:hint="eastAsia"/>
                <w:kern w:val="0"/>
              </w:rPr>
              <w:t>（包括提供链接、截屏、二维码、访问账号密码及其他指引访问服务）</w:t>
            </w:r>
          </w:p>
        </w:tc>
      </w:tr>
      <w:tr w14:paraId="63F87022">
        <w:tblPrEx/>
        <w:trPr>
          <w:cantSplit/>
          <w:trHeight w:val="530" w:hRule="atLeast"/>
          <w:jc w:val="center"/>
        </w:trPr>
        <w:tc>
          <w:tcPr>
            <w:tcW w:w="2967" w:type="dxa"/>
            <w:tcBorders/>
            <w:vAlign w:val="center"/>
          </w:tcPr>
          <w:p w14:paraId="5CC8765B">
            <w:pPr>
              <w:pStyle w:val="style0"/>
              <w:snapToGrid w:val="false"/>
              <w:spacing w:before="31" w:beforeLines="10" w:after="62" w:afterLines="20" w:lineRule="exact" w:line="400"/>
              <w:ind w:firstLine="0" w:firstLineChars="0"/>
              <w:rPr>
                <w:rFonts w:ascii="汉仪中黑简" w:cs="Times New Roman" w:eastAsia="汉仪中黑简" w:hAnsi="Times New Roman"/>
                <w:kern w:val="0"/>
              </w:rPr>
            </w:pPr>
            <w:r>
              <w:rPr>
                <w:rFonts w:ascii="汉仪中黑简" w:eastAsia="汉仪中黑简" w:hint="eastAsia"/>
                <w:color w:val="ff0000"/>
              </w:rPr>
              <w:t>★帮助</w:t>
            </w:r>
            <w:r>
              <w:rPr>
                <w:rFonts w:ascii="汉仪中黑简" w:cs="Times New Roman" w:eastAsia="汉仪中黑简" w:hAnsi="Times New Roman" w:hint="eastAsia"/>
                <w:kern w:val="0"/>
              </w:rPr>
              <w:t>信息网络犯罪活动罪</w:t>
            </w:r>
          </w:p>
        </w:tc>
        <w:tc>
          <w:tcPr>
            <w:tcW w:w="1418" w:type="dxa"/>
            <w:tcBorders/>
            <w:vAlign w:val="center"/>
          </w:tcPr>
          <w:p w14:paraId="11715FEC">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汉仪书宋一简" w:cs="Times New Roman" w:eastAsia="汉仪书宋一简" w:hAnsi="Times New Roman" w:hint="eastAsia"/>
                <w:kern w:val="0"/>
              </w:rPr>
              <w:t>提供帮助</w:t>
            </w:r>
          </w:p>
        </w:tc>
        <w:tc>
          <w:tcPr>
            <w:tcW w:w="4120" w:type="dxa"/>
            <w:tcBorders/>
            <w:vAlign w:val="center"/>
          </w:tcPr>
          <w:p w14:paraId="45799290">
            <w:pPr>
              <w:pStyle w:val="style0"/>
              <w:snapToGrid w:val="false"/>
              <w:spacing w:before="31" w:beforeLines="10" w:after="62" w:afterLines="20" w:lineRule="exact" w:line="400"/>
              <w:ind w:firstLine="0" w:firstLineChars="0"/>
              <w:rPr>
                <w:rFonts w:ascii="汉仪书宋一简" w:cs="Times New Roman" w:eastAsia="汉仪书宋一简" w:hAnsi="Times New Roman"/>
                <w:kern w:val="0"/>
              </w:rPr>
            </w:pPr>
            <w:r>
              <w:rPr>
                <w:rFonts w:ascii="楷体" w:cs="Times New Roman" w:eastAsia="楷体" w:hAnsi="楷体"/>
                <w:kern w:val="0"/>
              </w:rPr>
              <w:t>为信息网络犯罪提供互联网接入等技术支持，或提供广告推广、支付结算等帮助</w:t>
            </w:r>
            <w:r>
              <w:rPr>
                <w:rFonts w:ascii="汉仪书宋一简" w:cs="Times New Roman" w:eastAsia="汉仪书宋一简" w:hAnsi="Times New Roman" w:hint="eastAsia"/>
                <w:kern w:val="0"/>
              </w:rPr>
              <w:t>（</w:t>
            </w:r>
            <w:r>
              <w:rPr>
                <w:rFonts w:ascii="汉仪书宋一简" w:cs="Times New Roman" w:eastAsia="汉仪书宋一简" w:hAnsi="Times New Roman"/>
                <w:kern w:val="0"/>
              </w:rPr>
              <w:t>帮助行为正犯化</w:t>
            </w:r>
            <w:r>
              <w:rPr>
                <w:rFonts w:ascii="汉仪书宋一简" w:cs="Times New Roman" w:eastAsia="汉仪书宋一简" w:hAnsi="Times New Roman" w:hint="eastAsia"/>
                <w:kern w:val="0"/>
              </w:rPr>
              <w:t>）</w:t>
            </w:r>
          </w:p>
        </w:tc>
      </w:tr>
      <w:tr w14:paraId="632586AA">
        <w:tblPrEx/>
        <w:trPr>
          <w:cantSplit/>
          <w:trHeight w:val="530" w:hRule="atLeast"/>
          <w:jc w:val="center"/>
        </w:trPr>
        <w:tc>
          <w:tcPr>
            <w:tcW w:w="8505" w:type="dxa"/>
            <w:gridSpan w:val="3"/>
            <w:tcBorders/>
            <w:vAlign w:val="center"/>
          </w:tcPr>
          <w:p w14:paraId="4CF2AFAD">
            <w:pPr>
              <w:pStyle w:val="style0"/>
              <w:snapToGrid w:val="false"/>
              <w:spacing w:before="31" w:beforeLines="10" w:after="62" w:afterLines="20" w:lineRule="exact" w:line="400"/>
              <w:ind w:firstLine="0" w:firstLineChars="0"/>
              <w:rPr>
                <w:rFonts w:ascii="汉仪中黑简" w:cs="Times New Roman" w:eastAsia="汉仪中黑简" w:hAnsi="Times New Roman"/>
                <w:kern w:val="0"/>
              </w:rPr>
            </w:pPr>
            <w:r>
              <w:rPr>
                <w:rFonts w:ascii="汉仪中黑简" w:cs="Times New Roman" w:eastAsia="汉仪中黑简" w:hAnsi="Times New Roman" w:hint="eastAsia"/>
                <w:kern w:val="0"/>
              </w:rPr>
              <w:t>罪数：1．网络手段（侵入、获取、控制、破坏…罪）、目的行为，以目的行为论。</w:t>
            </w:r>
          </w:p>
          <w:p w14:paraId="154A6C32">
            <w:pPr>
              <w:pStyle w:val="style0"/>
              <w:snapToGrid w:val="false"/>
              <w:spacing w:before="31" w:beforeLines="10" w:after="62" w:afterLines="20" w:lineRule="exact" w:line="400"/>
              <w:ind w:firstLine="0" w:firstLineChars="0"/>
              <w:rPr>
                <w:rFonts w:ascii="汉仪中黑简" w:cs="Times New Roman" w:eastAsia="汉仪中黑简" w:hAnsi="Times New Roman"/>
                <w:kern w:val="0"/>
              </w:rPr>
            </w:pPr>
            <w:r>
              <w:rPr>
                <w:rFonts w:ascii="汉仪中黑简" w:cs="Times New Roman" w:eastAsia="汉仪中黑简" w:hAnsi="Times New Roman" w:hint="eastAsia"/>
                <w:kern w:val="0"/>
              </w:rPr>
              <w:t>2．想象竞合（利用、帮助…罪），择一重处。</w:t>
            </w:r>
          </w:p>
        </w:tc>
      </w:tr>
    </w:tbl>
    <w:p w14:paraId="31AC130E">
      <w:pPr>
        <w:pStyle w:val="style0"/>
        <w:spacing w:lineRule="exact" w:line="400"/>
        <w:ind w:firstLine="420"/>
        <w:rPr>
          <w:rFonts w:ascii="汉仪书宋二简" w:cs="汉仪书宋二简" w:hAnsi="汉仪书宋二简" w:hint="eastAsia"/>
          <w:kern w:val="0"/>
        </w:rPr>
      </w:pPr>
    </w:p>
    <w:p w14:paraId="3163DE1F">
      <w:pPr>
        <w:pStyle w:val="style0"/>
        <w:spacing w:lineRule="exact" w:line="400"/>
        <w:ind w:firstLine="0" w:firstLineChars="0"/>
        <w:jc w:val="center"/>
        <w:rPr>
          <w:rFonts w:ascii="汉仪中黑简" w:cs="汉仪书宋二简" w:eastAsia="汉仪中黑简" w:hAnsi="汉仪书宋二简" w:hint="eastAsia"/>
          <w:color w:val="ff0000"/>
          <w:kern w:val="0"/>
        </w:rPr>
      </w:pPr>
      <w:r>
        <w:rPr>
          <w:rFonts w:ascii="汉仪中黑简" w:cs="汉仪书宋二简" w:eastAsia="汉仪中黑简" w:hAnsi="汉仪书宋二简" w:hint="eastAsia"/>
          <w:color w:val="ff0000"/>
          <w:kern w:val="0"/>
        </w:rPr>
        <w:t>《最高人民法院、最高人民检察院、公安部关于办理电信网络诈骗等刑事案件适用法律</w:t>
      </w:r>
    </w:p>
    <w:p w14:paraId="5F4D2387">
      <w:pPr>
        <w:pStyle w:val="style0"/>
        <w:spacing w:lineRule="exact" w:line="400"/>
        <w:ind w:firstLine="0" w:firstLineChars="0"/>
        <w:jc w:val="center"/>
        <w:rPr>
          <w:rFonts w:ascii="汉仪中黑简" w:cs="汉仪书宋二简" w:eastAsia="汉仪中黑简" w:hAnsi="汉仪书宋二简" w:hint="eastAsia"/>
          <w:color w:val="ff0000"/>
          <w:kern w:val="0"/>
        </w:rPr>
      </w:pPr>
      <w:r>
        <w:rPr>
          <w:rFonts w:ascii="汉仪中黑简" w:cs="汉仪书宋二简" w:eastAsia="汉仪中黑简" w:hAnsi="汉仪书宋二简" w:hint="eastAsia"/>
          <w:color w:val="ff0000"/>
          <w:kern w:val="0"/>
        </w:rPr>
        <w:t>若干问题的意见（二）》）（法发〔2021〕22号）</w:t>
      </w:r>
    </w:p>
    <w:p w14:paraId="2D58CAD6">
      <w:pPr>
        <w:pStyle w:val="style0"/>
        <w:spacing w:lineRule="exact" w:line="400"/>
        <w:ind w:firstLine="420"/>
        <w:rPr>
          <w:rFonts w:ascii="楷体" w:cs="Times New Roman" w:eastAsia="楷体" w:hAnsi="楷体" w:hint="eastAsia"/>
        </w:rPr>
      </w:pPr>
      <w:r>
        <w:rPr>
          <w:rFonts w:ascii="楷体" w:cs="Times New Roman" w:eastAsia="楷体" w:hAnsi="楷体" w:hint="eastAsia"/>
        </w:rPr>
        <w:t>七、为他人利用信息网络实施犯罪而实施下列行为，可以认定为刑法第二百八十七条之二规定的“帮助”行为：</w:t>
      </w:r>
    </w:p>
    <w:p w14:paraId="426A3096">
      <w:pPr>
        <w:pStyle w:val="style0"/>
        <w:spacing w:lineRule="exact" w:line="400"/>
        <w:ind w:firstLine="420"/>
        <w:rPr>
          <w:rFonts w:ascii="楷体" w:cs="Times New Roman" w:eastAsia="楷体" w:hAnsi="楷体" w:hint="eastAsia"/>
        </w:rPr>
      </w:pPr>
      <w:r>
        <w:rPr>
          <w:rFonts w:ascii="楷体" w:cs="Times New Roman" w:eastAsia="楷体" w:hAnsi="楷体" w:hint="eastAsia"/>
        </w:rPr>
        <w:t>（一）收购、出售、出租信用卡、银行账户、非银行支付账户、具有支付结算功能的互联网账号密码、网络支付接口、网上银行数字证书的；</w:t>
      </w:r>
    </w:p>
    <w:p w14:paraId="7ED6B0D9">
      <w:pPr>
        <w:pStyle w:val="style0"/>
        <w:adjustRightInd w:val="false"/>
        <w:spacing w:lineRule="exact" w:line="400"/>
        <w:ind w:firstLine="420"/>
        <w:rPr>
          <w:rFonts w:ascii="楷体" w:cs="Times New Roman" w:eastAsia="楷体" w:hAnsi="楷体" w:hint="eastAsia"/>
        </w:rPr>
      </w:pPr>
      <w:r>
        <w:rPr>
          <w:rFonts w:ascii="楷体" w:cs="Times New Roman" w:eastAsia="楷体" w:hAnsi="楷体" w:hint="eastAsia"/>
        </w:rPr>
        <w:t>（二）收购、出售、出租他人手机卡、流量卡、物联网卡的。</w:t>
      </w:r>
    </w:p>
    <w:p w14:paraId="0D4B642E">
      <w:pPr>
        <w:pStyle w:val="style0"/>
        <w:spacing w:lineRule="exact" w:line="400"/>
        <w:ind w:firstLine="0" w:firstLineChars="0"/>
        <w:rPr>
          <w:rFonts w:ascii="Calibri Light" w:cs="Times New Roman" w:eastAsia="汉仪大黑简" w:hAnsi="Calibri Light"/>
          <w:bCs/>
        </w:rPr>
      </w:pPr>
    </w:p>
    <w:p w14:paraId="204EE931">
      <w:pPr>
        <w:pStyle w:val="style0"/>
        <w:spacing w:lineRule="exact" w:line="400"/>
        <w:ind w:firstLine="0" w:firstLineChars="0"/>
        <w:rPr>
          <w:rFonts w:ascii="汉仪书宋二简" w:cs="汉仪书宋二简" w:hAnsi="汉仪书宋二简" w:hint="eastAsia"/>
          <w:kern w:val="0"/>
        </w:rPr>
      </w:pPr>
    </w:p>
    <w:bookmarkStart w:id="9" w:name="_Toc188371398"/>
    <w:p w14:paraId="0E54C449">
      <w:pPr>
        <w:pStyle w:val="style1"/>
        <w:spacing w:before="0" w:lineRule="exact" w:line="400"/>
        <w:rPr>
          <w:rFonts w:hint="eastAsia"/>
          <w:b/>
          <w:bCs w:val="false"/>
          <w:color w:val="auto"/>
          <w:sz w:val="21"/>
          <w:szCs w:val="21"/>
        </w:rPr>
      </w:pPr>
      <w:r>
        <w:rPr>
          <w:rFonts w:hint="eastAsia"/>
          <w:b/>
          <w:bCs w:val="false"/>
          <w:color w:val="auto"/>
          <w:sz w:val="21"/>
          <w:szCs w:val="21"/>
        </w:rPr>
        <w:t>考点38</w:t>
      </w:r>
      <w:r>
        <w:rPr>
          <w:b/>
          <w:bCs w:val="false"/>
          <w:color w:val="auto"/>
          <w:sz w:val="21"/>
          <w:szCs w:val="21"/>
        </w:rPr>
        <w:t xml:space="preserve">  </w:t>
      </w:r>
      <w:r>
        <w:rPr>
          <w:rFonts w:hint="eastAsia"/>
          <w:b/>
          <w:bCs w:val="false"/>
          <w:color w:val="auto"/>
          <w:sz w:val="21"/>
          <w:szCs w:val="21"/>
        </w:rPr>
        <w:t>妨害司法犯罪</w:t>
      </w:r>
      <w:bookmarkEnd w:id="9"/>
    </w:p>
    <w:p w14:paraId="64FAE2EF">
      <w:pPr>
        <w:pStyle w:val="style0"/>
        <w:spacing w:lineRule="exact" w:line="400"/>
        <w:ind w:firstLine="420"/>
        <w:jc w:val="left"/>
        <w:rPr>
          <w:rFonts w:ascii="汉仪书宋二简" w:cs="汉仪书宋二简" w:hAnsi="汉仪书宋二简" w:hint="eastAsia"/>
          <w:kern w:val="0"/>
        </w:rPr>
      </w:pPr>
    </w:p>
    <w:bookmarkStart w:id="10" w:name="_Hlk514713850"/>
    <w:p w14:paraId="07E0D06E">
      <w:pPr>
        <w:pStyle w:val="style0"/>
        <w:snapToGrid w:val="false"/>
        <w:spacing w:lineRule="exact" w:line="400"/>
        <w:ind w:firstLine="420"/>
        <w:rPr>
          <w:rFonts w:ascii="Calibri" w:cs="Times New Roman" w:hAnsi="Calibri"/>
        </w:rPr>
      </w:pPr>
      <w:r>
        <w:rPr>
          <w:rFonts w:eastAsia="汉仪中黑简" w:hint="eastAsia"/>
          <w:color w:val="ff0000"/>
        </w:rPr>
        <w:t>注意：</w:t>
      </w:r>
      <w:bookmarkEnd w:id="10"/>
      <w:r>
        <w:rPr>
          <w:rFonts w:ascii="Calibri" w:cs="Times New Roman" w:eastAsia="汉仪中黑简" w:hAnsi="Calibri" w:hint="eastAsia"/>
          <w:color w:val="ff0000"/>
        </w:rPr>
        <w:t>本犯为本人犯罪、教唆他人为本人犯罪，共同犯罪人为同案犯共同犯罪而实施妨害司法行为，因欠缺期待可能而阻却责任。</w:t>
      </w:r>
      <w:r>
        <w:rPr>
          <w:rFonts w:ascii="Calibri" w:cs="Times New Roman" w:eastAsia="汉仪中黑简" w:hAnsi="Calibri" w:hint="eastAsia"/>
          <w:color w:val="ff0000"/>
        </w:rPr>
        <w:t>（存在责任阻却事由）</w:t>
      </w:r>
    </w:p>
    <w:p w14:paraId="56A8CB20">
      <w:pPr>
        <w:pStyle w:val="style0"/>
        <w:spacing w:lineRule="exact" w:line="400"/>
        <w:ind w:firstLine="420"/>
        <w:jc w:val="left"/>
        <w:rPr>
          <w:rFonts w:ascii="汉仪书宋二简" w:cs="汉仪书宋二简" w:hAnsi="汉仪书宋二简" w:hint="eastAsia"/>
          <w:kern w:val="0"/>
        </w:rPr>
      </w:pPr>
    </w:p>
    <w:p w14:paraId="24856930">
      <w:pPr>
        <w:pStyle w:val="style3"/>
        <w:spacing w:lineRule="exact" w:line="400"/>
        <w:rPr>
          <w:rFonts w:hint="eastAsia"/>
          <w:sz w:val="21"/>
        </w:rPr>
      </w:pPr>
      <w:r>
        <w:rPr>
          <w:rFonts w:hint="eastAsia"/>
          <w:sz w:val="21"/>
        </w:rPr>
        <w:t>一、妨害证据类犯罪：伪证罪；妨害作证罪；帮助毁灭、伪造证据罪；虚假诉讼罪</w:t>
      </w:r>
    </w:p>
    <w:p w14:paraId="2D2112C2">
      <w:pPr>
        <w:pStyle w:val="style0"/>
        <w:snapToGrid w:val="false"/>
        <w:spacing w:lineRule="exact" w:line="400"/>
        <w:ind w:firstLine="420"/>
        <w:rPr>
          <w:rFonts w:ascii="Calibri" w:cs="Times New Roman" w:hAnsi="Calibri"/>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581"/>
        <w:gridCol w:w="1148"/>
        <w:gridCol w:w="1647"/>
        <w:gridCol w:w="2445"/>
        <w:gridCol w:w="1684"/>
      </w:tblGrid>
      <w:tr w14:paraId="22CA8642">
        <w:trPr>
          <w:jc w:val="center"/>
        </w:trPr>
        <w:tc>
          <w:tcPr>
            <w:tcW w:w="1581" w:type="dxa"/>
            <w:tcBorders/>
            <w:vAlign w:val="center"/>
          </w:tcPr>
          <w:p w14:paraId="68D9586B">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罪名</w:t>
            </w:r>
          </w:p>
        </w:tc>
        <w:tc>
          <w:tcPr>
            <w:tcW w:w="1148" w:type="dxa"/>
            <w:tcBorders/>
            <w:vAlign w:val="center"/>
          </w:tcPr>
          <w:p w14:paraId="7521E6B2">
            <w:pPr>
              <w:pStyle w:val="style0"/>
              <w:snapToGrid w:val="false"/>
              <w:spacing w:before="31" w:beforeLines="10" w:after="62" w:afterLines="20" w:lineRule="exact" w:line="400"/>
              <w:ind w:firstLine="0" w:firstLineChars="0"/>
              <w:jc w:val="center"/>
              <w:rPr>
                <w:rFonts w:ascii="汉仪书宋一简" w:eastAsia="汉仪书宋一简" w:hint="eastAsia"/>
              </w:rPr>
            </w:pPr>
            <w:r>
              <w:rPr>
                <w:rFonts w:ascii="汉仪书宋一简" w:eastAsia="汉仪书宋一简" w:hint="eastAsia"/>
              </w:rPr>
              <w:t>适用类型</w:t>
            </w:r>
          </w:p>
        </w:tc>
        <w:tc>
          <w:tcPr>
            <w:tcW w:w="1647" w:type="dxa"/>
            <w:tcBorders/>
            <w:vAlign w:val="center"/>
          </w:tcPr>
          <w:p w14:paraId="309C3519">
            <w:pPr>
              <w:pStyle w:val="style0"/>
              <w:snapToGrid w:val="false"/>
              <w:spacing w:before="31" w:beforeLines="10" w:after="62" w:afterLines="20" w:lineRule="exact" w:line="400"/>
              <w:ind w:firstLine="0" w:firstLineChars="0"/>
              <w:jc w:val="center"/>
              <w:rPr>
                <w:rFonts w:ascii="汉仪书宋一简" w:eastAsia="汉仪书宋一简" w:hint="eastAsia"/>
              </w:rPr>
            </w:pPr>
            <w:r>
              <w:rPr>
                <w:rFonts w:ascii="汉仪书宋一简" w:eastAsia="汉仪书宋一简" w:hint="eastAsia"/>
              </w:rPr>
              <w:t>主体</w:t>
            </w:r>
          </w:p>
        </w:tc>
        <w:tc>
          <w:tcPr>
            <w:tcW w:w="2445" w:type="dxa"/>
            <w:tcBorders/>
            <w:vAlign w:val="center"/>
          </w:tcPr>
          <w:p w14:paraId="73ADD26D">
            <w:pPr>
              <w:pStyle w:val="style0"/>
              <w:snapToGrid w:val="false"/>
              <w:spacing w:before="31" w:beforeLines="10" w:after="62" w:afterLines="20" w:lineRule="exact" w:line="400"/>
              <w:ind w:firstLine="0" w:firstLineChars="0"/>
              <w:jc w:val="center"/>
              <w:rPr>
                <w:rFonts w:ascii="汉仪书宋一简" w:eastAsia="汉仪书宋一简" w:hint="eastAsia"/>
              </w:rPr>
            </w:pPr>
            <w:r>
              <w:rPr>
                <w:rFonts w:ascii="汉仪书宋一简" w:eastAsia="汉仪书宋一简" w:hint="eastAsia"/>
              </w:rPr>
              <w:t>行为方式</w:t>
            </w:r>
          </w:p>
        </w:tc>
        <w:tc>
          <w:tcPr>
            <w:tcW w:w="1684" w:type="dxa"/>
            <w:tcBorders/>
            <w:vAlign w:val="center"/>
          </w:tcPr>
          <w:p w14:paraId="6E6E9156">
            <w:pPr>
              <w:pStyle w:val="style0"/>
              <w:snapToGrid w:val="false"/>
              <w:spacing w:before="31" w:beforeLines="10" w:after="62" w:afterLines="20" w:lineRule="exact" w:line="400"/>
              <w:ind w:firstLine="0" w:firstLineChars="0"/>
              <w:jc w:val="center"/>
              <w:rPr>
                <w:rFonts w:ascii="汉仪书宋一简" w:eastAsia="汉仪书宋一简" w:hint="eastAsia"/>
              </w:rPr>
            </w:pPr>
            <w:r>
              <w:rPr>
                <w:rFonts w:ascii="汉仪书宋一简" w:eastAsia="汉仪书宋一简" w:hint="eastAsia"/>
              </w:rPr>
              <w:t>对象</w:t>
            </w:r>
          </w:p>
        </w:tc>
      </w:tr>
      <w:tr w14:paraId="6F91F15A">
        <w:tblPrEx/>
        <w:trPr>
          <w:jc w:val="center"/>
        </w:trPr>
        <w:tc>
          <w:tcPr>
            <w:tcW w:w="1581" w:type="dxa"/>
            <w:tcBorders/>
            <w:vAlign w:val="center"/>
          </w:tcPr>
          <w:p w14:paraId="4E8D48C0">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伪证罪</w:t>
            </w:r>
          </w:p>
        </w:tc>
        <w:tc>
          <w:tcPr>
            <w:tcW w:w="1148" w:type="dxa"/>
            <w:tcBorders/>
            <w:vAlign w:val="center"/>
          </w:tcPr>
          <w:p w14:paraId="1D2CBF2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刑事诉讼</w:t>
            </w:r>
          </w:p>
        </w:tc>
        <w:tc>
          <w:tcPr>
            <w:tcW w:w="1647" w:type="dxa"/>
            <w:tcBorders/>
            <w:vAlign w:val="center"/>
          </w:tcPr>
          <w:p w14:paraId="58ACEC2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证人，鉴定人，记录人，翻译人</w:t>
            </w:r>
          </w:p>
        </w:tc>
        <w:tc>
          <w:tcPr>
            <w:tcW w:w="2445" w:type="dxa"/>
            <w:tcBorders/>
            <w:vAlign w:val="center"/>
          </w:tcPr>
          <w:p w14:paraId="7CEBFFC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作虚假证明、鉴定、记录、翻译</w:t>
            </w:r>
          </w:p>
        </w:tc>
        <w:tc>
          <w:tcPr>
            <w:tcW w:w="1684" w:type="dxa"/>
            <w:tcBorders/>
            <w:vAlign w:val="center"/>
          </w:tcPr>
          <w:p w14:paraId="04C0B2A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证明、鉴定、记录、翻译</w:t>
            </w:r>
          </w:p>
        </w:tc>
      </w:tr>
      <w:tr w14:paraId="3FCAD2B5">
        <w:tblPrEx/>
        <w:trPr>
          <w:jc w:val="center"/>
        </w:trPr>
        <w:tc>
          <w:tcPr>
            <w:tcW w:w="1581" w:type="dxa"/>
            <w:tcBorders/>
            <w:vAlign w:val="center"/>
          </w:tcPr>
          <w:p w14:paraId="4CE4F73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辩护人、诉讼代理人毁灭证据、伪造证据、妨害作证罪</w:t>
            </w:r>
          </w:p>
        </w:tc>
        <w:tc>
          <w:tcPr>
            <w:tcW w:w="1148" w:type="dxa"/>
            <w:tcBorders/>
            <w:vAlign w:val="center"/>
          </w:tcPr>
          <w:p w14:paraId="06EDCE95">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刑事诉讼</w:t>
            </w:r>
          </w:p>
        </w:tc>
        <w:tc>
          <w:tcPr>
            <w:tcW w:w="1647" w:type="dxa"/>
            <w:tcBorders/>
            <w:vAlign w:val="center"/>
          </w:tcPr>
          <w:p w14:paraId="6C1AE16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辩护人、诉讼代理人</w:t>
            </w:r>
          </w:p>
        </w:tc>
        <w:tc>
          <w:tcPr>
            <w:tcW w:w="2445" w:type="dxa"/>
            <w:tcBorders/>
            <w:vAlign w:val="center"/>
          </w:tcPr>
          <w:p w14:paraId="5E46EE6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（1）毁灭、伪造证据</w:t>
            </w:r>
          </w:p>
          <w:p w14:paraId="6234131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（2）帮助毁灭、伪造证据</w:t>
            </w:r>
          </w:p>
          <w:p w14:paraId="02CC81D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（3）威胁、引诱证人违背事实改变证言作伪证的</w:t>
            </w:r>
          </w:p>
        </w:tc>
        <w:tc>
          <w:tcPr>
            <w:tcW w:w="1684" w:type="dxa"/>
            <w:tcBorders/>
            <w:vAlign w:val="center"/>
          </w:tcPr>
          <w:p w14:paraId="7A9DE8F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实体证据</w:t>
            </w:r>
          </w:p>
          <w:p w14:paraId="16FE95F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言辞证据</w:t>
            </w:r>
          </w:p>
        </w:tc>
      </w:tr>
      <w:tr w14:paraId="250B9A5E">
        <w:tblPrEx/>
        <w:trPr>
          <w:jc w:val="center"/>
        </w:trPr>
        <w:tc>
          <w:tcPr>
            <w:tcW w:w="1581" w:type="dxa"/>
            <w:tcBorders/>
            <w:vAlign w:val="center"/>
          </w:tcPr>
          <w:p w14:paraId="63023E45">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妨害作证罪</w:t>
            </w:r>
          </w:p>
        </w:tc>
        <w:tc>
          <w:tcPr>
            <w:tcW w:w="1148" w:type="dxa"/>
            <w:tcBorders/>
            <w:vAlign w:val="center"/>
          </w:tcPr>
          <w:p w14:paraId="681BD91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各类诉讼</w:t>
            </w:r>
          </w:p>
        </w:tc>
        <w:tc>
          <w:tcPr>
            <w:tcW w:w="1647" w:type="dxa"/>
            <w:tcBorders/>
            <w:vAlign w:val="center"/>
          </w:tcPr>
          <w:p w14:paraId="0F6378F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一般主体</w:t>
            </w:r>
          </w:p>
        </w:tc>
        <w:tc>
          <w:tcPr>
            <w:tcW w:w="2445" w:type="dxa"/>
            <w:tcBorders/>
            <w:vAlign w:val="center"/>
          </w:tcPr>
          <w:p w14:paraId="76250F2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阻止证人作证，指使他人作伪证</w:t>
            </w:r>
          </w:p>
        </w:tc>
        <w:tc>
          <w:tcPr>
            <w:tcW w:w="1684" w:type="dxa"/>
            <w:tcBorders/>
            <w:vAlign w:val="center"/>
          </w:tcPr>
          <w:p w14:paraId="06C3EA9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言辞证据</w:t>
            </w:r>
          </w:p>
        </w:tc>
      </w:tr>
      <w:tr w14:paraId="23D612CC">
        <w:tblPrEx/>
        <w:trPr>
          <w:jc w:val="center"/>
        </w:trPr>
        <w:tc>
          <w:tcPr>
            <w:tcW w:w="1581" w:type="dxa"/>
            <w:tcBorders/>
            <w:vAlign w:val="center"/>
          </w:tcPr>
          <w:p w14:paraId="492DD71F">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帮助毁灭、伪造证据罪</w:t>
            </w:r>
          </w:p>
        </w:tc>
        <w:tc>
          <w:tcPr>
            <w:tcW w:w="1148" w:type="dxa"/>
            <w:tcBorders/>
            <w:vAlign w:val="center"/>
          </w:tcPr>
          <w:p w14:paraId="7EA2AB55">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各类诉讼</w:t>
            </w:r>
          </w:p>
        </w:tc>
        <w:tc>
          <w:tcPr>
            <w:tcW w:w="1647" w:type="dxa"/>
            <w:tcBorders/>
            <w:vAlign w:val="center"/>
          </w:tcPr>
          <w:p w14:paraId="4193CB5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一般主体</w:t>
            </w:r>
          </w:p>
        </w:tc>
        <w:tc>
          <w:tcPr>
            <w:tcW w:w="2445" w:type="dxa"/>
            <w:tcBorders/>
            <w:vAlign w:val="center"/>
          </w:tcPr>
          <w:p w14:paraId="5DEDE02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帮助毁灭、伪造证据</w:t>
            </w:r>
          </w:p>
        </w:tc>
        <w:tc>
          <w:tcPr>
            <w:tcW w:w="1684" w:type="dxa"/>
            <w:tcBorders/>
            <w:vAlign w:val="center"/>
          </w:tcPr>
          <w:p w14:paraId="09BC9CB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实体证据</w:t>
            </w:r>
          </w:p>
        </w:tc>
      </w:tr>
    </w:tbl>
    <w:p w14:paraId="669BD38E">
      <w:pPr>
        <w:pStyle w:val="style0"/>
        <w:snapToGrid w:val="false"/>
        <w:spacing w:lineRule="exact" w:line="400"/>
        <w:ind w:firstLine="0" w:firstLineChars="0"/>
        <w:rPr>
          <w:rFonts w:ascii="汉仪中黑简" w:eastAsia="汉仪中黑简" w:hint="eastAsia"/>
        </w:rPr>
      </w:pPr>
    </w:p>
    <w:p w14:paraId="030FD850">
      <w:pPr>
        <w:pStyle w:val="style4"/>
        <w:spacing w:lineRule="exact" w:line="400"/>
        <w:ind w:firstLine="42" w:firstLineChars="20"/>
        <w:rPr>
          <w:sz w:val="21"/>
          <w:szCs w:val="21"/>
        </w:rPr>
      </w:pPr>
      <w:r>
        <w:rPr>
          <w:rFonts w:hint="eastAsia"/>
          <w:sz w:val="21"/>
          <w:szCs w:val="21"/>
        </w:rPr>
        <w:t>（一）伪证罪：刑事诉讼中，证人、鉴定人、记录人、翻译人</w:t>
      </w:r>
    </w:p>
    <w:p w14:paraId="11EA33DB">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第305条【伪证罪】 </w:t>
      </w:r>
      <w:r>
        <w:rPr>
          <w:rFonts w:ascii="楷体" w:cs="Times New Roman" w:eastAsia="楷体" w:hAnsi="楷体"/>
        </w:rPr>
        <w:t xml:space="preserve"> </w:t>
      </w:r>
      <w:r>
        <w:rPr>
          <w:rFonts w:ascii="楷体" w:cs="Times New Roman" w:eastAsia="楷体" w:hAnsi="楷体" w:hint="eastAsia"/>
        </w:rPr>
        <w:t>在</w:t>
      </w:r>
      <w:r>
        <w:rPr>
          <w:rFonts w:ascii="楷体" w:cs="Times New Roman" w:eastAsia="楷体" w:hAnsi="楷体" w:hint="eastAsia"/>
          <w:color w:val="ff0000"/>
        </w:rPr>
        <w:t>刑事诉讼</w:t>
      </w:r>
      <w:r>
        <w:rPr>
          <w:rFonts w:ascii="楷体" w:cs="Times New Roman" w:eastAsia="楷体" w:hAnsi="楷体" w:hint="eastAsia"/>
        </w:rPr>
        <w:t>中，</w:t>
      </w:r>
      <w:r>
        <w:rPr>
          <w:rFonts w:ascii="楷体" w:cs="Times New Roman" w:eastAsia="楷体" w:hAnsi="楷体" w:hint="eastAsia"/>
          <w:color w:val="ff0000"/>
        </w:rPr>
        <w:t>证人、鉴定人、记录人、翻译人</w:t>
      </w:r>
      <w:r>
        <w:rPr>
          <w:rFonts w:ascii="楷体" w:cs="Times New Roman" w:eastAsia="楷体" w:hAnsi="楷体" w:hint="eastAsia"/>
        </w:rPr>
        <w:t>对与案件有</w:t>
      </w:r>
      <w:r>
        <w:rPr>
          <w:rFonts w:ascii="楷体" w:cs="Times New Roman" w:eastAsia="楷体" w:hAnsi="楷体" w:hint="eastAsia"/>
          <w:color w:val="ff0000"/>
        </w:rPr>
        <w:t>重要关系的情节</w:t>
      </w:r>
      <w:r>
        <w:rPr>
          <w:rFonts w:ascii="楷体" w:cs="Times New Roman" w:eastAsia="楷体" w:hAnsi="楷体" w:hint="eastAsia"/>
        </w:rPr>
        <w:t>，故意作</w:t>
      </w:r>
      <w:r>
        <w:rPr>
          <w:rFonts w:ascii="楷体" w:cs="Times New Roman" w:eastAsia="楷体" w:hAnsi="楷体" w:hint="eastAsia"/>
          <w:color w:val="ff0000"/>
        </w:rPr>
        <w:t>虚假</w:t>
      </w:r>
      <w:r>
        <w:rPr>
          <w:rFonts w:ascii="楷体" w:cs="Times New Roman" w:eastAsia="楷体" w:hAnsi="楷体" w:hint="eastAsia"/>
        </w:rPr>
        <w:t>证明、鉴定、记录、翻译，</w:t>
      </w:r>
      <w:r>
        <w:rPr>
          <w:rFonts w:ascii="楷体" w:cs="Times New Roman" w:eastAsia="楷体" w:hAnsi="楷体" w:hint="eastAsia"/>
          <w:color w:val="ff0000"/>
        </w:rPr>
        <w:t>意图陷害他人或者隐匿罪证</w:t>
      </w:r>
      <w:r>
        <w:rPr>
          <w:rFonts w:ascii="楷体" w:cs="Times New Roman" w:eastAsia="楷体" w:hAnsi="楷体" w:hint="eastAsia"/>
        </w:rPr>
        <w:t>的，处三年以下有期徒刑或者拘役；情节严重的，处三年以上七年以下有期徒刑。</w:t>
      </w:r>
    </w:p>
    <w:p w14:paraId="60D41447">
      <w:pPr>
        <w:pStyle w:val="style0"/>
        <w:snapToGrid w:val="false"/>
        <w:spacing w:lineRule="exact" w:line="400"/>
        <w:ind w:firstLine="420"/>
        <w:rPr>
          <w:rFonts w:ascii="楷体" w:cs="Times New Roman" w:eastAsia="楷体" w:hAnsi="楷体" w:hint="eastAsia"/>
        </w:rPr>
      </w:pPr>
    </w:p>
    <w:p w14:paraId="431ACFB8">
      <w:pPr>
        <w:pStyle w:val="style4"/>
        <w:spacing w:lineRule="exact" w:line="400"/>
        <w:ind w:firstLine="42" w:firstLineChars="20"/>
        <w:rPr>
          <w:sz w:val="21"/>
          <w:szCs w:val="21"/>
        </w:rPr>
      </w:pPr>
      <w:r>
        <w:rPr>
          <w:rFonts w:hint="eastAsia"/>
          <w:sz w:val="21"/>
          <w:szCs w:val="21"/>
        </w:rPr>
        <w:t>（二）妨害作证罪：所有诉讼中，针对证人</w:t>
      </w:r>
    </w:p>
    <w:p w14:paraId="769F9D35">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第307条第1款【妨害作证罪】 </w:t>
      </w:r>
      <w:r>
        <w:rPr>
          <w:rFonts w:ascii="楷体" w:cs="Times New Roman" w:eastAsia="楷体" w:hAnsi="楷体"/>
        </w:rPr>
        <w:t xml:space="preserve"> </w:t>
      </w:r>
      <w:r>
        <w:rPr>
          <w:rFonts w:ascii="楷体" w:cs="Times New Roman" w:eastAsia="楷体" w:hAnsi="楷体" w:hint="eastAsia"/>
          <w:color w:val="ff0000"/>
        </w:rPr>
        <w:t>以暴力、威胁、贿买等方法阻止证人作证</w:t>
      </w:r>
      <w:r>
        <w:rPr>
          <w:rFonts w:ascii="楷体" w:cs="Times New Roman" w:eastAsia="楷体" w:hAnsi="楷体" w:hint="eastAsia"/>
        </w:rPr>
        <w:t>或者</w:t>
      </w:r>
      <w:r>
        <w:rPr>
          <w:rFonts w:ascii="楷体" w:cs="Times New Roman" w:eastAsia="楷体" w:hAnsi="楷体" w:hint="eastAsia"/>
          <w:color w:val="ff0000"/>
        </w:rPr>
        <w:t>指使他人作伪证</w:t>
      </w:r>
      <w:r>
        <w:rPr>
          <w:rFonts w:ascii="楷体" w:cs="Times New Roman" w:eastAsia="楷体" w:hAnsi="楷体" w:hint="eastAsia"/>
        </w:rPr>
        <w:t>的，处三年以下有期徒刑或者拘役；情节严重的，处三年以上七年以下有期徒刑。</w:t>
      </w:r>
    </w:p>
    <w:p w14:paraId="645EF283">
      <w:pPr>
        <w:pStyle w:val="style0"/>
        <w:snapToGrid w:val="false"/>
        <w:spacing w:lineRule="exact" w:line="400"/>
        <w:ind w:firstLine="420"/>
        <w:rPr>
          <w:rFonts w:ascii="楷体" w:cs="Times New Roman" w:eastAsia="楷体" w:hAnsi="楷体" w:hint="eastAsia"/>
        </w:rPr>
      </w:pPr>
    </w:p>
    <w:p w14:paraId="298A79F6">
      <w:pPr>
        <w:pStyle w:val="style4"/>
        <w:spacing w:lineRule="exact" w:line="400"/>
        <w:ind w:firstLine="42" w:firstLineChars="20"/>
        <w:rPr>
          <w:sz w:val="21"/>
          <w:szCs w:val="21"/>
        </w:rPr>
      </w:pPr>
      <w:r>
        <w:rPr>
          <w:rFonts w:hint="eastAsia"/>
          <w:sz w:val="21"/>
          <w:szCs w:val="21"/>
        </w:rPr>
        <w:t>（三）</w:t>
      </w:r>
      <w:bookmarkStart w:id="11" w:name="_Hlk514713214"/>
      <w:r>
        <w:rPr>
          <w:rFonts w:hint="eastAsia"/>
          <w:sz w:val="21"/>
          <w:szCs w:val="21"/>
        </w:rPr>
        <w:t>帮助毁灭、伪造证据罪：所有诉讼中，针对实体证据</w:t>
      </w:r>
      <w:bookmarkEnd w:id="11"/>
    </w:p>
    <w:p w14:paraId="40759B33">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第307条第2款【帮助毁灭、伪造证据罪】 </w:t>
      </w:r>
      <w:r>
        <w:rPr>
          <w:rFonts w:ascii="楷体" w:cs="Times New Roman" w:eastAsia="楷体" w:hAnsi="楷体"/>
        </w:rPr>
        <w:t xml:space="preserve"> </w:t>
      </w:r>
      <w:r>
        <w:rPr>
          <w:rFonts w:ascii="楷体" w:cs="Times New Roman" w:eastAsia="楷体" w:hAnsi="楷体" w:hint="eastAsia"/>
          <w:color w:val="ff0000"/>
        </w:rPr>
        <w:t>帮助</w:t>
      </w:r>
      <w:r>
        <w:rPr>
          <w:rFonts w:ascii="楷体" w:cs="Times New Roman" w:eastAsia="楷体" w:hAnsi="楷体" w:hint="eastAsia"/>
        </w:rPr>
        <w:t>当事人毁灭、伪造证据，情节严重的，处三年以下有期徒刑或者拘役。</w:t>
      </w:r>
    </w:p>
    <w:p w14:paraId="7ACFBC48">
      <w:pPr>
        <w:pStyle w:val="style0"/>
        <w:snapToGrid w:val="false"/>
        <w:spacing w:lineRule="exact" w:line="400"/>
        <w:ind w:firstLine="420"/>
        <w:rPr>
          <w:rFonts w:ascii="汉仪书宋二简" w:hint="eastAsia"/>
        </w:rPr>
      </w:pPr>
      <w:r>
        <w:rPr>
          <w:rFonts w:hint="eastAsia"/>
        </w:rPr>
        <w:t>“帮助”行为的含义。</w:t>
      </w:r>
      <w:r>
        <w:rPr>
          <w:rFonts w:eastAsia="汉仪中黑简" w:hint="eastAsia"/>
          <w:color w:val="ff0000"/>
        </w:rPr>
        <w:t>通俗的理解，“帮助”二字可以去掉，直接将“（帮助）毁灭、伪造”当作实行行为即可</w:t>
      </w:r>
      <w:r>
        <w:rPr>
          <w:rFonts w:ascii="汉仪书宋二简" w:hint="eastAsia"/>
        </w:rPr>
        <w:t>。</w:t>
      </w:r>
    </w:p>
    <w:p w14:paraId="0E76FE4F">
      <w:pPr>
        <w:pStyle w:val="style0"/>
        <w:snapToGrid w:val="false"/>
        <w:spacing w:lineRule="exact" w:line="400"/>
        <w:ind w:firstLine="420"/>
        <w:rPr>
          <w:rFonts w:ascii="汉仪书宋二简" w:hint="eastAsia"/>
        </w:rPr>
      </w:pPr>
      <w:r>
        <w:rPr>
          <w:rFonts w:ascii="汉仪中黑简" w:eastAsia="汉仪中黑简" w:hint="eastAsia"/>
        </w:rPr>
        <w:t>（1）亲自单独实施（正犯）：</w:t>
      </w:r>
      <w:r>
        <w:rPr>
          <w:rFonts w:ascii="汉仪书宋二简" w:hint="eastAsia"/>
        </w:rPr>
        <w:t>行为人单独为当事人毁灭、伪造证据（当事人未实施）。</w:t>
      </w:r>
    </w:p>
    <w:p w14:paraId="0606E2C3">
      <w:pPr>
        <w:pStyle w:val="style0"/>
        <w:snapToGrid w:val="false"/>
        <w:spacing w:lineRule="exact" w:line="400"/>
        <w:ind w:firstLine="420"/>
        <w:rPr>
          <w:rFonts w:ascii="汉仪书宋二简" w:hint="eastAsia"/>
        </w:rPr>
      </w:pPr>
      <w:r>
        <w:rPr>
          <w:rFonts w:ascii="汉仪中黑简" w:eastAsia="汉仪中黑简" w:hint="eastAsia"/>
        </w:rPr>
        <w:t>（2）与当事人共同实施（共同正犯）：</w:t>
      </w:r>
      <w:r>
        <w:rPr>
          <w:rFonts w:ascii="汉仪书宋二简" w:hint="eastAsia"/>
        </w:rPr>
        <w:t>行为人与当事人共同毁灭、伪造证据（当事人实施，但阻却责任）。</w:t>
      </w:r>
    </w:p>
    <w:p w14:paraId="5135FFF2">
      <w:pPr>
        <w:pStyle w:val="style0"/>
        <w:snapToGrid w:val="false"/>
        <w:spacing w:lineRule="exact" w:line="400"/>
        <w:ind w:firstLine="420"/>
        <w:rPr>
          <w:rFonts w:ascii="汉仪书宋二简" w:hint="eastAsia"/>
        </w:rPr>
      </w:pPr>
      <w:r>
        <w:rPr>
          <w:rFonts w:ascii="汉仪中黑简" w:eastAsia="汉仪中黑简" w:hint="eastAsia"/>
        </w:rPr>
        <w:t>（3）帮助当事人实施（帮助行为正犯化）：</w:t>
      </w:r>
      <w:r>
        <w:rPr>
          <w:rFonts w:ascii="汉仪书宋二简" w:hint="eastAsia"/>
        </w:rPr>
        <w:t>行为人为当事人毁灭、伪造证据提供各种便利条件（当事人实施，但阻却责任）。</w:t>
      </w:r>
    </w:p>
    <w:p w14:paraId="1FA8CE18">
      <w:pPr>
        <w:pStyle w:val="style0"/>
        <w:snapToGrid w:val="false"/>
        <w:spacing w:lineRule="exact" w:line="400"/>
        <w:ind w:firstLine="420"/>
        <w:rPr>
          <w:rFonts w:ascii="汉仪书宋二简" w:hint="eastAsia"/>
        </w:rPr>
      </w:pPr>
      <w:r>
        <w:rPr>
          <w:rFonts w:ascii="汉仪中黑简" w:eastAsia="汉仪中黑简" w:hint="eastAsia"/>
        </w:rPr>
        <w:t>（4）教唆当事人实施（教唆行为正犯化）：</w:t>
      </w:r>
      <w:r>
        <w:rPr>
          <w:rFonts w:ascii="汉仪书宋二简" w:hint="eastAsia"/>
        </w:rPr>
        <w:t>行为人唆使当事人毁灭、伪造证据（当事人实施，但阻却责任）。</w:t>
      </w:r>
    </w:p>
    <w:p w14:paraId="29F726C4">
      <w:pPr>
        <w:pStyle w:val="style0"/>
        <w:snapToGrid w:val="false"/>
        <w:spacing w:lineRule="exact" w:line="400"/>
        <w:ind w:firstLine="420"/>
        <w:rPr>
          <w:rFonts w:ascii="汉仪书宋二简" w:hint="eastAsia"/>
        </w:rPr>
      </w:pPr>
      <w:r>
        <w:rPr>
          <w:rFonts w:ascii="汉仪中黑简" w:eastAsia="汉仪中黑简" w:hint="eastAsia"/>
        </w:rPr>
        <w:t>（5）帮助、教唆他人为当事人实施（帮助犯、教唆犯）：</w:t>
      </w:r>
      <w:r>
        <w:rPr>
          <w:rFonts w:ascii="汉仪书宋二简" w:hint="eastAsia"/>
        </w:rPr>
        <w:t>行为人单纯帮助、教唆他人（非当事人本人）为当事人毁灭、伪造证据的，他人成立毁灭、伪造证据罪的正犯，行为人成立该罪的共犯（帮助犯、教唆犯）。</w:t>
      </w:r>
    </w:p>
    <w:p w14:paraId="099701F3">
      <w:pPr>
        <w:pStyle w:val="style0"/>
        <w:snapToGrid w:val="false"/>
        <w:spacing w:lineRule="exact" w:line="400"/>
        <w:ind w:firstLine="420"/>
        <w:rPr>
          <w:rFonts w:ascii="汉仪书宋二简"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620"/>
        <w:gridCol w:w="3277"/>
        <w:gridCol w:w="2608"/>
      </w:tblGrid>
      <w:tr w14:paraId="0B1D12F3">
        <w:trPr>
          <w:jc w:val="center"/>
        </w:trPr>
        <w:tc>
          <w:tcPr>
            <w:tcW w:w="8317" w:type="dxa"/>
            <w:gridSpan w:val="3"/>
            <w:tcBorders/>
            <w:shd w:val="clear" w:color="auto" w:fill="auto"/>
            <w:vAlign w:val="center"/>
          </w:tcPr>
          <w:p w14:paraId="01328B77">
            <w:pPr>
              <w:pStyle w:val="style0"/>
              <w:snapToGrid w:val="false"/>
              <w:spacing w:before="31" w:beforeLines="10" w:after="62" w:afterLines="20" w:lineRule="exact" w:line="400"/>
              <w:ind w:firstLine="0" w:firstLineChars="0"/>
              <w:jc w:val="center"/>
              <w:rPr>
                <w:rFonts w:ascii="汉仪书宋一简" w:cs="Times New Roman" w:eastAsia="汉仪书宋一简" w:hAnsi="仿宋" w:hint="eastAsia"/>
                <w:b/>
              </w:rPr>
            </w:pPr>
            <w:r>
              <w:rPr>
                <w:rFonts w:ascii="汉仪中黑简" w:eastAsia="汉仪中黑简" w:hint="eastAsia"/>
              </w:rPr>
              <w:t>帮助毁灭、伪造证据罪中“帮助”可理解为助词</w:t>
            </w:r>
          </w:p>
        </w:tc>
      </w:tr>
      <w:tr w14:paraId="2BBC6BD7">
        <w:tblPrEx/>
        <w:trPr>
          <w:jc w:val="center"/>
        </w:trPr>
        <w:tc>
          <w:tcPr>
            <w:tcW w:w="2562" w:type="dxa"/>
            <w:tcBorders/>
            <w:shd w:val="clear" w:color="auto" w:fill="auto"/>
            <w:vAlign w:val="center"/>
          </w:tcPr>
          <w:p w14:paraId="756CA906">
            <w:pPr>
              <w:pStyle w:val="style0"/>
              <w:snapToGrid w:val="false"/>
              <w:spacing w:before="31" w:beforeLines="10" w:after="62" w:afterLines="20" w:lineRule="exact" w:line="400"/>
              <w:ind w:firstLine="0" w:firstLineChars="0"/>
              <w:rPr>
                <w:rFonts w:ascii="汉仪书宋一简" w:cs="Times New Roman" w:eastAsia="汉仪书宋一简" w:hAnsi="仿宋" w:hint="eastAsia"/>
              </w:rPr>
            </w:pPr>
            <w:r>
              <w:rPr>
                <w:rFonts w:ascii="汉仪书宋一简" w:cs="Times New Roman" w:eastAsia="汉仪书宋一简" w:hAnsi="仿宋" w:hint="eastAsia"/>
              </w:rPr>
              <w:t>甲（非当事人）：帮助、教唆</w:t>
            </w:r>
          </w:p>
        </w:tc>
        <w:tc>
          <w:tcPr>
            <w:tcW w:w="3205" w:type="dxa"/>
            <w:tcBorders/>
            <w:shd w:val="clear" w:color="auto" w:fill="auto"/>
            <w:vAlign w:val="center"/>
          </w:tcPr>
          <w:p w14:paraId="649D5216">
            <w:pPr>
              <w:pStyle w:val="style0"/>
              <w:snapToGrid w:val="false"/>
              <w:spacing w:before="31" w:beforeLines="10" w:after="62" w:afterLines="20" w:lineRule="exact" w:line="400"/>
              <w:ind w:firstLine="0" w:firstLineChars="0"/>
              <w:rPr>
                <w:rFonts w:ascii="汉仪书宋一简" w:cs="Times New Roman" w:eastAsia="汉仪书宋一简" w:hAnsi="仿宋" w:hint="eastAsia"/>
              </w:rPr>
            </w:pPr>
            <w:r>
              <w:rPr>
                <w:rFonts w:ascii="汉仪书宋一简" w:cs="Times New Roman" w:eastAsia="汉仪书宋一简" w:hAnsi="仿宋" w:hint="eastAsia"/>
              </w:rPr>
              <w:t>乙（非当事人）：实行或帮助、教唆当事人毁灭、伪造证据</w:t>
            </w:r>
          </w:p>
        </w:tc>
        <w:tc>
          <w:tcPr>
            <w:tcW w:w="2550" w:type="dxa"/>
            <w:tcBorders/>
            <w:shd w:val="clear" w:color="auto" w:fill="auto"/>
            <w:vAlign w:val="center"/>
          </w:tcPr>
          <w:p w14:paraId="026304D1">
            <w:pPr>
              <w:pStyle w:val="style0"/>
              <w:snapToGrid w:val="false"/>
              <w:spacing w:before="31" w:beforeLines="10" w:after="62" w:afterLines="20" w:lineRule="exact" w:line="400"/>
              <w:ind w:firstLine="0" w:firstLineChars="0"/>
              <w:rPr>
                <w:rFonts w:ascii="汉仪书宋一简" w:cs="Times New Roman" w:eastAsia="汉仪书宋一简" w:hAnsi="仿宋" w:hint="eastAsia"/>
              </w:rPr>
            </w:pPr>
            <w:r>
              <w:rPr>
                <w:rFonts w:ascii="汉仪书宋一简" w:cs="Times New Roman" w:eastAsia="汉仪书宋一简" w:hAnsi="仿宋" w:hint="eastAsia"/>
              </w:rPr>
              <w:t>丙（当事人）：实施毁灭、伪造证据的行为，或未实施</w:t>
            </w:r>
          </w:p>
        </w:tc>
      </w:tr>
      <w:tr w14:paraId="41277361">
        <w:tblPrEx/>
        <w:trPr>
          <w:jc w:val="center"/>
        </w:trPr>
        <w:tc>
          <w:tcPr>
            <w:tcW w:w="2562" w:type="dxa"/>
            <w:tcBorders/>
            <w:shd w:val="clear" w:color="auto" w:fill="auto"/>
            <w:vAlign w:val="center"/>
          </w:tcPr>
          <w:p w14:paraId="7681ED7F">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帮助毁灭、伪造证据罪的</w:t>
            </w:r>
            <w:r>
              <w:rPr>
                <w:rFonts w:ascii="汉仪中黑简" w:eastAsia="汉仪中黑简" w:hint="eastAsia"/>
                <w:color w:val="ff0000"/>
              </w:rPr>
              <w:t>帮助犯、教唆犯</w:t>
            </w:r>
          </w:p>
        </w:tc>
        <w:tc>
          <w:tcPr>
            <w:tcW w:w="3205" w:type="dxa"/>
            <w:tcBorders/>
            <w:shd w:val="clear" w:color="auto" w:fill="auto"/>
            <w:vAlign w:val="center"/>
          </w:tcPr>
          <w:p w14:paraId="71812289">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帮助毁灭、伪造证据罪的</w:t>
            </w:r>
            <w:r>
              <w:rPr>
                <w:rFonts w:ascii="汉仪中黑简" w:eastAsia="汉仪中黑简" w:hint="eastAsia"/>
                <w:color w:val="ff0000"/>
              </w:rPr>
              <w:t>正犯</w:t>
            </w:r>
            <w:r>
              <w:rPr>
                <w:rFonts w:ascii="汉仪书宋一简" w:cs="Times New Roman" w:eastAsia="汉仪书宋一简" w:hAnsi="Calibri" w:hint="eastAsia"/>
                <w:bCs/>
              </w:rPr>
              <w:t>（实行，以及共犯行为正犯化）</w:t>
            </w:r>
          </w:p>
        </w:tc>
        <w:tc>
          <w:tcPr>
            <w:tcW w:w="2550" w:type="dxa"/>
            <w:tcBorders/>
            <w:shd w:val="clear" w:color="auto" w:fill="auto"/>
            <w:vAlign w:val="center"/>
          </w:tcPr>
          <w:p w14:paraId="0216D64A">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本犯欠缺期待阻却责任</w:t>
            </w:r>
          </w:p>
        </w:tc>
      </w:tr>
      <w:tr w14:paraId="117D12ED">
        <w:tblPrEx/>
        <w:trPr>
          <w:jc w:val="center"/>
        </w:trPr>
        <w:tc>
          <w:tcPr>
            <w:tcW w:w="2562" w:type="dxa"/>
            <w:tcBorders/>
            <w:shd w:val="clear" w:color="auto" w:fill="auto"/>
            <w:vAlign w:val="center"/>
          </w:tcPr>
          <w:p w14:paraId="2182274F">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共犯行为：帮助、教唆他人（非当事人本人）为当事人毁灭、伪造</w:t>
            </w:r>
          </w:p>
        </w:tc>
        <w:tc>
          <w:tcPr>
            <w:tcW w:w="3205" w:type="dxa"/>
            <w:tcBorders/>
            <w:shd w:val="clear" w:color="auto" w:fill="auto"/>
            <w:vAlign w:val="center"/>
          </w:tcPr>
          <w:p w14:paraId="192ACEBA">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实行行为：亲自单独实施，与当事人共同实施；帮助、教唆当事人实施（共犯行为正犯化）</w:t>
            </w:r>
          </w:p>
        </w:tc>
        <w:tc>
          <w:tcPr>
            <w:tcW w:w="2550" w:type="dxa"/>
            <w:tcBorders/>
            <w:shd w:val="clear" w:color="auto" w:fill="auto"/>
            <w:vAlign w:val="center"/>
          </w:tcPr>
          <w:p w14:paraId="1A4984EC">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毁灭（包括藏匿）、伪造（包括变造）</w:t>
            </w:r>
          </w:p>
        </w:tc>
      </w:tr>
    </w:tbl>
    <w:p w14:paraId="064BC2A0">
      <w:pPr>
        <w:pStyle w:val="style0"/>
        <w:snapToGrid w:val="false"/>
        <w:spacing w:lineRule="exact" w:line="400"/>
        <w:ind w:firstLine="420"/>
        <w:rPr>
          <w:rFonts w:ascii="仿宋" w:cs="Times New Roman" w:eastAsia="楷体" w:hAnsi="仿宋" w:hint="eastAsia"/>
        </w:rPr>
      </w:pPr>
    </w:p>
    <w:p w14:paraId="23763444">
      <w:pPr>
        <w:pStyle w:val="style4"/>
        <w:spacing w:lineRule="exact" w:line="400"/>
        <w:ind w:firstLine="252" w:firstLineChars="120"/>
        <w:rPr>
          <w:sz w:val="21"/>
          <w:szCs w:val="21"/>
        </w:rPr>
      </w:pPr>
      <w:r>
        <w:rPr>
          <w:rFonts w:hint="eastAsia"/>
          <w:sz w:val="21"/>
          <w:szCs w:val="21"/>
        </w:rPr>
        <w:t>（四）虚假诉讼罪</w:t>
      </w:r>
    </w:p>
    <w:p w14:paraId="08BFDAC4">
      <w:pPr>
        <w:pStyle w:val="style0"/>
        <w:widowControl/>
        <w:snapToGrid w:val="false"/>
        <w:spacing w:lineRule="exact" w:line="400"/>
        <w:ind w:firstLine="420"/>
        <w:rPr>
          <w:rFonts w:ascii="楷体" w:eastAsia="楷体" w:hAnsi="楷体" w:hint="eastAsia"/>
          <w:kern w:val="0"/>
        </w:rPr>
      </w:pPr>
      <w:r>
        <w:rPr>
          <w:rFonts w:ascii="汉仪中黑简" w:eastAsia="汉仪中黑简"/>
          <w:color w:val="ff0000"/>
        </w:rPr>
        <w:t>第</w:t>
      </w:r>
      <w:r>
        <w:rPr>
          <w:rFonts w:ascii="汉仪中黑简" w:eastAsia="汉仪中黑简" w:hint="eastAsia"/>
          <w:color w:val="ff0000"/>
        </w:rPr>
        <w:t>3</w:t>
      </w:r>
      <w:r>
        <w:rPr>
          <w:rFonts w:ascii="汉仪中黑简" w:eastAsia="汉仪中黑简"/>
          <w:color w:val="ff0000"/>
        </w:rPr>
        <w:t>07条之一</w:t>
      </w:r>
    </w:p>
    <w:p w14:paraId="43383E4F">
      <w:pPr>
        <w:pStyle w:val="style0"/>
        <w:widowControl/>
        <w:snapToGrid w:val="false"/>
        <w:spacing w:lineRule="exact" w:line="400"/>
        <w:ind w:firstLine="420"/>
        <w:jc w:val="left"/>
        <w:rPr>
          <w:rFonts w:ascii="楷体" w:eastAsia="楷体" w:hAnsi="楷体" w:hint="eastAsia"/>
          <w:kern w:val="0"/>
        </w:rPr>
      </w:pPr>
    </w:p>
    <w:bookmarkStart w:id="12" w:name="_Hlk44514314"/>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830"/>
        <w:gridCol w:w="5675"/>
      </w:tblGrid>
      <w:tr w14:paraId="4701E1C3">
        <w:trPr>
          <w:jc w:val="center"/>
        </w:trPr>
        <w:tc>
          <w:tcPr>
            <w:tcW w:w="2830" w:type="dxa"/>
            <w:tcBorders/>
            <w:shd w:val="clear" w:color="auto" w:fill="auto"/>
            <w:vAlign w:val="center"/>
          </w:tcPr>
          <w:p w14:paraId="5FBB43E0">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手段+行为</w:t>
            </w:r>
          </w:p>
        </w:tc>
        <w:tc>
          <w:tcPr>
            <w:tcW w:w="5675" w:type="dxa"/>
            <w:tcBorders/>
            <w:shd w:val="clear" w:color="auto" w:fill="auto"/>
            <w:vAlign w:val="center"/>
          </w:tcPr>
          <w:p w14:paraId="2E27C6C9">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以捏造的事实提起民事诉讼</w:t>
            </w:r>
          </w:p>
        </w:tc>
      </w:tr>
      <w:tr w14:paraId="6CA1501B">
        <w:tblPrEx/>
        <w:trPr>
          <w:jc w:val="center"/>
        </w:trPr>
        <w:tc>
          <w:tcPr>
            <w:tcW w:w="2830" w:type="dxa"/>
            <w:tcBorders/>
            <w:shd w:val="clear" w:color="auto" w:fill="auto"/>
            <w:vAlign w:val="center"/>
          </w:tcPr>
          <w:p w14:paraId="2E3EE064">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结果</w:t>
            </w:r>
          </w:p>
        </w:tc>
        <w:tc>
          <w:tcPr>
            <w:tcW w:w="5675" w:type="dxa"/>
            <w:tcBorders/>
            <w:shd w:val="clear" w:color="auto" w:fill="auto"/>
            <w:vAlign w:val="center"/>
          </w:tcPr>
          <w:p w14:paraId="3D331B0B">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妨害司法秩序或者严重侵害他人合法权益</w:t>
            </w:r>
          </w:p>
        </w:tc>
      </w:tr>
      <w:tr w14:paraId="35612919">
        <w:tblPrEx/>
        <w:trPr>
          <w:jc w:val="center"/>
        </w:trPr>
        <w:tc>
          <w:tcPr>
            <w:tcW w:w="2830" w:type="dxa"/>
            <w:tcBorders/>
            <w:shd w:val="clear" w:color="auto" w:fill="auto"/>
            <w:vAlign w:val="center"/>
          </w:tcPr>
          <w:p w14:paraId="038B1738">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罪过</w:t>
            </w:r>
          </w:p>
        </w:tc>
        <w:tc>
          <w:tcPr>
            <w:tcW w:w="5675" w:type="dxa"/>
            <w:tcBorders/>
            <w:shd w:val="clear" w:color="auto" w:fill="auto"/>
            <w:vAlign w:val="center"/>
          </w:tcPr>
          <w:p w14:paraId="0A06791E">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故意</w:t>
            </w:r>
          </w:p>
        </w:tc>
      </w:tr>
      <w:tr w14:paraId="07D13524">
        <w:tblPrEx/>
        <w:trPr>
          <w:jc w:val="center"/>
        </w:trPr>
        <w:tc>
          <w:tcPr>
            <w:tcW w:w="2830" w:type="dxa"/>
            <w:tcBorders/>
            <w:shd w:val="clear" w:color="auto" w:fill="auto"/>
            <w:vAlign w:val="center"/>
          </w:tcPr>
          <w:p w14:paraId="6B727C92">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从重情节</w:t>
            </w:r>
          </w:p>
        </w:tc>
        <w:tc>
          <w:tcPr>
            <w:tcW w:w="5675" w:type="dxa"/>
            <w:tcBorders/>
            <w:shd w:val="clear" w:color="auto" w:fill="auto"/>
            <w:vAlign w:val="center"/>
          </w:tcPr>
          <w:p w14:paraId="2221DABC">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司法工作人员利用职权，与他人共同实施</w:t>
            </w:r>
          </w:p>
        </w:tc>
      </w:tr>
      <w:tr w14:paraId="560B243F">
        <w:tblPrEx/>
        <w:trPr>
          <w:jc w:val="center"/>
        </w:trPr>
        <w:tc>
          <w:tcPr>
            <w:tcW w:w="2830" w:type="dxa"/>
            <w:tcBorders/>
            <w:shd w:val="clear" w:color="auto" w:fill="auto"/>
            <w:vAlign w:val="center"/>
          </w:tcPr>
          <w:p w14:paraId="7FF06D8E">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罪数</w:t>
            </w:r>
          </w:p>
        </w:tc>
        <w:tc>
          <w:tcPr>
            <w:tcW w:w="5675" w:type="dxa"/>
            <w:tcBorders/>
            <w:shd w:val="clear" w:color="auto" w:fill="auto"/>
            <w:vAlign w:val="center"/>
          </w:tcPr>
          <w:p w14:paraId="45A7EBBA">
            <w:pPr>
              <w:pStyle w:val="style0"/>
              <w:adjustRightInd w:val="false"/>
              <w:snapToGrid w:val="false"/>
              <w:spacing w:before="31" w:beforeLines="10" w:after="62" w:afterLines="20" w:lineRule="exact" w:line="400"/>
              <w:ind w:firstLine="0" w:firstLineChars="0"/>
              <w:jc w:val="center"/>
              <w:rPr>
                <w:rFonts w:ascii="汉仪书宋一简" w:eastAsia="汉仪书宋一简" w:hAnsi="等线" w:hint="eastAsia"/>
              </w:rPr>
            </w:pPr>
            <w:r>
              <w:rPr>
                <w:rFonts w:ascii="汉仪书宋一简" w:eastAsia="汉仪书宋一简" w:hAnsi="等线" w:hint="eastAsia"/>
              </w:rPr>
              <w:t>同时触犯它罪，择一重处</w:t>
            </w:r>
          </w:p>
        </w:tc>
      </w:tr>
      <w:bookmarkEnd w:id="12"/>
    </w:tbl>
    <w:p w14:paraId="047A7163">
      <w:pPr>
        <w:pStyle w:val="style0"/>
        <w:adjustRightInd w:val="false"/>
        <w:snapToGrid w:val="false"/>
        <w:spacing w:lineRule="exact" w:line="400"/>
        <w:ind w:firstLine="420"/>
        <w:rPr>
          <w:rFonts w:ascii="楷体" w:cs="仿宋_GB2312" w:eastAsia="楷体" w:hAnsi="楷体" w:hint="eastAsia"/>
        </w:rPr>
      </w:pPr>
    </w:p>
    <w:p w14:paraId="685C970A">
      <w:pPr>
        <w:pStyle w:val="style3"/>
        <w:spacing w:lineRule="exact" w:line="400"/>
        <w:rPr>
          <w:rFonts w:hint="eastAsia"/>
          <w:sz w:val="21"/>
        </w:rPr>
      </w:pPr>
      <w:r>
        <w:rPr>
          <w:sz w:val="21"/>
        </w:rPr>
        <w:t>二、</w:t>
      </w:r>
      <w:r>
        <w:rPr>
          <w:rFonts w:hint="eastAsia"/>
          <w:sz w:val="21"/>
        </w:rPr>
        <w:t>窝藏犯</w:t>
      </w:r>
      <w:r>
        <w:rPr>
          <w:sz w:val="21"/>
        </w:rPr>
        <w:t>人、窝赃类犯罪</w:t>
      </w:r>
    </w:p>
    <w:p w14:paraId="431B3DB0">
      <w:pPr>
        <w:pStyle w:val="style4"/>
        <w:spacing w:lineRule="exact" w:line="400"/>
        <w:ind w:firstLine="42" w:firstLineChars="20"/>
        <w:rPr>
          <w:sz w:val="21"/>
          <w:szCs w:val="21"/>
        </w:rPr>
      </w:pPr>
      <w:r>
        <w:rPr>
          <w:rFonts w:hint="eastAsia"/>
          <w:sz w:val="21"/>
          <w:szCs w:val="21"/>
        </w:rPr>
        <w:t>（一）窝藏、包庇罪：针对犯人</w:t>
      </w:r>
    </w:p>
    <w:p w14:paraId="071A67BA">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第310条【窝藏、包庇罪】 </w:t>
      </w:r>
      <w:r>
        <w:rPr>
          <w:rFonts w:ascii="楷体" w:cs="Times New Roman" w:eastAsia="楷体" w:hAnsi="楷体"/>
        </w:rPr>
        <w:t xml:space="preserve"> </w:t>
      </w:r>
      <w:r>
        <w:rPr>
          <w:rFonts w:ascii="楷体" w:cs="Times New Roman" w:eastAsia="楷体" w:hAnsi="楷体" w:hint="eastAsia"/>
        </w:rPr>
        <w:t>明知是</w:t>
      </w:r>
      <w:r>
        <w:rPr>
          <w:rFonts w:ascii="楷体" w:cs="Times New Roman" w:eastAsia="楷体" w:hAnsi="楷体" w:hint="eastAsia"/>
          <w:color w:val="ff0000"/>
        </w:rPr>
        <w:t>犯罪的人</w:t>
      </w:r>
      <w:r>
        <w:rPr>
          <w:rFonts w:ascii="楷体" w:cs="Times New Roman" w:eastAsia="楷体" w:hAnsi="楷体" w:hint="eastAsia"/>
        </w:rPr>
        <w:t>而为其</w:t>
      </w:r>
      <w:r>
        <w:rPr>
          <w:rFonts w:ascii="楷体" w:cs="Times New Roman" w:eastAsia="楷体" w:hAnsi="楷体" w:hint="eastAsia"/>
          <w:color w:val="ff0000"/>
        </w:rPr>
        <w:t>提供隐藏处所、财物</w:t>
      </w:r>
      <w:r>
        <w:rPr>
          <w:rFonts w:ascii="楷体" w:cs="Times New Roman" w:eastAsia="楷体" w:hAnsi="楷体" w:hint="eastAsia"/>
        </w:rPr>
        <w:t>，</w:t>
      </w:r>
      <w:r>
        <w:rPr>
          <w:rFonts w:ascii="楷体" w:cs="Times New Roman" w:eastAsia="楷体" w:hAnsi="楷体" w:hint="eastAsia"/>
          <w:color w:val="ff0000"/>
        </w:rPr>
        <w:t>帮助其逃匿</w:t>
      </w:r>
      <w:r>
        <w:rPr>
          <w:rFonts w:ascii="楷体" w:cs="Times New Roman" w:eastAsia="楷体" w:hAnsi="楷体" w:hint="eastAsia"/>
        </w:rPr>
        <w:t>或者</w:t>
      </w:r>
      <w:r>
        <w:rPr>
          <w:rFonts w:ascii="楷体" w:cs="Times New Roman" w:eastAsia="楷体" w:hAnsi="楷体" w:hint="eastAsia"/>
          <w:color w:val="ff0000"/>
        </w:rPr>
        <w:t>作假证明包庇</w:t>
      </w:r>
      <w:r>
        <w:rPr>
          <w:rFonts w:ascii="楷体" w:cs="Times New Roman" w:eastAsia="楷体" w:hAnsi="楷体" w:hint="eastAsia"/>
        </w:rPr>
        <w:t>的，处三年以下有期徒刑、拘役或者管制；情节严重的，处三年以上十年以下有期徒刑。</w:t>
      </w:r>
    </w:p>
    <w:p w14:paraId="1B09F56F">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第362条【窝藏、包庇罪】 </w:t>
      </w:r>
      <w:r>
        <w:rPr>
          <w:rFonts w:ascii="楷体" w:cs="Times New Roman" w:eastAsia="楷体" w:hAnsi="楷体"/>
        </w:rPr>
        <w:t xml:space="preserve"> </w:t>
      </w:r>
      <w:r>
        <w:rPr>
          <w:rFonts w:ascii="楷体" w:cs="Times New Roman" w:eastAsia="楷体" w:hAnsi="楷体" w:hint="eastAsia"/>
          <w:color w:val="ff0000"/>
        </w:rPr>
        <w:t>旅馆业、饮食服务业、文化娱乐业、出租汽车业</w:t>
      </w:r>
      <w:r>
        <w:rPr>
          <w:rFonts w:ascii="楷体" w:cs="Times New Roman" w:eastAsia="楷体" w:hAnsi="楷体" w:hint="eastAsia"/>
        </w:rPr>
        <w:t>等单位的人员，在公安机关查处</w:t>
      </w:r>
      <w:r>
        <w:rPr>
          <w:rFonts w:ascii="楷体" w:cs="Times New Roman" w:eastAsia="楷体" w:hAnsi="楷体" w:hint="eastAsia"/>
          <w:color w:val="ff0000"/>
        </w:rPr>
        <w:t>卖淫、嫖娼</w:t>
      </w:r>
      <w:r>
        <w:rPr>
          <w:rFonts w:ascii="楷体" w:cs="Times New Roman" w:eastAsia="楷体" w:hAnsi="楷体" w:hint="eastAsia"/>
        </w:rPr>
        <w:t>活动时，为违法犯罪分子通风报信，情节严重的，依照本法第三百一十条的规定（窝藏、包庇罪）定罪处罚。</w:t>
      </w:r>
    </w:p>
    <w:p w14:paraId="681952E7">
      <w:pPr>
        <w:pStyle w:val="style4"/>
        <w:spacing w:lineRule="exact" w:line="400"/>
        <w:ind w:firstLine="42" w:firstLineChars="20"/>
        <w:rPr>
          <w:sz w:val="21"/>
          <w:szCs w:val="21"/>
        </w:rPr>
      </w:pPr>
      <w:r>
        <w:rPr>
          <w:rFonts w:hint="eastAsia"/>
          <w:sz w:val="21"/>
          <w:szCs w:val="21"/>
        </w:rPr>
        <w:t>（二）掩饰、隐瞒犯罪所得、犯罪所得收益罪：针对赃物</w:t>
      </w:r>
    </w:p>
    <w:p w14:paraId="2E8E4EDF">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 xml:space="preserve">第312条【掩饰、隐瞒犯罪所得、犯罪所得收益罪】 </w:t>
      </w:r>
      <w:r>
        <w:rPr>
          <w:rFonts w:ascii="楷体" w:cs="Times New Roman" w:eastAsia="楷体" w:hAnsi="楷体"/>
        </w:rPr>
        <w:t xml:space="preserve"> </w:t>
      </w:r>
      <w:r>
        <w:rPr>
          <w:rFonts w:ascii="楷体" w:cs="Times New Roman" w:eastAsia="楷体" w:hAnsi="楷体" w:hint="eastAsia"/>
        </w:rPr>
        <w:t>明知是</w:t>
      </w:r>
      <w:r>
        <w:rPr>
          <w:rFonts w:ascii="楷体" w:cs="Times New Roman" w:eastAsia="楷体" w:hAnsi="楷体" w:hint="eastAsia"/>
          <w:color w:val="ff0000"/>
        </w:rPr>
        <w:t>犯罪所得及其产生的收益</w:t>
      </w:r>
      <w:r>
        <w:rPr>
          <w:rFonts w:ascii="楷体" w:cs="Times New Roman" w:eastAsia="楷体" w:hAnsi="楷体" w:hint="eastAsia"/>
        </w:rPr>
        <w:t>而予以窝藏、转移、收购、代为销售或者以其他方法掩饰、隐瞒的，处三年以下有期徒刑、拘役或者管制，并处或者单处罚金；情节严重的，处三年以上七年以下有期徒刑，并处罚金。</w:t>
      </w:r>
    </w:p>
    <w:p w14:paraId="24748A85">
      <w:pPr>
        <w:pStyle w:val="style0"/>
        <w:snapToGrid w:val="false"/>
        <w:spacing w:lineRule="exact" w:line="400"/>
        <w:ind w:firstLine="420"/>
        <w:rPr>
          <w:rFonts w:ascii="楷体" w:cs="Times New Roman" w:eastAsia="楷体" w:hAnsi="楷体" w:hint="eastAsia"/>
        </w:rPr>
      </w:pPr>
      <w:r>
        <w:rPr>
          <w:rFonts w:ascii="楷体" w:cs="Times New Roman" w:eastAsia="楷体" w:hAnsi="楷体" w:hint="eastAsia"/>
        </w:rPr>
        <w:t>单位犯前款罪的，对单位判处罚金，并对其直接负责的主管人员和其他直接责任人员，</w:t>
      </w:r>
      <w:r>
        <w:rPr>
          <w:rFonts w:ascii="楷体" w:cs="Times New Roman" w:eastAsia="楷体" w:hAnsi="楷体" w:hint="eastAsia"/>
        </w:rPr>
        <w:t>依照前款的规定处罚。</w:t>
      </w:r>
    </w:p>
    <w:p w14:paraId="25F2CB10">
      <w:pPr>
        <w:pStyle w:val="style0"/>
        <w:snapToGrid w:val="false"/>
        <w:spacing w:lineRule="exact" w:line="400"/>
        <w:ind w:firstLine="420"/>
        <w:rPr>
          <w:rFonts w:ascii="楷体" w:cs="Times New Roman" w:eastAsia="楷体" w:hAnsi="楷体" w:hint="eastAsia"/>
        </w:rPr>
      </w:pPr>
    </w:p>
    <w:p w14:paraId="6E64E7DF">
      <w:pPr>
        <w:pStyle w:val="style3"/>
        <w:spacing w:lineRule="exact" w:line="400"/>
        <w:rPr>
          <w:rFonts w:hint="eastAsia"/>
          <w:sz w:val="21"/>
        </w:rPr>
      </w:pPr>
      <w:r>
        <w:rPr>
          <w:rFonts w:hint="eastAsia"/>
          <w:sz w:val="21"/>
        </w:rPr>
        <w:t>三、拒不执行判决、裁定罪</w:t>
      </w:r>
    </w:p>
    <w:p w14:paraId="302045A8">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第313条【拒不执行判决、裁定罪】</w:t>
      </w:r>
      <w:r>
        <w:rPr>
          <w:rFonts w:ascii="楷体" w:cs="Times New Roman" w:eastAsia="楷体" w:hAnsi="楷体" w:hint="eastAsia"/>
        </w:rPr>
        <w:t xml:space="preserve">  </w:t>
      </w:r>
      <w:r>
        <w:rPr>
          <w:rFonts w:ascii="楷体" w:cs="Times New Roman" w:eastAsia="楷体" w:hAnsi="楷体"/>
        </w:rPr>
        <w:t>对人民法院的判决、裁定有能力执行而拒不执行，情节严重的，处三年以下有期徒刑、拘役或者罚金；情节特别严重的，处三年以上七年以下有期徒刑</w:t>
      </w:r>
      <w:r>
        <w:rPr>
          <w:rFonts w:ascii="楷体" w:cs="Times New Roman" w:eastAsia="楷体" w:hAnsi="楷体" w:hint="eastAsia"/>
        </w:rPr>
        <w:t>。</w:t>
      </w:r>
    </w:p>
    <w:p w14:paraId="611D0A62">
      <w:pPr>
        <w:pStyle w:val="style0"/>
        <w:snapToGrid w:val="false"/>
        <w:spacing w:lineRule="exact" w:line="400"/>
        <w:ind w:firstLine="420"/>
        <w:rPr>
          <w:rFonts w:ascii="楷体" w:cs="Times New Roman" w:eastAsia="楷体" w:hAnsi="楷体" w:hint="eastAsia"/>
        </w:rPr>
      </w:pPr>
      <w:r>
        <w:rPr>
          <w:rFonts w:ascii="楷体" w:cs="Times New Roman" w:eastAsia="楷体" w:hAnsi="楷体"/>
        </w:rPr>
        <w:t>单位犯前款罪的，对单位判处罚金，并对其直接负责的主管人员和其他直接责任人员，依照前款的规定处罚。</w:t>
      </w:r>
    </w:p>
    <w:p w14:paraId="32242EF7">
      <w:pPr>
        <w:pStyle w:val="style0"/>
        <w:snapToGrid w:val="false"/>
        <w:spacing w:lineRule="exact" w:line="400"/>
        <w:ind w:firstLine="420"/>
        <w:rPr>
          <w:rFonts w:ascii="楷体" w:cs="Times New Roman" w:eastAsia="楷体" w:hAnsi="楷体" w:hint="eastAsia"/>
        </w:rPr>
      </w:pPr>
    </w:p>
    <w:p w14:paraId="312A79A5">
      <w:pPr>
        <w:pStyle w:val="style0"/>
        <w:spacing w:lineRule="exact" w:line="400"/>
        <w:ind w:firstLine="0" w:firstLineChars="0"/>
        <w:rPr>
          <w:rFonts w:ascii="汉仪书宋二简" w:cs="汉仪书宋二简" w:hAnsi="汉仪书宋二简" w:hint="eastAsia"/>
          <w:kern w:val="0"/>
        </w:rPr>
      </w:pPr>
    </w:p>
    <w:bookmarkStart w:id="13" w:name="_Toc188371399"/>
    <w:p w14:paraId="45898675">
      <w:pPr>
        <w:pStyle w:val="style1"/>
        <w:spacing w:before="0" w:lineRule="exact" w:line="400"/>
        <w:rPr>
          <w:rFonts w:hint="eastAsia"/>
          <w:b/>
          <w:bCs w:val="false"/>
          <w:color w:val="auto"/>
          <w:sz w:val="21"/>
          <w:szCs w:val="21"/>
        </w:rPr>
      </w:pPr>
      <w:r>
        <w:rPr>
          <w:rFonts w:hint="eastAsia"/>
          <w:b/>
          <w:bCs w:val="false"/>
          <w:color w:val="auto"/>
          <w:sz w:val="21"/>
          <w:szCs w:val="21"/>
        </w:rPr>
        <w:t>考点39</w:t>
      </w:r>
      <w:r>
        <w:rPr>
          <w:b/>
          <w:bCs w:val="false"/>
          <w:color w:val="auto"/>
          <w:sz w:val="21"/>
          <w:szCs w:val="21"/>
        </w:rPr>
        <w:t xml:space="preserve">  </w:t>
      </w:r>
      <w:r>
        <w:rPr>
          <w:rFonts w:hint="eastAsia"/>
          <w:b/>
          <w:bCs w:val="false"/>
          <w:color w:val="auto"/>
          <w:sz w:val="21"/>
          <w:szCs w:val="21"/>
        </w:rPr>
        <w:t>破坏环境资源保护犯罪</w:t>
      </w:r>
      <w:bookmarkEnd w:id="13"/>
    </w:p>
    <w:p w14:paraId="47F81656">
      <w:pPr>
        <w:pStyle w:val="style0"/>
        <w:spacing w:lineRule="exact" w:line="400"/>
        <w:ind w:firstLine="420"/>
        <w:jc w:val="left"/>
        <w:rPr>
          <w:rFonts w:ascii="汉仪书宋二简" w:cs="汉仪书宋二简" w:hAnsi="汉仪书宋二简" w:hint="eastAsia"/>
          <w:kern w:val="0"/>
        </w:rPr>
      </w:pPr>
    </w:p>
    <w:p w14:paraId="137DC74C">
      <w:pPr>
        <w:pStyle w:val="style0"/>
        <w:spacing w:lineRule="exact" w:line="400"/>
        <w:ind w:firstLine="420"/>
        <w:rPr>
          <w:rFonts w:ascii="汉仪中黑简" w:cs="汉仪书宋二简" w:eastAsia="汉仪中黑简" w:hAnsi="汉仪书宋二简" w:hint="eastAsia"/>
          <w:kern w:val="0"/>
        </w:rPr>
      </w:pPr>
      <w:r>
        <w:rPr>
          <w:rFonts w:ascii="汉仪中黑简" w:cs="汉仪书宋二简" w:eastAsia="汉仪中黑简" w:hAnsi="汉仪书宋二简" w:hint="eastAsia"/>
          <w:kern w:val="0"/>
        </w:rPr>
        <w:t>林木犯罪：盗伐林木罪；滥伐林木罪</w:t>
      </w:r>
    </w:p>
    <w:p w14:paraId="5B537138">
      <w:pPr>
        <w:pStyle w:val="style0"/>
        <w:snapToGrid w:val="false"/>
        <w:spacing w:lineRule="exact" w:line="400"/>
        <w:ind w:firstLine="420"/>
        <w:rPr>
          <w:rFonts w:ascii="楷体" w:cs="Times New Roman" w:eastAsia="楷体" w:hAnsi="楷体" w:hint="eastAsia"/>
          <w:spacing w:val="-3"/>
        </w:rPr>
      </w:pPr>
      <w:r>
        <w:rPr>
          <w:rFonts w:ascii="汉仪中黑简" w:eastAsia="汉仪中黑简" w:hint="eastAsia"/>
          <w:color w:val="ff0000"/>
        </w:rPr>
        <w:t>第345条第1、2款</w:t>
      </w:r>
    </w:p>
    <w:p w14:paraId="2B2B5D8B">
      <w:pPr>
        <w:pStyle w:val="style0"/>
        <w:snapToGrid w:val="false"/>
        <w:spacing w:lineRule="exact" w:line="400"/>
        <w:ind w:firstLine="408"/>
        <w:rPr>
          <w:rFonts w:ascii="楷体" w:cs="Times New Roman" w:eastAsia="楷体" w:hAnsi="楷体" w:hint="eastAsia"/>
          <w:spacing w:val="-3"/>
        </w:rPr>
      </w:pPr>
    </w:p>
    <w:p w14:paraId="39B05C10">
      <w:pPr>
        <w:pStyle w:val="style0"/>
        <w:spacing w:lineRule="exact" w:line="400"/>
        <w:ind w:firstLine="420"/>
        <w:rPr>
          <w:rFonts w:ascii="汉仪书宋二简" w:cs="汉仪书宋二简" w:hAnsi="汉仪书宋二简" w:hint="eastAsia"/>
          <w:kern w:val="0"/>
        </w:rPr>
      </w:pPr>
      <w:r>
        <w:rPr>
          <w:rFonts w:ascii="汉仪中黑简" w:eastAsia="汉仪中黑简" w:hint="eastAsia"/>
        </w:rPr>
        <w:t>1．对象：林木，</w:t>
      </w:r>
      <w:r>
        <w:rPr>
          <w:rFonts w:ascii="汉仪书宋二简" w:cs="汉仪书宋二简" w:hAnsi="汉仪书宋二简" w:hint="eastAsia"/>
          <w:kern w:val="0"/>
        </w:rPr>
        <w:t>指活的、成片（大面积、小面积，成规模）的树林（竹林）。</w:t>
      </w:r>
    </w:p>
    <w:p w14:paraId="3DC89EF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（1）活的树（竹），把活树弄死。只有把“活树”砍倒使其死亡，才能触犯本二罪。</w:t>
      </w:r>
    </w:p>
    <w:p w14:paraId="54882D32">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盗伐已经枯死、病死的林木的，以及偷走已经被他人砍倒的树木，不构成盗伐林木罪，应认定为盗窃罪。砍伐树枝，不至于使树木死亡的，也不构成本二罪。</w:t>
      </w:r>
    </w:p>
    <w:p w14:paraId="073AB67A">
      <w:pPr>
        <w:pStyle w:val="style0"/>
        <w:spacing w:lineRule="exact" w:line="400"/>
        <w:ind w:firstLine="422"/>
        <w:rPr>
          <w:rFonts w:ascii="汉仪书宋二简" w:cs="汉仪书宋二简" w:hAnsi="汉仪书宋二简" w:hint="eastAsia"/>
          <w:b/>
          <w:bCs/>
          <w:kern w:val="0"/>
        </w:rPr>
      </w:pPr>
      <w:r>
        <w:rPr>
          <w:rFonts w:ascii="汉仪书宋二简" w:cs="汉仪书宋二简" w:hAnsi="汉仪书宋二简" w:hint="eastAsia"/>
          <w:b/>
          <w:bCs/>
          <w:kern w:val="0"/>
        </w:rPr>
        <w:t>非法实施采种、采脂、挖笋、掘根、剥树皮等行为，牟取经济利益数额较大的，以盗窃罪定罪处罚。将“活树”连根盗挖走，又卖给别人移栽别处，也只构成盗窃罪。</w:t>
      </w:r>
    </w:p>
    <w:p w14:paraId="72771B9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（2）成片的林。偷砍他人房前屋后、自留地种植的零星树木，数量较大或多次偷砍的，应认定为盗窃罪。</w:t>
      </w:r>
    </w:p>
    <w:p w14:paraId="5E6A75A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（3）成片的以生产竹材为主要目的的竹林，也是本罪对象。</w:t>
      </w:r>
    </w:p>
    <w:p w14:paraId="3531579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2．盗伐林木罪：盗伐行为；滥伐林木罪：滥伐行为。</w:t>
      </w:r>
    </w:p>
    <w:p w14:paraId="40F96131">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（1）盗伐，指以非法占有为目的擅自砍伐他人林木。</w:t>
      </w:r>
    </w:p>
    <w:p w14:paraId="3A1276E2">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（2）滥伐，指无证、违规砍伐。</w:t>
      </w:r>
    </w:p>
    <w:p w14:paraId="71678D05">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3．责任要素：</w:t>
      </w:r>
    </w:p>
    <w:p w14:paraId="2C99FF9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（1）盗伐林木罪：要求具有非法占有目的。</w:t>
      </w:r>
    </w:p>
    <w:p w14:paraId="2AEFFB2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（2）滥伐林木罪：要求不具有非法占有目的。</w:t>
      </w:r>
    </w:p>
    <w:p w14:paraId="5384090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4．盗伐林木罪与盗窃罪的关系：“盗伐”内含有“盗窃”的内容。</w:t>
      </w:r>
    </w:p>
    <w:p w14:paraId="0B5BFC6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（1）盗伐林木，达到“数量较大”（以5立方米或者幼树200株、或价值2万元为起点），构成盗伐林木罪。</w:t>
      </w:r>
    </w:p>
    <w:p w14:paraId="62EFF774">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（2）盗伐林木，为抗拒抓捕、窝藏赃物、隐匿罪证，当场使用暴力或以暴力相威胁的，</w:t>
      </w:r>
      <w:r>
        <w:rPr>
          <w:rFonts w:ascii="汉仪书宋二简" w:cs="汉仪书宋二简" w:hAnsi="汉仪书宋二简" w:hint="eastAsia"/>
          <w:kern w:val="0"/>
        </w:rPr>
        <w:t>可构成转化型抢劫。</w:t>
      </w:r>
    </w:p>
    <w:p w14:paraId="2AF501C5">
      <w:pPr>
        <w:pStyle w:val="style0"/>
        <w:spacing w:lineRule="exact" w:line="400"/>
        <w:ind w:firstLine="420"/>
        <w:rPr>
          <w:rFonts w:ascii="汉仪书宋二简" w:cs="汉仪书宋二简" w:hAnsi="汉仪书宋二简" w:hint="eastAsia"/>
          <w:kern w:val="0"/>
        </w:rPr>
      </w:pPr>
    </w:p>
    <w:p w14:paraId="1451BA3C">
      <w:pPr>
        <w:pStyle w:val="style0"/>
        <w:spacing w:lineRule="exact" w:line="400"/>
        <w:ind w:firstLine="420"/>
        <w:rPr>
          <w:rFonts w:ascii="汉仪书宋二简" w:cs="汉仪书宋二简" w:hAnsi="汉仪书宋二简" w:hint="eastAsia"/>
          <w:kern w:val="0"/>
        </w:rPr>
      </w:pPr>
    </w:p>
    <w:bookmarkStart w:id="14" w:name="_Toc188371400"/>
    <w:p w14:paraId="1E625735">
      <w:pPr>
        <w:pStyle w:val="style1"/>
        <w:spacing w:before="0" w:lineRule="exact" w:line="400"/>
        <w:rPr>
          <w:rFonts w:hint="eastAsia"/>
          <w:b/>
          <w:bCs w:val="false"/>
          <w:color w:val="auto"/>
          <w:sz w:val="21"/>
          <w:szCs w:val="21"/>
        </w:rPr>
      </w:pPr>
      <w:r>
        <w:rPr>
          <w:rFonts w:hint="eastAsia"/>
          <w:b/>
          <w:bCs w:val="false"/>
          <w:color w:val="auto"/>
          <w:sz w:val="21"/>
          <w:szCs w:val="21"/>
        </w:rPr>
        <w:t>考点40</w:t>
      </w:r>
      <w:r>
        <w:rPr>
          <w:b/>
          <w:bCs w:val="false"/>
          <w:color w:val="auto"/>
          <w:sz w:val="21"/>
          <w:szCs w:val="21"/>
        </w:rPr>
        <w:t xml:space="preserve">  </w:t>
      </w:r>
      <w:r>
        <w:rPr>
          <w:rFonts w:hint="eastAsia"/>
          <w:b/>
          <w:bCs w:val="false"/>
          <w:color w:val="auto"/>
          <w:sz w:val="21"/>
          <w:szCs w:val="21"/>
        </w:rPr>
        <w:t>毒品犯罪</w:t>
      </w:r>
      <w:bookmarkEnd w:id="14"/>
    </w:p>
    <w:p w14:paraId="3DB843B4">
      <w:pPr>
        <w:pStyle w:val="style3"/>
        <w:spacing w:lineRule="exact" w:line="400"/>
        <w:rPr>
          <w:rFonts w:hint="eastAsia"/>
          <w:sz w:val="21"/>
        </w:rPr>
      </w:pPr>
    </w:p>
    <w:p w14:paraId="610A13C0">
      <w:pPr>
        <w:pStyle w:val="style3"/>
        <w:spacing w:lineRule="exact" w:line="400"/>
        <w:rPr>
          <w:rFonts w:hint="eastAsia"/>
          <w:sz w:val="21"/>
        </w:rPr>
      </w:pPr>
      <w:r>
        <w:rPr>
          <w:rFonts w:hint="eastAsia"/>
          <w:sz w:val="21"/>
        </w:rPr>
        <w:t>一、走私、贩卖、运输、制造毒品罪</w:t>
      </w:r>
    </w:p>
    <w:p w14:paraId="5AA491E7">
      <w:pPr>
        <w:pStyle w:val="style0"/>
        <w:snapToGrid w:val="false"/>
        <w:spacing w:lineRule="exact" w:line="400"/>
        <w:ind w:firstLine="420"/>
        <w:rPr>
          <w:rFonts w:ascii="楷体" w:cs="Times New Roman" w:eastAsia="楷体" w:hAnsi="楷体" w:hint="eastAsia"/>
        </w:rPr>
      </w:pPr>
      <w:r>
        <w:rPr>
          <w:rFonts w:ascii="汉仪中黑简" w:eastAsia="汉仪中黑简" w:hint="eastAsia"/>
          <w:color w:val="ff0000"/>
        </w:rPr>
        <w:t>第347条</w:t>
      </w:r>
    </w:p>
    <w:p w14:paraId="767E2CFF">
      <w:pPr>
        <w:pStyle w:val="style0"/>
        <w:spacing w:lineRule="exact" w:line="400"/>
        <w:ind w:firstLine="420"/>
        <w:rPr>
          <w:rFonts w:ascii="汉仪书宋二简" w:cs="汉仪书宋二简" w:hAnsi="汉仪书宋二简" w:hint="eastAsia"/>
          <w:kern w:val="0"/>
        </w:rPr>
      </w:pPr>
    </w:p>
    <w:p w14:paraId="619129E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概念：</w:t>
      </w:r>
      <w:r>
        <w:rPr>
          <w:rFonts w:ascii="汉仪书宋二简" w:cs="汉仪书宋二简" w:hAnsi="汉仪书宋二简" w:hint="eastAsia"/>
          <w:kern w:val="0"/>
        </w:rPr>
        <w:t>指自然人或者单位，故意走私、贩卖、运输、制造毒品的行为。</w:t>
      </w:r>
    </w:p>
    <w:p w14:paraId="1902232B">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1．对象：毒品。指鸦片、海洛因、甲基苯丙股（冰毒）、吗啡、大麻、可卡因以及国家规定管制的其他能够使人形成瘾癖的麻醉药品和精神药品。</w:t>
      </w:r>
    </w:p>
    <w:p w14:paraId="020BF9B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2．行为：走私、贩卖、运输、制造。</w:t>
      </w:r>
    </w:p>
    <w:p w14:paraId="2076E9A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（1）走私毒品，是指非法运输、携带、邮寄毒品进出国（边）境。走私入境型的走私毒品罪，以毒品到达我国领土内时为既遂，否则为未遂。</w:t>
      </w:r>
    </w:p>
    <w:p w14:paraId="0CEF3452">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w:t>
      </w:r>
      <w:r>
        <w:rPr>
          <w:rFonts w:eastAsia="汉仪中黑简" w:hint="eastAsia"/>
          <w:color w:val="ff0000"/>
        </w:rPr>
        <w:t>贩卖毒品，是指有偿转让毒品的行为</w:t>
      </w:r>
      <w:r>
        <w:rPr>
          <w:rFonts w:ascii="汉仪书宋二简" w:cs="汉仪书宋二简" w:hAnsi="汉仪书宋二简" w:hint="eastAsia"/>
          <w:kern w:val="0"/>
        </w:rPr>
        <w:t>，既可能是获取金钱，也可能是获取其他物质利益。</w:t>
      </w:r>
      <w:r>
        <w:rPr>
          <w:rFonts w:eastAsia="汉仪中黑简" w:hint="eastAsia"/>
          <w:color w:val="ff0000"/>
        </w:rPr>
        <w:t>并不要求一定要求营利，亦即，是“换钱”，而不是“赚钱”</w:t>
      </w:r>
      <w:r>
        <w:rPr>
          <w:rFonts w:ascii="汉仪书宋二简" w:cs="汉仪书宋二简" w:hAnsi="汉仪书宋二简" w:hint="eastAsia"/>
          <w:kern w:val="0"/>
        </w:rPr>
        <w:t>。</w:t>
      </w:r>
    </w:p>
    <w:p w14:paraId="4FB6E72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（3）运输毒品，指采用携带、邮寄、利用他人或者使用交通工具等方法在我国领域内转移毒品。</w:t>
      </w:r>
    </w:p>
    <w:p w14:paraId="36CFD52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运输毒品罪，</w:t>
      </w:r>
      <w:r>
        <w:rPr>
          <w:rFonts w:ascii="汉仪书宋二简" w:cs="汉仪书宋二简" w:hAnsi="汉仪书宋二简" w:hint="eastAsia"/>
          <w:b/>
          <w:bCs/>
          <w:kern w:val="0"/>
        </w:rPr>
        <w:t>运输行为使毒品离开原处或者转移了存放地的</w:t>
      </w:r>
      <w:r>
        <w:rPr>
          <w:rFonts w:ascii="汉仪书宋二简" w:cs="汉仪书宋二简" w:hAnsi="汉仪书宋二简" w:hint="eastAsia"/>
          <w:kern w:val="0"/>
        </w:rPr>
        <w:t>，则为既遂。</w:t>
      </w:r>
    </w:p>
    <w:p w14:paraId="5E314CA0">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（4）制造毒品，不仅包括非法用毒品原植物直接提炼和用化学方法加工、配制毒品的行为，也包括以改变毒品成分和效用为目的，用混合等物理方法加工、配制毒品的行为。</w:t>
      </w:r>
    </w:p>
    <w:p w14:paraId="245581F3">
      <w:pPr>
        <w:pStyle w:val="style0"/>
        <w:snapToGrid w:val="false"/>
        <w:spacing w:lineRule="exact" w:line="400"/>
        <w:ind w:firstLine="422"/>
        <w:rPr>
          <w:rFonts w:eastAsia="宋体" w:hint="eastAsia"/>
          <w:b/>
          <w:bCs/>
          <w:color w:val="ff0000"/>
        </w:rPr>
      </w:pPr>
      <w:r>
        <w:rPr>
          <w:rFonts w:eastAsia="宋体" w:hint="eastAsia"/>
          <w:b/>
          <w:bCs/>
          <w:color w:val="ff0000"/>
        </w:rPr>
        <w:t>注意：为便于隐蔽运输、销售、使用、欺骗购买者，或者为了增重，对毒品掺杂使假，添加或者去除其他非毒品物质，不属于制造毒品的行为。</w:t>
      </w:r>
    </w:p>
    <w:p w14:paraId="7F67095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已经制造出粗制毒品或者半成品的，以制造毒品罪的既遂论处。购进制造毒品的设备和原材料，开始着手制造毒品，但尚未制造出粗制毒品或者半成品的，以制造毒品罪的未遂论处。</w:t>
      </w:r>
    </w:p>
    <w:p w14:paraId="2EDF1691">
      <w:pPr>
        <w:pStyle w:val="style0"/>
        <w:snapToGrid w:val="false"/>
        <w:spacing w:lineRule="exact" w:line="400"/>
        <w:ind w:firstLine="420"/>
        <w:rPr>
          <w:rFonts w:ascii="汉仪中黑简" w:eastAsia="汉仪中黑简" w:hint="eastAsia"/>
        </w:rPr>
      </w:pPr>
      <w:r>
        <w:rPr>
          <w:rFonts w:ascii="汉仪中黑简" w:eastAsia="汉仪中黑简" w:hint="eastAsia"/>
        </w:rPr>
        <w:t>3．吸毒者、代购者、居间介绍者的定性</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289"/>
        <w:gridCol w:w="4992"/>
        <w:gridCol w:w="2224"/>
      </w:tblGrid>
      <w:tr w14:paraId="09371CA5">
        <w:trPr>
          <w:jc w:val="center"/>
        </w:trPr>
        <w:tc>
          <w:tcPr>
            <w:tcW w:w="1289" w:type="dxa"/>
            <w:vMerge w:val="restart"/>
            <w:tcBorders/>
            <w:shd w:val="clear" w:color="auto" w:fill="auto"/>
            <w:vAlign w:val="center"/>
          </w:tcPr>
          <w:p w14:paraId="3F71942A">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吸毒者</w:t>
            </w:r>
          </w:p>
        </w:tc>
        <w:tc>
          <w:tcPr>
            <w:tcW w:w="4992" w:type="dxa"/>
            <w:tcBorders/>
            <w:shd w:val="clear" w:color="auto" w:fill="auto"/>
            <w:vAlign w:val="center"/>
          </w:tcPr>
          <w:p w14:paraId="034DE0C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购买、储存过程中查获</w:t>
            </w:r>
          </w:p>
        </w:tc>
        <w:tc>
          <w:tcPr>
            <w:tcW w:w="2224" w:type="dxa"/>
            <w:tcBorders/>
            <w:shd w:val="clear" w:color="auto" w:fill="auto"/>
            <w:vAlign w:val="center"/>
          </w:tcPr>
          <w:p w14:paraId="5DB5241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非法持有毒品罪</w:t>
            </w:r>
          </w:p>
        </w:tc>
      </w:tr>
      <w:tr w14:paraId="6854F8CA">
        <w:tblPrEx/>
        <w:trPr>
          <w:jc w:val="center"/>
        </w:trPr>
        <w:tc>
          <w:tcPr>
            <w:tcW w:w="1289" w:type="dxa"/>
            <w:vMerge w:val="continue"/>
            <w:tcBorders/>
            <w:shd w:val="clear" w:color="auto" w:fill="auto"/>
            <w:vAlign w:val="center"/>
          </w:tcPr>
          <w:p w14:paraId="2252A196">
            <w:pPr>
              <w:pStyle w:val="style0"/>
              <w:snapToGrid w:val="false"/>
              <w:spacing w:before="31" w:beforeLines="10" w:after="62" w:afterLines="20" w:lineRule="exact" w:line="400"/>
              <w:ind w:firstLine="0" w:firstLineChars="0"/>
              <w:rPr>
                <w:rFonts w:ascii="汉仪中黑简" w:eastAsia="汉仪中黑简" w:hint="eastAsia"/>
              </w:rPr>
            </w:pPr>
          </w:p>
        </w:tc>
        <w:tc>
          <w:tcPr>
            <w:tcW w:w="4992" w:type="dxa"/>
            <w:tcBorders/>
            <w:shd w:val="clear" w:color="auto" w:fill="auto"/>
            <w:vAlign w:val="center"/>
          </w:tcPr>
          <w:p w14:paraId="570DC17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在运输过程中被查获</w:t>
            </w:r>
          </w:p>
        </w:tc>
        <w:tc>
          <w:tcPr>
            <w:tcW w:w="2224" w:type="dxa"/>
            <w:tcBorders/>
            <w:shd w:val="clear" w:color="auto" w:fill="auto"/>
            <w:vAlign w:val="center"/>
          </w:tcPr>
          <w:p w14:paraId="45C316F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运输毒品罪</w:t>
            </w:r>
          </w:p>
        </w:tc>
      </w:tr>
      <w:tr w14:paraId="763B68CC">
        <w:tblPrEx/>
        <w:trPr>
          <w:jc w:val="center"/>
        </w:trPr>
        <w:tc>
          <w:tcPr>
            <w:tcW w:w="1289" w:type="dxa"/>
            <w:vMerge w:val="continue"/>
            <w:tcBorders/>
            <w:shd w:val="clear" w:color="auto" w:fill="auto"/>
            <w:vAlign w:val="center"/>
          </w:tcPr>
          <w:p w14:paraId="1ED94F47">
            <w:pPr>
              <w:pStyle w:val="style0"/>
              <w:snapToGrid w:val="false"/>
              <w:spacing w:before="31" w:beforeLines="10" w:after="62" w:afterLines="20" w:lineRule="exact" w:line="400"/>
              <w:ind w:firstLine="0" w:firstLineChars="0"/>
              <w:rPr>
                <w:rFonts w:ascii="汉仪中黑简" w:eastAsia="汉仪中黑简" w:hint="eastAsia"/>
              </w:rPr>
            </w:pPr>
          </w:p>
        </w:tc>
        <w:tc>
          <w:tcPr>
            <w:tcW w:w="4992" w:type="dxa"/>
            <w:tcBorders/>
            <w:shd w:val="clear" w:color="auto" w:fill="auto"/>
            <w:vAlign w:val="center"/>
          </w:tcPr>
          <w:p w14:paraId="11C30DD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为实施贩卖毒品等他罪而购买，或</w:t>
            </w:r>
            <w:r>
              <w:rPr>
                <w:rFonts w:ascii="汉仪中黑简" w:eastAsia="汉仪中黑简" w:hint="eastAsia"/>
              </w:rPr>
              <w:t>有偿转出</w:t>
            </w:r>
          </w:p>
        </w:tc>
        <w:tc>
          <w:tcPr>
            <w:tcW w:w="2224" w:type="dxa"/>
            <w:tcBorders/>
            <w:shd w:val="clear" w:color="auto" w:fill="auto"/>
            <w:vAlign w:val="center"/>
          </w:tcPr>
          <w:p w14:paraId="02F7C48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中黑简" w:eastAsia="汉仪中黑简" w:hint="eastAsia"/>
              </w:rPr>
              <w:t>贩卖毒品罪</w:t>
            </w:r>
            <w:r>
              <w:rPr>
                <w:rFonts w:ascii="汉仪书宋一简" w:eastAsia="汉仪书宋一简" w:hint="eastAsia"/>
              </w:rPr>
              <w:t>等他罪</w:t>
            </w:r>
          </w:p>
        </w:tc>
      </w:tr>
      <w:bookmarkStart w:id="15" w:name="_Hlk62556418"/>
      <w:tr w14:paraId="395C3AD4">
        <w:tblPrEx/>
        <w:trPr>
          <w:jc w:val="center"/>
        </w:trPr>
        <w:tc>
          <w:tcPr>
            <w:tcW w:w="1289" w:type="dxa"/>
            <w:vMerge w:val="restart"/>
            <w:tcBorders/>
            <w:shd w:val="clear" w:color="auto" w:fill="auto"/>
            <w:vAlign w:val="center"/>
          </w:tcPr>
          <w:p w14:paraId="603060AE">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托购者、</w:t>
            </w:r>
          </w:p>
          <w:p w14:paraId="3AF9ECD2">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代购者</w:t>
            </w:r>
          </w:p>
        </w:tc>
        <w:tc>
          <w:tcPr>
            <w:tcW w:w="4992" w:type="dxa"/>
            <w:tcBorders/>
            <w:shd w:val="clear" w:color="auto" w:fill="auto"/>
            <w:vAlign w:val="center"/>
          </w:tcPr>
          <w:p w14:paraId="20FF069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购买、储存过程中查获</w:t>
            </w:r>
          </w:p>
        </w:tc>
        <w:tc>
          <w:tcPr>
            <w:tcW w:w="2224" w:type="dxa"/>
            <w:tcBorders/>
            <w:shd w:val="clear" w:color="auto" w:fill="auto"/>
            <w:vAlign w:val="center"/>
          </w:tcPr>
          <w:p w14:paraId="72AB86B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非法持有毒品罪共犯</w:t>
            </w:r>
          </w:p>
        </w:tc>
      </w:tr>
      <w:bookmarkEnd w:id="15"/>
      <w:tr w14:paraId="342B69F2">
        <w:tblPrEx/>
        <w:trPr>
          <w:jc w:val="center"/>
        </w:trPr>
        <w:tc>
          <w:tcPr>
            <w:tcW w:w="1289" w:type="dxa"/>
            <w:vMerge w:val="continue"/>
            <w:tcBorders/>
            <w:shd w:val="clear" w:color="auto" w:fill="auto"/>
            <w:vAlign w:val="center"/>
          </w:tcPr>
          <w:p w14:paraId="2249A5C4">
            <w:pPr>
              <w:pStyle w:val="style0"/>
              <w:snapToGrid w:val="false"/>
              <w:spacing w:before="31" w:beforeLines="10" w:after="62" w:afterLines="20" w:lineRule="exact" w:line="400"/>
              <w:ind w:firstLine="0" w:firstLineChars="0"/>
              <w:rPr>
                <w:rFonts w:ascii="汉仪中黑简" w:eastAsia="汉仪中黑简" w:hint="eastAsia"/>
              </w:rPr>
            </w:pPr>
          </w:p>
        </w:tc>
        <w:tc>
          <w:tcPr>
            <w:tcW w:w="4992" w:type="dxa"/>
            <w:tcBorders/>
            <w:shd w:val="clear" w:color="auto" w:fill="auto"/>
            <w:vAlign w:val="center"/>
          </w:tcPr>
          <w:p w14:paraId="7E69265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在运输过程中被查获</w:t>
            </w:r>
          </w:p>
        </w:tc>
        <w:tc>
          <w:tcPr>
            <w:tcW w:w="2224" w:type="dxa"/>
            <w:tcBorders/>
            <w:shd w:val="clear" w:color="auto" w:fill="auto"/>
            <w:vAlign w:val="center"/>
          </w:tcPr>
          <w:p w14:paraId="22F1E00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运输毒品罪共犯</w:t>
            </w:r>
          </w:p>
        </w:tc>
      </w:tr>
      <w:tr w14:paraId="09A02EA0">
        <w:tblPrEx/>
        <w:trPr>
          <w:jc w:val="center"/>
        </w:trPr>
        <w:tc>
          <w:tcPr>
            <w:tcW w:w="1289" w:type="dxa"/>
            <w:vMerge w:val="continue"/>
            <w:tcBorders/>
            <w:shd w:val="clear" w:color="auto" w:fill="auto"/>
            <w:vAlign w:val="center"/>
          </w:tcPr>
          <w:p w14:paraId="008C2BC1">
            <w:pPr>
              <w:pStyle w:val="style0"/>
              <w:snapToGrid w:val="false"/>
              <w:spacing w:before="31" w:beforeLines="10" w:after="62" w:afterLines="20" w:lineRule="exact" w:line="400"/>
              <w:ind w:firstLine="0" w:firstLineChars="0"/>
              <w:rPr>
                <w:rFonts w:ascii="汉仪中黑简" w:eastAsia="汉仪中黑简" w:hint="eastAsia"/>
              </w:rPr>
            </w:pPr>
          </w:p>
        </w:tc>
        <w:tc>
          <w:tcPr>
            <w:tcW w:w="4992" w:type="dxa"/>
            <w:tcBorders/>
            <w:shd w:val="clear" w:color="auto" w:fill="auto"/>
            <w:vAlign w:val="center"/>
          </w:tcPr>
          <w:p w14:paraId="1C773F7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中黑简" w:eastAsia="汉仪中黑简" w:hint="eastAsia"/>
              </w:rPr>
              <w:t>加价或变相加价</w:t>
            </w:r>
            <w:r>
              <w:rPr>
                <w:rFonts w:ascii="汉仪书宋一简" w:eastAsia="汉仪书宋一简" w:hint="eastAsia"/>
              </w:rPr>
              <w:t>（收取费用、部分毒品作为酬劳）</w:t>
            </w:r>
          </w:p>
        </w:tc>
        <w:tc>
          <w:tcPr>
            <w:tcW w:w="2224" w:type="dxa"/>
            <w:tcBorders/>
            <w:shd w:val="clear" w:color="auto" w:fill="auto"/>
            <w:vAlign w:val="center"/>
          </w:tcPr>
          <w:p w14:paraId="25CB76FA">
            <w:pPr>
              <w:pStyle w:val="style0"/>
              <w:snapToGrid w:val="false"/>
              <w:spacing w:before="31" w:beforeLines="10" w:after="62" w:afterLines="20" w:lineRule="exact" w:line="400"/>
              <w:ind w:firstLine="0" w:firstLineChars="0"/>
              <w:rPr>
                <w:rFonts w:ascii="汉仪书宋一简" w:eastAsia="汉仪书宋一简" w:hint="eastAsia"/>
                <w:b/>
              </w:rPr>
            </w:pPr>
            <w:r>
              <w:rPr>
                <w:rFonts w:ascii="汉仪中黑简" w:eastAsia="汉仪中黑简" w:hint="eastAsia"/>
              </w:rPr>
              <w:t>贩卖毒品罪</w:t>
            </w:r>
          </w:p>
        </w:tc>
      </w:tr>
      <w:tr w14:paraId="6D3169EB">
        <w:tblPrEx/>
        <w:trPr>
          <w:jc w:val="center"/>
        </w:trPr>
        <w:tc>
          <w:tcPr>
            <w:tcW w:w="1289" w:type="dxa"/>
            <w:vMerge w:val="restart"/>
            <w:tcBorders/>
            <w:shd w:val="clear" w:color="auto" w:fill="auto"/>
            <w:vAlign w:val="center"/>
          </w:tcPr>
          <w:p w14:paraId="61296B21">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居间介绍者</w:t>
            </w:r>
          </w:p>
        </w:tc>
        <w:tc>
          <w:tcPr>
            <w:tcW w:w="4992" w:type="dxa"/>
            <w:tcBorders/>
            <w:shd w:val="clear" w:color="auto" w:fill="auto"/>
            <w:vAlign w:val="center"/>
          </w:tcPr>
          <w:p w14:paraId="0CFFBFA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受贩毒者委托，为其介绍联络购毒者</w:t>
            </w:r>
          </w:p>
        </w:tc>
        <w:tc>
          <w:tcPr>
            <w:tcW w:w="2224" w:type="dxa"/>
            <w:tcBorders/>
            <w:shd w:val="clear" w:color="auto" w:fill="auto"/>
            <w:vAlign w:val="center"/>
          </w:tcPr>
          <w:p w14:paraId="4A6704D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贩卖毒品罪共犯</w:t>
            </w:r>
          </w:p>
        </w:tc>
      </w:tr>
      <w:tr w14:paraId="6AEC6343">
        <w:tblPrEx/>
        <w:trPr>
          <w:jc w:val="center"/>
        </w:trPr>
        <w:tc>
          <w:tcPr>
            <w:tcW w:w="1289" w:type="dxa"/>
            <w:vMerge w:val="continue"/>
            <w:tcBorders/>
            <w:shd w:val="clear" w:color="auto" w:fill="auto"/>
            <w:vAlign w:val="center"/>
          </w:tcPr>
          <w:p w14:paraId="1BB956F5">
            <w:pPr>
              <w:pStyle w:val="style0"/>
              <w:snapToGrid w:val="false"/>
              <w:spacing w:before="31" w:beforeLines="10" w:after="62" w:afterLines="20" w:lineRule="exact" w:line="400"/>
              <w:ind w:firstLine="0" w:firstLineChars="0"/>
              <w:rPr>
                <w:rFonts w:ascii="汉仪书宋一简" w:eastAsia="汉仪书宋一简" w:hint="eastAsia"/>
              </w:rPr>
            </w:pPr>
          </w:p>
        </w:tc>
        <w:tc>
          <w:tcPr>
            <w:tcW w:w="4992" w:type="dxa"/>
            <w:tcBorders/>
            <w:shd w:val="clear" w:color="auto" w:fill="auto"/>
            <w:vAlign w:val="center"/>
          </w:tcPr>
          <w:p w14:paraId="3049AEC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明知购毒者以贩卖为目的购买毒品，受委托为其介绍联络贩毒者</w:t>
            </w:r>
          </w:p>
        </w:tc>
        <w:tc>
          <w:tcPr>
            <w:tcW w:w="2224" w:type="dxa"/>
            <w:tcBorders/>
            <w:shd w:val="clear" w:color="auto" w:fill="auto"/>
            <w:vAlign w:val="center"/>
          </w:tcPr>
          <w:p w14:paraId="15C2BD7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贩卖毒品罪共犯</w:t>
            </w:r>
          </w:p>
        </w:tc>
      </w:tr>
      <w:tr w14:paraId="2A9E793C">
        <w:tblPrEx/>
        <w:trPr>
          <w:jc w:val="center"/>
        </w:trPr>
        <w:tc>
          <w:tcPr>
            <w:tcW w:w="1289" w:type="dxa"/>
            <w:vMerge w:val="continue"/>
            <w:tcBorders/>
            <w:shd w:val="clear" w:color="auto" w:fill="auto"/>
            <w:vAlign w:val="center"/>
          </w:tcPr>
          <w:p w14:paraId="09A8EF0A">
            <w:pPr>
              <w:pStyle w:val="style0"/>
              <w:snapToGrid w:val="false"/>
              <w:spacing w:before="31" w:beforeLines="10" w:after="62" w:afterLines="20" w:lineRule="exact" w:line="400"/>
              <w:ind w:firstLine="0" w:firstLineChars="0"/>
              <w:rPr>
                <w:rFonts w:ascii="汉仪书宋一简" w:eastAsia="汉仪书宋一简" w:hint="eastAsia"/>
              </w:rPr>
            </w:pPr>
          </w:p>
        </w:tc>
        <w:tc>
          <w:tcPr>
            <w:tcW w:w="4992" w:type="dxa"/>
            <w:tcBorders/>
            <w:shd w:val="clear" w:color="auto" w:fill="auto"/>
            <w:vAlign w:val="center"/>
          </w:tcPr>
          <w:p w14:paraId="30E7031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受以吸食为目的的购毒者委托，为其介绍联络贩毒者</w:t>
            </w:r>
          </w:p>
        </w:tc>
        <w:tc>
          <w:tcPr>
            <w:tcW w:w="2224" w:type="dxa"/>
            <w:tcBorders/>
            <w:shd w:val="clear" w:color="auto" w:fill="auto"/>
            <w:vAlign w:val="center"/>
          </w:tcPr>
          <w:p w14:paraId="296F3705">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非法持有毒品罪共犯</w:t>
            </w:r>
          </w:p>
        </w:tc>
      </w:tr>
      <w:tr w14:paraId="68A75ACD">
        <w:tblPrEx/>
        <w:trPr>
          <w:jc w:val="center"/>
        </w:trPr>
        <w:tc>
          <w:tcPr>
            <w:tcW w:w="1289" w:type="dxa"/>
            <w:vMerge w:val="continue"/>
            <w:tcBorders/>
            <w:shd w:val="clear" w:color="auto" w:fill="auto"/>
            <w:vAlign w:val="center"/>
          </w:tcPr>
          <w:p w14:paraId="1C9DB20A">
            <w:pPr>
              <w:pStyle w:val="style0"/>
              <w:snapToGrid w:val="false"/>
              <w:spacing w:before="31" w:beforeLines="10" w:after="62" w:afterLines="20" w:lineRule="exact" w:line="400"/>
              <w:ind w:firstLine="0" w:firstLineChars="0"/>
              <w:rPr>
                <w:rFonts w:ascii="汉仪书宋一简" w:eastAsia="汉仪书宋一简" w:hint="eastAsia"/>
              </w:rPr>
            </w:pPr>
          </w:p>
        </w:tc>
        <w:tc>
          <w:tcPr>
            <w:tcW w:w="4992" w:type="dxa"/>
            <w:tcBorders/>
            <w:shd w:val="clear" w:color="auto" w:fill="auto"/>
            <w:vAlign w:val="center"/>
          </w:tcPr>
          <w:p w14:paraId="68C3E8C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同时与贩毒者、购毒者共谋，联络促成双方交易</w:t>
            </w:r>
          </w:p>
        </w:tc>
        <w:tc>
          <w:tcPr>
            <w:tcW w:w="2224" w:type="dxa"/>
            <w:tcBorders/>
            <w:shd w:val="clear" w:color="auto" w:fill="auto"/>
            <w:vAlign w:val="center"/>
          </w:tcPr>
          <w:p w14:paraId="3EC6B8A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常定贩卖毒品罪共犯</w:t>
            </w:r>
          </w:p>
        </w:tc>
      </w:tr>
    </w:tbl>
    <w:p w14:paraId="77534CC7">
      <w:pPr>
        <w:pStyle w:val="style0"/>
        <w:spacing w:lineRule="exact" w:line="400"/>
        <w:ind w:firstLine="420"/>
        <w:rPr>
          <w:rFonts w:ascii="汉仪书宋二简" w:cs="汉仪书宋二简" w:hAnsi="汉仪书宋二简" w:hint="eastAsia"/>
          <w:kern w:val="0"/>
        </w:rPr>
      </w:pPr>
    </w:p>
    <w:p w14:paraId="51B5541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4．走私、贩卖、运输、制造毒品，无论数量多少，都应当追究刑事责任。</w:t>
      </w:r>
    </w:p>
    <w:p w14:paraId="3468FD68">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5．毒品的数量：①办理毒品犯罪案件，无论毒品纯度高低，一般均应将查证属实的毒品数量认定为毒品犯罪的数量，并据此确定适用的法定刑幅度，但司法解释另有规定或者为了隐蔽运输而临时改变毒品常规形态的除外。涉案毒品纯度明显低于同类毒品的正常纯度的，量刑时可以酌情考虑。②制造毒品案件中，毒品成品、半成品的数量应当全部认定为制造毒品的数量，对于无法再加工出成品、半成品的废液、废料则不应计入制造毒品的数量。对于废液、废料的认定，可以根据其毒品成分的含量、外观形态，结合被告人对制毒过程的供述等证据进行分析判断，必要时可以听取鉴定机构的意见。</w:t>
      </w:r>
    </w:p>
    <w:p w14:paraId="3ACE57F2">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6．罪数。</w:t>
      </w:r>
    </w:p>
    <w:p w14:paraId="1910BE9A">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（1）结合犯（加重犯）：走私、贩卖、运输、制造毒品，又以暴力拒绝检查、拘留、逮捕，构成走私、贩卖、运输、制造毒品罪一罪的加重犯。</w:t>
      </w:r>
    </w:p>
    <w:p w14:paraId="326CCBB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（2）数罪并罚（不是事后不可罚）：盗窃、抢夺、抢劫毒品，后又实施其他毒品犯罪。</w:t>
      </w:r>
    </w:p>
    <w:p w14:paraId="12CF5CE2">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（3）数罪并罚：走私毒品，又走私其他物品构成犯罪的，以走私毒品罪和其所犯的其他走私罪分别定罪，依法数罪并罚。</w:t>
      </w:r>
    </w:p>
    <w:p w14:paraId="382B0F30">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（4）想象竞合：触犯非法利用信息网络罪，同时构成贩卖毒品罪、非法买卖制毒物品罪、传授犯罪方法罪等犯罪的，择一重处。</w:t>
      </w:r>
    </w:p>
    <w:p w14:paraId="66F26A0B">
      <w:pPr>
        <w:pStyle w:val="style0"/>
        <w:spacing w:lineRule="exact" w:line="400"/>
        <w:ind w:firstLine="420"/>
        <w:rPr>
          <w:rFonts w:ascii="汉仪书宋二简" w:cs="汉仪书宋二简" w:hAnsi="汉仪书宋二简" w:hint="eastAsia"/>
          <w:kern w:val="0"/>
        </w:rPr>
      </w:pPr>
    </w:p>
    <w:p w14:paraId="7CDB1E61">
      <w:pPr>
        <w:pStyle w:val="style3"/>
        <w:spacing w:lineRule="exact" w:line="400"/>
        <w:rPr>
          <w:rFonts w:hint="eastAsia"/>
          <w:sz w:val="21"/>
        </w:rPr>
      </w:pPr>
      <w:r>
        <w:rPr>
          <w:rFonts w:hint="eastAsia"/>
          <w:sz w:val="21"/>
        </w:rPr>
        <w:t>二、本节其他罪名</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3619"/>
        <w:gridCol w:w="4886"/>
      </w:tblGrid>
      <w:tr w14:paraId="53DBB1FB">
        <w:trPr>
          <w:jc w:val="center"/>
        </w:trPr>
        <w:tc>
          <w:tcPr>
            <w:tcW w:w="3619" w:type="dxa"/>
            <w:tcBorders/>
            <w:shd w:val="clear" w:color="auto" w:fill="auto"/>
            <w:vAlign w:val="center"/>
          </w:tcPr>
          <w:p w14:paraId="7D296F23">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非法持有毒品罪</w:t>
            </w:r>
          </w:p>
        </w:tc>
        <w:tc>
          <w:tcPr>
            <w:tcW w:w="4886" w:type="dxa"/>
            <w:tcBorders/>
            <w:shd w:val="clear" w:color="auto" w:fill="auto"/>
            <w:vAlign w:val="center"/>
          </w:tcPr>
          <w:p w14:paraId="39999451">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b/>
                <w:kern w:val="0"/>
              </w:rPr>
            </w:pPr>
            <w:r>
              <w:rPr>
                <w:rFonts w:ascii="汉仪书宋一简" w:cs="Times New Roman" w:eastAsia="汉仪书宋一简" w:hAnsi="Times New Roman" w:hint="eastAsia"/>
                <w:kern w:val="0"/>
              </w:rPr>
              <w:t>构罪需达到一定数量（可被其他毒品犯罪吸收）</w:t>
            </w:r>
          </w:p>
        </w:tc>
      </w:tr>
      <w:tr w14:paraId="02B13891">
        <w:tblPrEx/>
        <w:trPr>
          <w:jc w:val="center"/>
        </w:trPr>
        <w:tc>
          <w:tcPr>
            <w:tcW w:w="3619" w:type="dxa"/>
            <w:tcBorders/>
            <w:shd w:val="clear" w:color="auto" w:fill="auto"/>
            <w:vAlign w:val="center"/>
          </w:tcPr>
          <w:p w14:paraId="2E47B9C2">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非法生产、买卖、运输制毒物品、走私制毒物品罪</w:t>
            </w:r>
          </w:p>
        </w:tc>
        <w:tc>
          <w:tcPr>
            <w:tcW w:w="4886" w:type="dxa"/>
            <w:tcBorders/>
            <w:shd w:val="clear" w:color="auto" w:fill="auto"/>
            <w:vAlign w:val="center"/>
          </w:tcPr>
          <w:p w14:paraId="10AE1D93">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生产、买卖、运输、走私四行为</w:t>
            </w:r>
          </w:p>
        </w:tc>
      </w:tr>
      <w:tr w14:paraId="6D1B1F61">
        <w:tblPrEx/>
        <w:trPr>
          <w:jc w:val="center"/>
        </w:trPr>
        <w:tc>
          <w:tcPr>
            <w:tcW w:w="3619" w:type="dxa"/>
            <w:tcBorders/>
            <w:shd w:val="clear" w:color="auto" w:fill="auto"/>
            <w:vAlign w:val="center"/>
          </w:tcPr>
          <w:p w14:paraId="63D3D3F0">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非法种植毒品原植物罪</w:t>
            </w:r>
          </w:p>
        </w:tc>
        <w:tc>
          <w:tcPr>
            <w:tcW w:w="4886" w:type="dxa"/>
            <w:tcBorders/>
            <w:shd w:val="clear" w:color="auto" w:fill="auto"/>
            <w:vAlign w:val="center"/>
          </w:tcPr>
          <w:p w14:paraId="5076800C">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在收获前自动铲除的，可以免除处罚</w:t>
            </w:r>
          </w:p>
        </w:tc>
      </w:tr>
      <w:tr w14:paraId="61783003">
        <w:tblPrEx/>
        <w:trPr>
          <w:trHeight w:val="250" w:hRule="atLeast"/>
          <w:jc w:val="center"/>
        </w:trPr>
        <w:tc>
          <w:tcPr>
            <w:tcW w:w="3619" w:type="dxa"/>
            <w:tcBorders/>
            <w:shd w:val="clear" w:color="auto" w:fill="auto"/>
            <w:vAlign w:val="center"/>
          </w:tcPr>
          <w:p w14:paraId="448FAFF8">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引诱、教唆、欺骗他人吸毒罪</w:t>
            </w:r>
          </w:p>
        </w:tc>
        <w:tc>
          <w:tcPr>
            <w:tcW w:w="4886" w:type="dxa"/>
            <w:tcBorders/>
            <w:shd w:val="clear" w:color="auto" w:fill="auto"/>
            <w:vAlign w:val="center"/>
          </w:tcPr>
          <w:p w14:paraId="575E8DF1">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引诱、教唆、欺骗：他人有认识能力和意志自由</w:t>
            </w:r>
          </w:p>
        </w:tc>
      </w:tr>
      <w:tr w14:paraId="2542BC8B">
        <w:tblPrEx/>
        <w:trPr>
          <w:trHeight w:val="280" w:hRule="atLeast"/>
          <w:jc w:val="center"/>
        </w:trPr>
        <w:tc>
          <w:tcPr>
            <w:tcW w:w="3619" w:type="dxa"/>
            <w:tcBorders/>
            <w:shd w:val="clear" w:color="auto" w:fill="auto"/>
            <w:vAlign w:val="center"/>
          </w:tcPr>
          <w:p w14:paraId="5AD6DEA5">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强迫他人吸毒罪</w:t>
            </w:r>
          </w:p>
        </w:tc>
        <w:tc>
          <w:tcPr>
            <w:tcW w:w="4886" w:type="dxa"/>
            <w:tcBorders/>
            <w:shd w:val="clear" w:color="auto" w:fill="auto"/>
            <w:vAlign w:val="center"/>
          </w:tcPr>
          <w:p w14:paraId="00284DF1">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强迫：他人无认识能力或意志自由（例如婴儿）</w:t>
            </w:r>
          </w:p>
        </w:tc>
      </w:tr>
      <w:tr w14:paraId="46952869">
        <w:tblPrEx/>
        <w:trPr>
          <w:trHeight w:val="290" w:hRule="atLeast"/>
          <w:jc w:val="center"/>
        </w:trPr>
        <w:tc>
          <w:tcPr>
            <w:tcW w:w="3619" w:type="dxa"/>
            <w:tcBorders/>
            <w:shd w:val="clear" w:color="auto" w:fill="auto"/>
            <w:vAlign w:val="center"/>
          </w:tcPr>
          <w:p w14:paraId="0C47D780">
            <w:pPr>
              <w:pStyle w:val="style0"/>
              <w:autoSpaceDE w:val="false"/>
              <w:autoSpaceDN w:val="false"/>
              <w:adjustRightInd w:val="false"/>
              <w:snapToGrid w:val="false"/>
              <w:spacing w:before="31" w:beforeLines="10" w:after="62" w:afterLines="20" w:lineRule="exact" w:line="400"/>
              <w:ind w:firstLine="0" w:firstLineChars="0"/>
              <w:jc w:val="left"/>
              <w:rPr>
                <w:rFonts w:ascii="汉仪中黑简" w:eastAsia="汉仪中黑简" w:hint="eastAsia"/>
              </w:rPr>
            </w:pPr>
            <w:r>
              <w:rPr>
                <w:rFonts w:ascii="汉仪中黑简" w:eastAsia="汉仪中黑简" w:hint="eastAsia"/>
              </w:rPr>
              <w:t>容留他人吸毒罪</w:t>
            </w:r>
          </w:p>
        </w:tc>
        <w:tc>
          <w:tcPr>
            <w:tcW w:w="4886" w:type="dxa"/>
            <w:tcBorders/>
            <w:shd w:val="clear" w:color="auto" w:fill="auto"/>
            <w:vAlign w:val="center"/>
          </w:tcPr>
          <w:p w14:paraId="3B22F170">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容留：行为人对空间有管控力</w:t>
            </w:r>
          </w:p>
        </w:tc>
      </w:tr>
      <w:tr w14:paraId="0B2BDDFA">
        <w:tblPrEx/>
        <w:trPr>
          <w:trHeight w:val="250" w:hRule="atLeast"/>
          <w:jc w:val="center"/>
        </w:trPr>
        <w:tc>
          <w:tcPr>
            <w:tcW w:w="3619" w:type="dxa"/>
            <w:tcBorders/>
            <w:shd w:val="clear" w:color="auto" w:fill="auto"/>
            <w:vAlign w:val="center"/>
          </w:tcPr>
          <w:p w14:paraId="633C0C00">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eastAsia="汉仪书宋一简" w:hint="eastAsia"/>
                <w:b/>
                <w:kern w:val="0"/>
              </w:rPr>
            </w:pPr>
            <w:r>
              <w:rPr>
                <w:rFonts w:ascii="汉仪中黑简" w:eastAsia="汉仪中黑简" w:hint="eastAsia"/>
              </w:rPr>
              <w:t>包庇毒品犯罪分子罪</w:t>
            </w:r>
            <w:r>
              <w:rPr>
                <w:rFonts w:ascii="汉仪书宋一简" w:eastAsia="汉仪书宋一简" w:hint="eastAsia"/>
                <w:kern w:val="0"/>
              </w:rPr>
              <w:t>（包庇犯刑法第</w:t>
            </w:r>
            <w:r>
              <w:rPr>
                <w:rFonts w:ascii="汉仪书宋一简" w:eastAsia="汉仪书宋一简" w:hint="eastAsia"/>
                <w:kern w:val="0"/>
              </w:rPr>
              <w:t>347条走私、贩卖、运输、制造毒品罪的犯罪分子，下同）</w:t>
            </w:r>
          </w:p>
        </w:tc>
        <w:tc>
          <w:tcPr>
            <w:tcW w:w="4886" w:type="dxa"/>
            <w:tcBorders/>
            <w:shd w:val="clear" w:color="auto" w:fill="auto"/>
            <w:vAlign w:val="center"/>
          </w:tcPr>
          <w:p w14:paraId="11A53D43">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Times New Roman" w:hint="eastAsia"/>
                <w:kern w:val="0"/>
              </w:rPr>
              <w:t>窝藏、包庇罪的特别法</w:t>
            </w:r>
          </w:p>
        </w:tc>
      </w:tr>
      <w:tr w14:paraId="5F720DC1">
        <w:tblPrEx/>
        <w:trPr>
          <w:trHeight w:val="290" w:hRule="atLeast"/>
          <w:jc w:val="center"/>
        </w:trPr>
        <w:tc>
          <w:tcPr>
            <w:tcW w:w="3619" w:type="dxa"/>
            <w:tcBorders/>
            <w:shd w:val="clear" w:color="auto" w:fill="auto"/>
            <w:vAlign w:val="center"/>
          </w:tcPr>
          <w:p w14:paraId="2CEF80DC">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eastAsia="汉仪书宋一简" w:hint="eastAsia"/>
                <w:b/>
                <w:kern w:val="0"/>
              </w:rPr>
            </w:pPr>
            <w:r>
              <w:rPr>
                <w:rFonts w:ascii="汉仪中黑简" w:eastAsia="汉仪中黑简" w:hint="eastAsia"/>
              </w:rPr>
              <w:t>窝藏、转移、隐瞒毒品、毒赃罪</w:t>
            </w:r>
          </w:p>
        </w:tc>
        <w:tc>
          <w:tcPr>
            <w:tcW w:w="4886" w:type="dxa"/>
            <w:tcBorders/>
            <w:shd w:val="clear" w:color="auto" w:fill="auto"/>
            <w:vAlign w:val="center"/>
          </w:tcPr>
          <w:p w14:paraId="7B2F44DF">
            <w:pPr>
              <w:pStyle w:val="style0"/>
              <w:autoSpaceDE w:val="false"/>
              <w:autoSpaceDN w:val="false"/>
              <w:adjustRightInd w:val="false"/>
              <w:snapToGrid w:val="false"/>
              <w:spacing w:before="31" w:beforeLines="10" w:after="62" w:afterLines="20" w:lineRule="exact" w:line="400"/>
              <w:ind w:firstLine="0" w:firstLineChars="0"/>
              <w:jc w:val="left"/>
              <w:rPr>
                <w:rFonts w:ascii="汉仪书宋一简" w:cs="Times New Roman" w:eastAsia="汉仪书宋一简" w:hAnsi="Times New Roman"/>
                <w:kern w:val="0"/>
              </w:rPr>
            </w:pPr>
            <w:r>
              <w:rPr>
                <w:rFonts w:ascii="汉仪书宋一简" w:cs="Times New Roman" w:eastAsia="汉仪书宋一简" w:hAnsi="Times New Roman" w:hint="eastAsia"/>
                <w:kern w:val="0"/>
              </w:rPr>
              <w:t>掩饰、隐瞒犯罪所得、犯罪所得收益罪的特别法</w:t>
            </w:r>
          </w:p>
        </w:tc>
      </w:tr>
    </w:tbl>
    <w:p w14:paraId="358690F0">
      <w:pPr>
        <w:pStyle w:val="style0"/>
        <w:spacing w:lineRule="exact" w:line="400"/>
        <w:ind w:firstLine="420"/>
        <w:rPr>
          <w:rFonts w:ascii="汉仪书宋二简" w:cs="汉仪书宋二简" w:hAnsi="汉仪书宋二简" w:hint="eastAsia"/>
          <w:kern w:val="0"/>
        </w:rPr>
      </w:pPr>
    </w:p>
    <w:p w14:paraId="06730947">
      <w:pPr>
        <w:pStyle w:val="style3"/>
        <w:spacing w:lineRule="exact" w:line="400"/>
        <w:rPr>
          <w:rFonts w:hint="eastAsia"/>
          <w:sz w:val="21"/>
        </w:rPr>
      </w:pPr>
      <w:r>
        <w:rPr>
          <w:rFonts w:hint="eastAsia"/>
          <w:sz w:val="21"/>
        </w:rPr>
        <w:t>三、</w:t>
      </w:r>
      <w:r>
        <w:rPr>
          <w:sz w:val="21"/>
        </w:rPr>
        <w:t>毒品再犯（与累犯的</w:t>
      </w:r>
      <w:r>
        <w:rPr>
          <w:rFonts w:hint="eastAsia"/>
          <w:sz w:val="21"/>
        </w:rPr>
        <w:t>关系）</w:t>
      </w:r>
    </w:p>
    <w:p w14:paraId="0637A437">
      <w:pPr>
        <w:pStyle w:val="style0"/>
        <w:snapToGrid w:val="false"/>
        <w:spacing w:lineRule="exact" w:line="400"/>
        <w:ind w:firstLine="420"/>
        <w:rPr>
          <w:rFonts w:ascii="仿宋" w:eastAsia="楷体" w:hAnsi="仿宋" w:hint="eastAsia"/>
        </w:rPr>
      </w:pPr>
      <w:r>
        <w:rPr>
          <w:rFonts w:ascii="汉仪中黑简" w:eastAsia="汉仪中黑简"/>
          <w:color w:val="ff0000"/>
        </w:rPr>
        <w:t>第</w:t>
      </w:r>
      <w:r>
        <w:rPr>
          <w:rFonts w:ascii="汉仪中黑简" w:eastAsia="汉仪中黑简" w:hint="eastAsia"/>
          <w:color w:val="ff0000"/>
        </w:rPr>
        <w:t>3</w:t>
      </w:r>
      <w:r>
        <w:rPr>
          <w:rFonts w:ascii="汉仪中黑简" w:eastAsia="汉仪中黑简"/>
          <w:color w:val="ff0000"/>
        </w:rPr>
        <w:t>56条</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198"/>
        <w:gridCol w:w="3001"/>
        <w:gridCol w:w="2754"/>
        <w:gridCol w:w="1552"/>
      </w:tblGrid>
      <w:tr w14:paraId="2BD800F8">
        <w:trPr>
          <w:jc w:val="center"/>
        </w:trPr>
        <w:tc>
          <w:tcPr>
            <w:tcW w:w="1171" w:type="dxa"/>
            <w:tcBorders/>
            <w:shd w:val="clear" w:color="auto" w:fill="auto"/>
            <w:vAlign w:val="center"/>
          </w:tcPr>
          <w:p w14:paraId="1FA38708">
            <w:pPr>
              <w:pStyle w:val="style0"/>
              <w:snapToGrid w:val="false"/>
              <w:spacing w:before="31" w:beforeLines="10" w:after="62" w:afterLines="20" w:lineRule="exact" w:line="400"/>
              <w:ind w:firstLine="0" w:firstLineChars="0"/>
              <w:jc w:val="center"/>
              <w:rPr>
                <w:rFonts w:ascii="汉仪中黑简" w:eastAsia="汉仪中黑简" w:hint="eastAsia"/>
              </w:rPr>
            </w:pPr>
          </w:p>
        </w:tc>
        <w:tc>
          <w:tcPr>
            <w:tcW w:w="2935" w:type="dxa"/>
            <w:tcBorders/>
            <w:shd w:val="clear" w:color="auto" w:fill="auto"/>
            <w:vAlign w:val="center"/>
          </w:tcPr>
          <w:p w14:paraId="5F800875">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前罪</w:t>
            </w:r>
          </w:p>
        </w:tc>
        <w:tc>
          <w:tcPr>
            <w:tcW w:w="2693" w:type="dxa"/>
            <w:tcBorders/>
            <w:shd w:val="clear" w:color="auto" w:fill="auto"/>
            <w:vAlign w:val="center"/>
          </w:tcPr>
          <w:p w14:paraId="4DD16671">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后罪</w:t>
            </w:r>
          </w:p>
        </w:tc>
        <w:tc>
          <w:tcPr>
            <w:tcW w:w="1518" w:type="dxa"/>
            <w:tcBorders/>
            <w:shd w:val="clear" w:color="auto" w:fill="auto"/>
            <w:vAlign w:val="center"/>
          </w:tcPr>
          <w:p w14:paraId="7553D324">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法律后果</w:t>
            </w:r>
          </w:p>
        </w:tc>
      </w:tr>
      <w:tr w14:paraId="0A02BCCB">
        <w:tblPrEx/>
        <w:trPr>
          <w:jc w:val="center"/>
        </w:trPr>
        <w:tc>
          <w:tcPr>
            <w:tcW w:w="1171" w:type="dxa"/>
            <w:vMerge w:val="restart"/>
            <w:tcBorders/>
            <w:shd w:val="clear" w:color="auto" w:fill="auto"/>
            <w:vAlign w:val="center"/>
          </w:tcPr>
          <w:p w14:paraId="18A9EB5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毒品再犯（分则第356条）</w:t>
            </w:r>
          </w:p>
        </w:tc>
        <w:tc>
          <w:tcPr>
            <w:tcW w:w="2935" w:type="dxa"/>
            <w:tcBorders/>
            <w:shd w:val="clear" w:color="auto" w:fill="auto"/>
            <w:vAlign w:val="center"/>
          </w:tcPr>
          <w:p w14:paraId="49B6E3E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因走私、贩卖、运输、制造，非法持有毒品（2种罪名、5种行为）被判过刑</w:t>
            </w:r>
          </w:p>
        </w:tc>
        <w:tc>
          <w:tcPr>
            <w:tcW w:w="2693" w:type="dxa"/>
            <w:tcBorders/>
            <w:shd w:val="clear" w:color="auto" w:fill="auto"/>
            <w:vAlign w:val="center"/>
          </w:tcPr>
          <w:p w14:paraId="08526A6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又犯毒品犯罪（本节任一罪名）</w:t>
            </w:r>
          </w:p>
        </w:tc>
        <w:tc>
          <w:tcPr>
            <w:tcW w:w="1518" w:type="dxa"/>
            <w:tcBorders/>
            <w:shd w:val="clear" w:color="auto" w:fill="auto"/>
            <w:vAlign w:val="center"/>
          </w:tcPr>
          <w:p w14:paraId="5CC844C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从重处罚</w:t>
            </w:r>
          </w:p>
        </w:tc>
      </w:tr>
      <w:tr w14:paraId="0F5F2C72">
        <w:tblPrEx/>
        <w:trPr>
          <w:jc w:val="center"/>
        </w:trPr>
        <w:tc>
          <w:tcPr>
            <w:tcW w:w="1171" w:type="dxa"/>
            <w:vMerge w:val="continue"/>
            <w:tcBorders/>
            <w:shd w:val="clear" w:color="auto" w:fill="auto"/>
            <w:vAlign w:val="center"/>
          </w:tcPr>
          <w:p w14:paraId="261163F5">
            <w:pPr>
              <w:pStyle w:val="style0"/>
              <w:snapToGrid w:val="false"/>
              <w:spacing w:before="31" w:beforeLines="10" w:after="62" w:afterLines="20" w:lineRule="exact" w:line="400"/>
              <w:ind w:firstLine="0" w:firstLineChars="0"/>
              <w:rPr>
                <w:rFonts w:ascii="汉仪书宋一简" w:eastAsia="汉仪书宋一简" w:hint="eastAsia"/>
              </w:rPr>
            </w:pPr>
          </w:p>
        </w:tc>
        <w:tc>
          <w:tcPr>
            <w:tcW w:w="2935" w:type="dxa"/>
            <w:tcBorders/>
            <w:shd w:val="clear" w:color="auto" w:fill="auto"/>
            <w:vAlign w:val="center"/>
          </w:tcPr>
          <w:p w14:paraId="043467E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无需前罪执行完毕；缓刑、假释或者暂予监外执行期间亦可</w:t>
            </w:r>
          </w:p>
        </w:tc>
        <w:tc>
          <w:tcPr>
            <w:tcW w:w="2693" w:type="dxa"/>
            <w:tcBorders/>
            <w:shd w:val="clear" w:color="auto" w:fill="auto"/>
            <w:vAlign w:val="center"/>
          </w:tcPr>
          <w:p w14:paraId="6983B23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无间隔时间</w:t>
            </w:r>
          </w:p>
        </w:tc>
        <w:tc>
          <w:tcPr>
            <w:tcW w:w="1518" w:type="dxa"/>
            <w:tcBorders/>
            <w:shd w:val="clear" w:color="auto" w:fill="auto"/>
            <w:vAlign w:val="center"/>
          </w:tcPr>
          <w:p w14:paraId="7C59780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先对新罪从重，再数罪并罚</w:t>
            </w:r>
          </w:p>
        </w:tc>
      </w:tr>
      <w:tr w14:paraId="4A75BC22">
        <w:tblPrEx/>
        <w:trPr>
          <w:jc w:val="center"/>
        </w:trPr>
        <w:tc>
          <w:tcPr>
            <w:tcW w:w="1171" w:type="dxa"/>
            <w:tcBorders/>
            <w:shd w:val="clear" w:color="auto" w:fill="auto"/>
            <w:vAlign w:val="center"/>
          </w:tcPr>
          <w:p w14:paraId="5138BB0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一般累犯（总则第65条）</w:t>
            </w:r>
          </w:p>
        </w:tc>
        <w:tc>
          <w:tcPr>
            <w:tcW w:w="2935" w:type="dxa"/>
            <w:tcBorders/>
            <w:shd w:val="clear" w:color="auto" w:fill="auto"/>
            <w:vAlign w:val="center"/>
          </w:tcPr>
          <w:p w14:paraId="086AC193">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故意、有期、已满18周岁</w:t>
            </w:r>
          </w:p>
        </w:tc>
        <w:tc>
          <w:tcPr>
            <w:tcW w:w="2693" w:type="dxa"/>
            <w:tcBorders/>
            <w:shd w:val="clear" w:color="auto" w:fill="auto"/>
            <w:vAlign w:val="center"/>
          </w:tcPr>
          <w:p w14:paraId="0290DE53">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故意、有期、已满18周岁；前罪主刑执行完毕、假释期满、赦免之后5年以内</w:t>
            </w:r>
          </w:p>
        </w:tc>
        <w:tc>
          <w:tcPr>
            <w:tcW w:w="1518" w:type="dxa"/>
            <w:tcBorders/>
            <w:shd w:val="clear" w:color="auto" w:fill="auto"/>
            <w:vAlign w:val="center"/>
          </w:tcPr>
          <w:p w14:paraId="0AADD94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从重处罚</w:t>
            </w:r>
          </w:p>
        </w:tc>
      </w:tr>
      <w:tr w14:paraId="418A8A68">
        <w:tblPrEx/>
        <w:trPr>
          <w:jc w:val="center"/>
        </w:trPr>
        <w:tc>
          <w:tcPr>
            <w:tcW w:w="8317" w:type="dxa"/>
            <w:gridSpan w:val="4"/>
            <w:tcBorders/>
            <w:shd w:val="clear" w:color="auto" w:fill="auto"/>
            <w:vAlign w:val="center"/>
          </w:tcPr>
          <w:p w14:paraId="21BF436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同时构成毒品再犯和累犯的被告人，同时援引再犯条款和累犯条款，但只进行一次从重处罚。</w:t>
            </w:r>
          </w:p>
        </w:tc>
      </w:tr>
    </w:tbl>
    <w:p w14:paraId="7AECA180">
      <w:pPr>
        <w:pStyle w:val="style1"/>
        <w:spacing w:before="0" w:lineRule="exact" w:line="400"/>
        <w:jc w:val="both"/>
        <w:rPr>
          <w:rFonts w:hint="eastAsia"/>
          <w:color w:val="ff0000"/>
          <w:sz w:val="21"/>
          <w:szCs w:val="21"/>
        </w:rPr>
      </w:pPr>
    </w:p>
    <w:p w14:paraId="62FCB704">
      <w:pPr>
        <w:pStyle w:val="style0"/>
        <w:spacing w:lineRule="exact" w:line="400"/>
        <w:ind w:firstLine="420"/>
        <w:rPr>
          <w:rFonts w:hint="eastAsia"/>
        </w:rPr>
      </w:pPr>
    </w:p>
    <w:p w14:paraId="1405F6B0">
      <w:pPr>
        <w:pStyle w:val="style1"/>
        <w:spacing w:before="0" w:lineRule="exact" w:line="400"/>
        <w:rPr>
          <w:rFonts w:hint="eastAsia"/>
          <w:b/>
          <w:color w:val="auto"/>
          <w:sz w:val="21"/>
          <w:szCs w:val="21"/>
        </w:rPr>
      </w:pPr>
      <w:r>
        <w:rPr>
          <w:rFonts w:hint="eastAsia"/>
          <w:b/>
          <w:color w:val="auto"/>
          <w:sz w:val="21"/>
          <w:szCs w:val="21"/>
        </w:rPr>
        <w:t>考点48</w:t>
      </w:r>
      <w:r>
        <w:rPr>
          <w:b/>
          <w:color w:val="auto"/>
          <w:sz w:val="21"/>
          <w:szCs w:val="21"/>
        </w:rPr>
        <w:t xml:space="preserve">  </w:t>
      </w:r>
      <w:r>
        <w:rPr>
          <w:rFonts w:hint="eastAsia"/>
          <w:b/>
          <w:color w:val="auto"/>
          <w:sz w:val="21"/>
          <w:szCs w:val="21"/>
        </w:rPr>
        <w:t>累犯</w:t>
      </w:r>
    </w:p>
    <w:p w14:paraId="43D5766F">
      <w:pPr>
        <w:pStyle w:val="style0"/>
        <w:spacing w:lineRule="exact" w:line="400"/>
        <w:ind w:firstLine="0" w:firstLineChars="0"/>
        <w:rPr>
          <w:rFonts w:ascii="汉仪书宋二简" w:cs="汉仪书宋二简" w:hAnsi="汉仪书宋二简" w:hint="eastAsia"/>
          <w:kern w:val="0"/>
        </w:rPr>
      </w:pPr>
    </w:p>
    <w:p w14:paraId="6F2D5883">
      <w:pPr>
        <w:pStyle w:val="style0"/>
        <w:snapToGrid w:val="false"/>
        <w:spacing w:lineRule="exact" w:line="400"/>
        <w:ind w:firstLine="420"/>
        <w:rPr>
          <w:rFonts w:eastAsia="汉仪中黑简" w:hint="eastAsia"/>
        </w:rPr>
      </w:pPr>
      <w:r>
        <w:rPr>
          <w:rFonts w:eastAsia="汉仪中黑简" w:hint="eastAsia"/>
        </w:rPr>
        <w:t>刑罚裁量</w:t>
      </w:r>
      <w:r>
        <w:rPr>
          <w:rFonts w:eastAsia="汉仪中黑简" w:hint="eastAsia"/>
        </w:rPr>
        <w:t>（量刑）</w:t>
      </w:r>
    </w:p>
    <w:p w14:paraId="39A991C7">
      <w:pPr>
        <w:pStyle w:val="style0"/>
        <w:snapToGrid w:val="false"/>
        <w:spacing w:lineRule="exact" w:line="400"/>
        <w:ind w:firstLine="422"/>
        <w:rPr>
          <w:rFonts w:ascii="Times New Roman" w:cs="Times New Roman" w:hAnsi="Times New Roman"/>
          <w:b/>
        </w:rPr>
      </w:pPr>
      <w:r>
        <w:rPr>
          <w:rFonts w:ascii="Times New Roman" w:cs="Times New Roman" w:hAnsi="Times New Roman"/>
          <w:b/>
        </w:rPr>
        <w:t>基本步骤</w:t>
      </w:r>
      <w:r>
        <w:rPr>
          <w:rFonts w:ascii="Times New Roman" w:cs="Times New Roman" w:hAnsi="Times New Roman"/>
          <w:b/>
        </w:rPr>
        <w:t>：先在法定刑幅度内确定基准刑，再寻找量刑情节，然后适用量刑情节对基准刑进行加减，最后得出宣告刑。</w:t>
      </w:r>
    </w:p>
    <w:p w14:paraId="394A4042">
      <w:pPr>
        <w:pStyle w:val="style0"/>
        <w:framePr w:hSpace="181" w:wrap="notBeside" w:hAnchor="page" w:vAnchor="text" w:x="1730" w:y="625"/>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1．一般累犯：（前后罪都是）故意、有期以上、都满18岁，前罪主刑执行完毕（包括假释期满）、赦免5年内。</w:t>
      </w:r>
    </w:p>
    <w:p w14:paraId="708FE9F5">
      <w:pPr>
        <w:pStyle w:val="style0"/>
        <w:framePr w:hSpace="181" w:wrap="notBeside" w:hAnchor="page" w:vAnchor="text" w:x="1730" w:y="625"/>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2．假释、缓刑考验期内犯新罪，不构成累犯。假释考验期满5年内故意犯有期罪，可构成累犯；缓刑期满，不构成累犯。</w:t>
      </w:r>
    </w:p>
    <w:p w14:paraId="5C0F4EDE">
      <w:pPr>
        <w:pStyle w:val="style0"/>
        <w:spacing w:lineRule="exact" w:line="400"/>
        <w:ind w:firstLine="422"/>
        <w:rPr>
          <w:rFonts w:ascii="汉仪书宋二简" w:cs="汉仪书宋二简" w:hAnsi="汉仪书宋二简" w:hint="eastAsia"/>
          <w:b/>
          <w:kern w:val="0"/>
        </w:rPr>
      </w:pPr>
      <w:r>
        <w:rPr>
          <w:rFonts w:ascii="汉仪书宋二简" w:cs="汉仪书宋二简" w:hAnsi="汉仪书宋二简"/>
          <w:b/>
          <w:kern w:val="0"/>
        </w:rPr>
        <w:t>总结</w:t>
      </w:r>
    </w:p>
    <w:p w14:paraId="52518605">
      <w:pPr>
        <w:pStyle w:val="style0"/>
        <w:spacing w:lineRule="exact" w:line="400"/>
        <w:ind w:firstLine="0" w:firstLineChars="0"/>
        <w:rPr>
          <w:rFonts w:ascii="汉仪书宋二简" w:cs="汉仪书宋二简" w:hAnsi="汉仪书宋二简" w:hint="eastAsia"/>
          <w:kern w:val="0"/>
        </w:rPr>
      </w:pPr>
      <w:r>
        <w:rPr>
          <w:rFonts w:ascii="汉仪书宋一简" w:eastAsia="汉仪书宋一简" w:hint="eastAsia"/>
        </w:rPr>
        <w:t>3．特殊累犯：（前后罪都是）国安、恐怖、黑社会，间隔N年都构成。</w:t>
      </w:r>
    </w:p>
    <w:p w14:paraId="1C8F52D2">
      <w:pPr>
        <w:pStyle w:val="style0"/>
        <w:spacing w:lineRule="exact" w:line="400"/>
        <w:ind w:firstLine="420"/>
        <w:rPr>
          <w:rFonts w:ascii="汉仪书宋二简" w:cs="汉仪书宋二简" w:hAnsi="汉仪书宋二简" w:hint="eastAsia"/>
          <w:kern w:val="0"/>
        </w:rPr>
      </w:pPr>
    </w:p>
    <w:p w14:paraId="4169166F">
      <w:pPr>
        <w:pStyle w:val="style0"/>
        <w:spacing w:lineRule="exact" w:line="400"/>
        <w:ind w:firstLine="420"/>
        <w:rPr>
          <w:rFonts w:ascii="汉仪书宋二简" w:cs="汉仪书宋二简" w:hAnsi="汉仪书宋二简" w:hint="eastAsia"/>
          <w:kern w:val="0"/>
        </w:rPr>
      </w:pPr>
    </w:p>
    <w:bookmarkStart w:id="16" w:name="_Toc188371413"/>
    <w:p w14:paraId="778E797C">
      <w:pPr>
        <w:pStyle w:val="style1"/>
        <w:spacing w:before="0" w:lineRule="exact" w:line="400"/>
        <w:rPr>
          <w:rFonts w:hint="eastAsia"/>
          <w:b/>
          <w:color w:val="auto"/>
          <w:sz w:val="21"/>
          <w:szCs w:val="21"/>
        </w:rPr>
      </w:pPr>
      <w:r>
        <w:rPr>
          <w:rFonts w:hint="eastAsia"/>
          <w:b/>
          <w:color w:val="auto"/>
          <w:sz w:val="21"/>
          <w:szCs w:val="21"/>
        </w:rPr>
        <w:t>考点49</w:t>
      </w:r>
      <w:r>
        <w:rPr>
          <w:b/>
          <w:color w:val="auto"/>
          <w:sz w:val="21"/>
          <w:szCs w:val="21"/>
        </w:rPr>
        <w:t xml:space="preserve">  </w:t>
      </w:r>
      <w:r>
        <w:rPr>
          <w:rFonts w:hint="eastAsia"/>
          <w:b/>
          <w:color w:val="auto"/>
          <w:sz w:val="21"/>
          <w:szCs w:val="21"/>
        </w:rPr>
        <w:t>自首</w:t>
      </w:r>
      <w:bookmarkEnd w:id="16"/>
    </w:p>
    <w:p w14:paraId="2FD79018">
      <w:pPr>
        <w:pStyle w:val="style0"/>
        <w:spacing w:lineRule="exact" w:line="400"/>
        <w:ind w:firstLine="420"/>
        <w:jc w:val="left"/>
        <w:rPr>
          <w:rFonts w:ascii="汉仪书宋二简" w:cs="汉仪书宋二简" w:hAnsi="汉仪书宋二简" w:hint="eastAsia"/>
          <w:kern w:val="0"/>
        </w:rPr>
      </w:pPr>
    </w:p>
    <w:p w14:paraId="7BBFC0E8">
      <w:pPr>
        <w:pStyle w:val="style3"/>
        <w:spacing w:lineRule="exact" w:line="400"/>
        <w:rPr>
          <w:rFonts w:ascii="汉仪书宋二简" w:eastAsia="汉仪书宋二简" w:hint="eastAsia"/>
          <w:sz w:val="21"/>
        </w:rPr>
      </w:pPr>
      <w:r>
        <w:rPr>
          <w:rFonts w:hint="eastAsia"/>
          <w:sz w:val="21"/>
        </w:rPr>
        <w:t>一、一般自首：</w:t>
      </w:r>
      <w:r>
        <w:rPr>
          <w:rFonts w:ascii="汉仪书宋二简" w:eastAsia="汉仪书宋二简" w:hint="eastAsia"/>
          <w:b/>
          <w:sz w:val="21"/>
        </w:rPr>
        <w:t>自动投案，如实供述（无论有无掌握），对供述之罪成立自首</w:t>
      </w:r>
    </w:p>
    <w:p w14:paraId="06587C78">
      <w:pPr>
        <w:pStyle w:val="style0"/>
        <w:snapToGrid w:val="false"/>
        <w:spacing w:lineRule="exact" w:line="400"/>
        <w:ind w:firstLine="420"/>
        <w:rPr>
          <w:rFonts w:ascii="Times New Roman" w:cs="Times New Roman" w:eastAsia="楷体" w:hAnsi="Times New Roman"/>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4390"/>
        <w:gridCol w:w="4115"/>
      </w:tblGrid>
      <w:tr w14:paraId="3EB72C54">
        <w:trPr>
          <w:jc w:val="center"/>
        </w:trPr>
        <w:tc>
          <w:tcPr>
            <w:tcW w:w="4390" w:type="dxa"/>
            <w:tcBorders/>
            <w:vAlign w:val="center"/>
          </w:tcPr>
          <w:p w14:paraId="0BABC88F">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犯罪以后自动投案</w:t>
            </w:r>
          </w:p>
        </w:tc>
        <w:tc>
          <w:tcPr>
            <w:tcW w:w="4115" w:type="dxa"/>
            <w:tcBorders/>
            <w:vAlign w:val="center"/>
          </w:tcPr>
          <w:p w14:paraId="5839DBEE">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如实供述自己的罪行</w:t>
            </w:r>
          </w:p>
        </w:tc>
      </w:tr>
      <w:tr w14:paraId="68DC67D3">
        <w:tblPrEx/>
        <w:trPr>
          <w:trHeight w:val="70" w:hRule="atLeast"/>
          <w:jc w:val="center"/>
        </w:trPr>
        <w:tc>
          <w:tcPr>
            <w:tcW w:w="4390" w:type="dxa"/>
            <w:tcBorders/>
            <w:vAlign w:val="center"/>
          </w:tcPr>
          <w:p w14:paraId="142C577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投案时间：被动归案之前。包括：①犯罪事实或者犯罪嫌疑人未被司法机关发觉；②虽被发觉但犯罪嫌疑人尚未受到讯问、未被采取强制措施；③犯罪后逃跑，在通缉、追捕的过程中，主动投案的；④经查实犯罪嫌疑人确已准备投案，或者正在投案途中，被司法机关捕获的；⑤</w:t>
            </w:r>
            <w:r>
              <w:rPr>
                <w:rFonts w:ascii="汉仪中黑简" w:eastAsia="汉仪中黑简" w:hint="eastAsia"/>
                <w:color w:val="ff0000"/>
              </w:rPr>
              <w:t>形迹可疑型</w:t>
            </w:r>
            <w:r>
              <w:rPr>
                <w:rFonts w:ascii="汉仪书宋一简" w:eastAsia="汉仪书宋一简" w:hint="eastAsia"/>
              </w:rPr>
              <w:t>：罪行未被有关部门、司法机关发觉，仅因形迹可疑被盘问、教育后，主动交代了犯罪事实的，应当视为自动投案；</w:t>
            </w:r>
            <w:r>
              <w:rPr>
                <w:rFonts w:ascii="汉仪中黑简" w:eastAsia="汉仪中黑简" w:hint="eastAsia"/>
                <w:color w:val="ff0000"/>
              </w:rPr>
              <w:t>但有关部门、司法机关在其身上、随身携带的物品、驾乘的交通工具等处发现与犯罪有关的物品的，不能认定为自动投案</w:t>
            </w:r>
          </w:p>
        </w:tc>
        <w:tc>
          <w:tcPr>
            <w:tcW w:w="4115" w:type="dxa"/>
            <w:tcBorders/>
            <w:vAlign w:val="center"/>
          </w:tcPr>
          <w:p w14:paraId="0423B4D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如实供述基本信息：</w:t>
            </w:r>
            <w:r>
              <w:rPr>
                <w:rFonts w:ascii="汉仪书宋一简" w:eastAsia="汉仪书宋一简" w:hint="eastAsia"/>
              </w:rPr>
              <w:t>①</w:t>
            </w:r>
            <w:r>
              <w:rPr>
                <w:rFonts w:ascii="汉仪书宋一简" w:cs="Times New Roman" w:eastAsia="汉仪书宋一简" w:hAnsi="Times New Roman" w:hint="eastAsia"/>
              </w:rPr>
              <w:t>包括姓名、年龄、职业、住址、前科等情况。</w:t>
            </w:r>
            <w:r>
              <w:rPr>
                <w:rFonts w:ascii="汉仪书宋一简" w:eastAsia="汉仪书宋一简" w:hint="eastAsia"/>
              </w:rPr>
              <w:t>②</w:t>
            </w:r>
            <w:r>
              <w:rPr>
                <w:rFonts w:ascii="汉仪书宋一简" w:cs="Times New Roman" w:eastAsia="汉仪书宋一简" w:hAnsi="Times New Roman" w:hint="eastAsia"/>
              </w:rPr>
              <w:t>隐瞒身份：犯罪嫌疑人供述的身份等情况与真实情况虽有差别，但不影响定罪量刑的，应认定为如实供述自己的罪行。犯罪嫌疑人自动投案后隐瞒自己的真实身份等情况，影响对其定罪量刑的，不能认定为如实供述自己的罪行</w:t>
            </w:r>
          </w:p>
        </w:tc>
      </w:tr>
      <w:tr w14:paraId="03762E5C">
        <w:tblPrEx/>
        <w:trPr>
          <w:trHeight w:val="3224" w:hRule="atLeast"/>
          <w:jc w:val="center"/>
        </w:trPr>
        <w:tc>
          <w:tcPr>
            <w:tcW w:w="4390" w:type="dxa"/>
            <w:tcBorders/>
            <w:vAlign w:val="center"/>
          </w:tcPr>
          <w:p w14:paraId="6A8808CE">
            <w:pPr>
              <w:pStyle w:val="style0"/>
              <w:snapToGrid w:val="false"/>
              <w:spacing w:before="10" w:after="31" w:afterLines="10" w:lineRule="exact" w:line="400"/>
              <w:ind w:firstLine="0" w:firstLineChars="0"/>
              <w:rPr>
                <w:rFonts w:ascii="汉仪书宋一简" w:eastAsia="汉仪书宋一简" w:hint="eastAsia"/>
              </w:rPr>
            </w:pPr>
            <w:r>
              <w:rPr>
                <w:rFonts w:ascii="汉仪书宋一简" w:eastAsia="汉仪书宋一简" w:hint="eastAsia"/>
              </w:rPr>
              <w:t>投案对象不限，但需将自己置于司法机关控制之下。犯罪嫌疑人向所在单位、城乡基层组织或者其他有关负责人员投案，愿意接受司法机关控制的，视为自动投案</w:t>
            </w:r>
          </w:p>
        </w:tc>
        <w:tc>
          <w:tcPr>
            <w:tcW w:w="4115" w:type="dxa"/>
            <w:tcBorders/>
            <w:vAlign w:val="center"/>
          </w:tcPr>
          <w:p w14:paraId="7FC6AA0A">
            <w:pPr>
              <w:pStyle w:val="style0"/>
              <w:snapToGrid w:val="false"/>
              <w:spacing w:before="10" w:after="31" w:afterLines="1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如实交代自己的</w:t>
            </w:r>
            <w:r>
              <w:rPr>
                <w:rFonts w:ascii="汉仪中黑简" w:eastAsia="汉仪中黑简" w:hint="eastAsia"/>
                <w:color w:val="ff0000"/>
              </w:rPr>
              <w:t>主要犯罪事实（包括“本人”、“主要”、“犯罪事实”三个要素）</w:t>
            </w:r>
            <w:r>
              <w:rPr>
                <w:rFonts w:ascii="汉仪书宋一简" w:cs="Times New Roman" w:eastAsia="汉仪中黑简" w:hAnsi="Times New Roman" w:hint="eastAsia"/>
                <w:bCs/>
              </w:rPr>
              <w:t>：</w:t>
            </w:r>
            <w:r>
              <w:rPr>
                <w:rFonts w:ascii="汉仪书宋一简" w:eastAsia="汉仪书宋一简" w:hint="eastAsia"/>
              </w:rPr>
              <w:t>①</w:t>
            </w:r>
            <w:r>
              <w:rPr>
                <w:rFonts w:ascii="汉仪书宋一简" w:cs="Times New Roman" w:eastAsia="汉仪书宋一简" w:hAnsi="Times New Roman" w:hint="eastAsia"/>
              </w:rPr>
              <w:t>犯有数罪：犯罪嫌疑人仅如实供述所犯数罪中部分犯罪的，只对如实供述部分犯罪的行为，认定为自首。</w:t>
            </w:r>
            <w:r>
              <w:rPr>
                <w:rFonts w:ascii="汉仪书宋一简" w:eastAsia="汉仪书宋一简" w:hint="eastAsia"/>
              </w:rPr>
              <w:t>②</w:t>
            </w:r>
            <w:r>
              <w:rPr>
                <w:rFonts w:ascii="汉仪书宋一简" w:cs="Times New Roman" w:eastAsia="汉仪书宋一简" w:hAnsi="Times New Roman" w:hint="eastAsia"/>
              </w:rPr>
              <w:t>同种罪行：犯罪嫌疑人多次实施同种罪行的，应当综合考虑已交代的犯罪事实与未交代的犯罪事实的危害程度，决定是否认定为如实供述主要犯罪事实。虽然投案后没有交代全部犯罪事实，但如实交代的犯罪情节重于未交代的犯罪情节，或者如实交代的犯罪数额多于未交代的犯罪数额，一般应认定为如实供述自己的主要犯罪事实。无法区分已交代的与未交代的犯罪情节的严重程度，或者已交代的犯罪数额与未交代的犯罪数额相当，一般不认定为如实供述自己的主要犯罪事实。</w:t>
            </w:r>
            <w:r>
              <w:rPr>
                <w:rFonts w:ascii="汉仪书宋一简" w:eastAsia="汉仪书宋一简" w:hint="eastAsia"/>
              </w:rPr>
              <w:t>③</w:t>
            </w:r>
            <w:r>
              <w:rPr>
                <w:rFonts w:ascii="汉仪书宋一简" w:cs="Times New Roman" w:eastAsia="汉仪书宋一简" w:hAnsi="Times New Roman" w:hint="eastAsia"/>
              </w:rPr>
              <w:t>犯罪嫌疑</w:t>
            </w:r>
            <w:r>
              <w:rPr>
                <w:rFonts w:ascii="汉仪书宋一简" w:cs="Times New Roman" w:eastAsia="汉仪书宋一简" w:hAnsi="Times New Roman" w:hint="eastAsia"/>
              </w:rPr>
              <w:t>人自动投案时虽然没有交代自己的主要犯罪事实，但在司法机关掌握其主要犯罪事实之前主动交代的，应认定为如实供述自己的罪行</w:t>
            </w:r>
          </w:p>
        </w:tc>
      </w:tr>
      <w:tr w14:paraId="060EBCAD">
        <w:tblPrEx/>
        <w:trPr>
          <w:trHeight w:val="1659" w:hRule="atLeast"/>
          <w:jc w:val="center"/>
        </w:trPr>
        <w:tc>
          <w:tcPr>
            <w:tcW w:w="4390" w:type="dxa"/>
            <w:tcBorders/>
            <w:vAlign w:val="center"/>
          </w:tcPr>
          <w:p w14:paraId="67DD221D">
            <w:pPr>
              <w:pStyle w:val="style0"/>
              <w:snapToGrid w:val="false"/>
              <w:spacing w:before="10" w:after="31" w:afterLines="10" w:lineRule="exact" w:line="400"/>
              <w:ind w:firstLine="0" w:firstLineChars="0"/>
              <w:rPr>
                <w:rFonts w:ascii="汉仪书宋一简" w:eastAsia="汉仪书宋一简" w:hint="eastAsia"/>
              </w:rPr>
            </w:pPr>
            <w:r>
              <w:rPr>
                <w:rFonts w:ascii="汉仪书宋一简" w:eastAsia="汉仪书宋一简" w:hint="eastAsia"/>
              </w:rPr>
              <w:t>投案方式不限。①代首、信首：犯罪嫌疑人因病、伤或者为了减轻犯罪后果，委托他人先代为投案的，或者先以信电投案的；②陪首：并非出于犯罪嫌疑人主动，而是经亲友规劝、陪同投案的；③送首：公安机关通知犯罪嫌疑人的亲友，或者亲友主动报案后，将犯罪嫌疑人送去投案的（具有“自动”性）</w:t>
            </w:r>
          </w:p>
        </w:tc>
        <w:tc>
          <w:tcPr>
            <w:tcW w:w="4115" w:type="dxa"/>
            <w:tcBorders/>
            <w:vAlign w:val="center"/>
          </w:tcPr>
          <w:p w14:paraId="29729032">
            <w:pPr>
              <w:pStyle w:val="style0"/>
              <w:snapToGrid w:val="false"/>
              <w:spacing w:before="10" w:after="31" w:afterLines="1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在共同犯罪案件中：</w:t>
            </w:r>
            <w:r>
              <w:rPr>
                <w:rFonts w:ascii="汉仪书宋一简" w:eastAsia="汉仪书宋一简" w:hint="eastAsia"/>
              </w:rPr>
              <w:t>①</w:t>
            </w:r>
            <w:r>
              <w:rPr>
                <w:rFonts w:ascii="汉仪书宋一简" w:cs="Times New Roman" w:eastAsia="汉仪书宋一简" w:hAnsi="Times New Roman" w:hint="eastAsia"/>
              </w:rPr>
              <w:t>作为一般共同犯罪成员的犯罪人，还应当供述所知的同案犯。</w:t>
            </w:r>
            <w:r>
              <w:rPr>
                <w:rFonts w:ascii="汉仪书宋一简" w:eastAsia="汉仪书宋一简" w:hint="eastAsia"/>
              </w:rPr>
              <w:t>②</w:t>
            </w:r>
            <w:r>
              <w:rPr>
                <w:rFonts w:ascii="汉仪书宋一简" w:cs="Times New Roman" w:eastAsia="汉仪书宋一简" w:hAnsi="Times New Roman" w:hint="eastAsia"/>
              </w:rPr>
              <w:t>主犯，则应当供述所知其他同案犯的共同犯罪事实。</w:t>
            </w:r>
            <w:r>
              <w:rPr>
                <w:rFonts w:ascii="汉仪书宋一简" w:eastAsia="汉仪书宋一简" w:hint="eastAsia"/>
              </w:rPr>
              <w:t>③</w:t>
            </w:r>
            <w:r>
              <w:rPr>
                <w:rFonts w:ascii="汉仪书宋一简" w:cs="Times New Roman" w:eastAsia="汉仪书宋一简" w:hAnsi="Times New Roman" w:hint="eastAsia"/>
              </w:rPr>
              <w:t>揭发共犯人共同犯罪以外的犯罪事实的，成立立功。</w:t>
            </w:r>
          </w:p>
          <w:p w14:paraId="2B12A9F4">
            <w:pPr>
              <w:pStyle w:val="style0"/>
              <w:snapToGrid w:val="false"/>
              <w:spacing w:before="10" w:after="31" w:afterLines="1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因行贿人在被追诉前主动交待行贿行为而破获相关受贿案件的，对行贿人不适用立功的规定，依照刑法第三百九十条第二款的规定，可以减轻或者免除处罚</w:t>
            </w:r>
          </w:p>
        </w:tc>
      </w:tr>
    </w:tbl>
    <w:p w14:paraId="7E68F3D0">
      <w:pPr>
        <w:pStyle w:val="style0"/>
        <w:spacing w:lineRule="exact" w:line="400"/>
        <w:ind w:firstLine="420"/>
        <w:rPr>
          <w:rFonts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5524"/>
        <w:gridCol w:w="2981"/>
      </w:tblGrid>
      <w:tr w14:paraId="7A539823">
        <w:trPr>
          <w:trHeight w:val="70" w:hRule="atLeast"/>
          <w:jc w:val="center"/>
        </w:trPr>
        <w:tc>
          <w:tcPr>
            <w:tcW w:w="5524" w:type="dxa"/>
            <w:tcBorders/>
            <w:vAlign w:val="center"/>
          </w:tcPr>
          <w:p w14:paraId="1B5E70E5">
            <w:pPr>
              <w:pStyle w:val="style0"/>
              <w:snapToGrid w:val="false"/>
              <w:spacing w:after="31" w:afterLines="10" w:lineRule="exact" w:line="400"/>
              <w:ind w:firstLine="0" w:firstLineChars="0"/>
              <w:rPr>
                <w:rFonts w:ascii="汉仪书宋一简" w:eastAsia="汉仪书宋一简" w:hint="eastAsia"/>
              </w:rPr>
            </w:pPr>
            <w:r>
              <w:rPr>
                <w:rFonts w:ascii="汉仪书宋一简" w:eastAsia="汉仪书宋一简" w:hint="eastAsia"/>
              </w:rPr>
              <w:t>自动性。下述情形虽不积极，但也认为具有自动性：</w:t>
            </w:r>
            <w:r>
              <w:rPr>
                <w:rFonts w:ascii="汉仪中黑简" w:eastAsia="汉仪中黑简" w:hint="eastAsia"/>
                <w:color w:val="ff0000"/>
              </w:rPr>
              <w:t>①自“报”自弃型：</w:t>
            </w:r>
            <w:r>
              <w:rPr>
                <w:rFonts w:ascii="汉仪书宋一简" w:eastAsia="汉仪书宋一简" w:hint="eastAsia"/>
              </w:rPr>
              <w:t>犯罪后主动报案，虽未表明自己是作案人，但没有逃离现场，在司法机关询问时交代自己罪行的；</w:t>
            </w:r>
            <w:r>
              <w:rPr>
                <w:rFonts w:ascii="汉仪中黑简" w:eastAsia="汉仪中黑简" w:hint="eastAsia"/>
                <w:color w:val="ff0000"/>
              </w:rPr>
              <w:t>②束手待擒型：</w:t>
            </w:r>
            <w:r>
              <w:rPr>
                <w:rFonts w:ascii="汉仪书宋一简" w:eastAsia="汉仪书宋一简" w:hint="eastAsia"/>
              </w:rPr>
              <w:t>明知他人报案而在现场等待，抓捕时无拒捕行为，供认犯罪事实的；</w:t>
            </w:r>
            <w:r>
              <w:rPr>
                <w:rFonts w:ascii="汉仪中黑简" w:eastAsia="汉仪中黑简" w:hint="eastAsia"/>
                <w:color w:val="ff0000"/>
              </w:rPr>
              <w:t>③惊弓之鸟型：</w:t>
            </w:r>
            <w:r>
              <w:rPr>
                <w:rFonts w:ascii="汉仪书宋一简" w:eastAsia="汉仪书宋一简" w:hint="eastAsia"/>
              </w:rPr>
              <w:t>在司法机关未确定犯罪嫌疑人，尚在一般性排查询问时主动交代自己罪行的；④因特定违法行为被采取劳动教养（现已废止）、行政拘留、司法拘留、强制隔离戒毒等</w:t>
            </w:r>
            <w:r>
              <w:rPr>
                <w:rFonts w:ascii="汉仪中黑简" w:eastAsia="汉仪中黑简" w:hint="eastAsia"/>
                <w:color w:val="ff0000"/>
              </w:rPr>
              <w:t>行政、司法强制措施期间</w:t>
            </w:r>
            <w:r>
              <w:rPr>
                <w:rFonts w:ascii="汉仪书宋一简" w:eastAsia="汉仪书宋一简" w:hint="eastAsia"/>
              </w:rPr>
              <w:t>，主动向执行机关交代尚未被掌握的犯罪行为的；⑤其他符合立法本意，应当视为自动投案的情形。</w:t>
            </w:r>
          </w:p>
          <w:p w14:paraId="111DBE43">
            <w:pPr>
              <w:pStyle w:val="style0"/>
              <w:snapToGrid w:val="false"/>
              <w:spacing w:after="31" w:afterLines="10" w:lineRule="exact" w:line="400"/>
              <w:ind w:firstLine="0" w:firstLineChars="0"/>
              <w:rPr>
                <w:rFonts w:ascii="汉仪书宋一简" w:eastAsia="汉仪书宋一简" w:hint="eastAsia"/>
              </w:rPr>
            </w:pPr>
            <w:r>
              <w:rPr>
                <w:rFonts w:ascii="汉仪书宋一简" w:eastAsia="汉仪书宋一简" w:hint="eastAsia"/>
              </w:rPr>
              <w:t>下列情形不能视为自动投案：①绑首（“不自动”）：犯罪嫌疑人被亲友采用捆绑等手段送到司法机关，或者在亲友带领侦查人员前来抓捕时无拒捕行为，并如实供认犯罪事实的，虽然不能认定为自动投案，但可以参照法律对自首的有关规定酌情从轻处罚。②犯罪嫌疑人自动投案后又逃跑的，不认为自动投案。但逃跑后又归案的，认为是自动投</w:t>
            </w:r>
            <w:r>
              <w:rPr>
                <w:rFonts w:ascii="汉仪书宋一简" w:eastAsia="汉仪书宋一简" w:hint="eastAsia"/>
              </w:rPr>
              <w:t>案</w:t>
            </w:r>
          </w:p>
        </w:tc>
        <w:tc>
          <w:tcPr>
            <w:tcW w:w="2981" w:type="dxa"/>
            <w:tcBorders/>
            <w:vAlign w:val="center"/>
          </w:tcPr>
          <w:p w14:paraId="3D18C53D">
            <w:pPr>
              <w:pStyle w:val="style0"/>
              <w:snapToGrid w:val="false"/>
              <w:spacing w:after="31" w:afterLines="1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犯罪嫌疑人自动投案并如实供述自己的罪行后又翻供的，不能认定为自首；但在</w:t>
            </w:r>
            <w:r>
              <w:rPr>
                <w:rFonts w:ascii="汉仪中黑简" w:eastAsia="汉仪中黑简" w:hint="eastAsia"/>
                <w:color w:val="ff0000"/>
              </w:rPr>
              <w:t>一审判决前</w:t>
            </w:r>
            <w:r>
              <w:rPr>
                <w:rFonts w:ascii="汉仪书宋一简" w:cs="Times New Roman" w:eastAsia="汉仪书宋一简" w:hAnsi="Times New Roman" w:hint="eastAsia"/>
              </w:rPr>
              <w:t>又能如实供述的，应当认定为自首</w:t>
            </w:r>
          </w:p>
        </w:tc>
      </w:tr>
      <w:tr w14:paraId="70E53F69">
        <w:tblPrEx/>
        <w:trPr>
          <w:trHeight w:val="1371" w:hRule="atLeast"/>
          <w:jc w:val="center"/>
        </w:trPr>
        <w:tc>
          <w:tcPr>
            <w:tcW w:w="5524" w:type="dxa"/>
            <w:tcBorders/>
            <w:vAlign w:val="center"/>
          </w:tcPr>
          <w:p w14:paraId="740074E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中黑简" w:eastAsia="汉仪中黑简" w:hint="eastAsia"/>
              </w:rPr>
              <w:t>交通肇事中的自首</w:t>
            </w:r>
            <w:r>
              <w:rPr>
                <w:rFonts w:ascii="汉仪书宋一简" w:eastAsia="汉仪书宋一简" w:hint="eastAsia"/>
              </w:rPr>
              <w:t>认定。①交通肇事后保护现场、抢救伤者，并向公安机关报告的，应认定为自动投案，构成自首；因上述行为同时系犯罪嫌疑人的法定义务，对其是否从宽、从宽幅度要适当从严掌握。②交通肇事逃逸后自动投案，如实供述自己罪行的，应认定为自首，但应依法以较重法定刑为基准，视情况决定对其是否从宽处罚以及从宽处罚的幅度</w:t>
            </w:r>
          </w:p>
        </w:tc>
        <w:tc>
          <w:tcPr>
            <w:tcW w:w="2981" w:type="dxa"/>
            <w:tcBorders/>
            <w:vAlign w:val="center"/>
          </w:tcPr>
          <w:p w14:paraId="50914A8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犯罪人自动投案如实供述自己的罪行后，被告人</w:t>
            </w:r>
            <w:r>
              <w:rPr>
                <w:rFonts w:ascii="汉仪中黑简" w:eastAsia="汉仪中黑简" w:hint="eastAsia"/>
                <w:color w:val="ff0000"/>
              </w:rPr>
              <w:t>对行为性质的辩解</w:t>
            </w:r>
            <w:r>
              <w:rPr>
                <w:rFonts w:ascii="汉仪书宋一简" w:eastAsia="汉仪书宋一简" w:hint="eastAsia"/>
              </w:rPr>
              <w:t>不影响自首的成立</w:t>
            </w:r>
          </w:p>
        </w:tc>
      </w:tr>
    </w:tbl>
    <w:p w14:paraId="25BE9097">
      <w:pPr>
        <w:pStyle w:val="style0"/>
        <w:snapToGrid w:val="false"/>
        <w:spacing w:lineRule="exact" w:line="400"/>
        <w:ind w:firstLine="420"/>
        <w:rPr>
          <w:rFonts w:eastAsia="汉仪中黑简" w:hint="eastAsia"/>
        </w:rPr>
      </w:pPr>
    </w:p>
    <w:p w14:paraId="1ABDA4A2">
      <w:pPr>
        <w:pStyle w:val="style3"/>
        <w:spacing w:lineRule="exact" w:line="400"/>
        <w:rPr>
          <w:rFonts w:ascii="汉仪书宋二简" w:eastAsia="汉仪书宋二简" w:hint="eastAsia"/>
          <w:sz w:val="21"/>
        </w:rPr>
      </w:pPr>
      <w:r>
        <w:rPr>
          <w:rFonts w:hint="eastAsia"/>
          <w:sz w:val="21"/>
        </w:rPr>
        <w:t>二、特别自首：</w:t>
      </w:r>
      <w:r>
        <w:rPr>
          <w:rFonts w:ascii="汉仪书宋二简" w:eastAsia="汉仪书宋二简" w:hint="eastAsia"/>
          <w:b/>
          <w:sz w:val="21"/>
        </w:rPr>
        <w:t>犯A罪被抓，供述尚未掌握的B罪，对B罪成立自首</w:t>
      </w:r>
    </w:p>
    <w:p w14:paraId="7861A208">
      <w:pPr>
        <w:pStyle w:val="style0"/>
        <w:snapToGrid w:val="false"/>
        <w:spacing w:lineRule="exact" w:line="400"/>
        <w:ind w:firstLine="0" w:firstLineChars="0"/>
        <w:rPr>
          <w:rFonts w:ascii="Times New Roman" w:cs="Times New Roman" w:eastAsia="楷体" w:hAnsi="Times New Roman"/>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7F841A25">
        <w:trPr>
          <w:jc w:val="center"/>
        </w:trPr>
        <w:tc>
          <w:tcPr>
            <w:tcW w:w="8505" w:type="dxa"/>
            <w:tcBorders/>
            <w:vAlign w:val="center"/>
          </w:tcPr>
          <w:p w14:paraId="5491FC2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主体：被采取强制措施的犯罪嫌疑人、被告人和正在服刑的罪犯（已被羁押者）</w:t>
            </w:r>
          </w:p>
        </w:tc>
      </w:tr>
      <w:tr w14:paraId="3A40F937">
        <w:tblPrEx/>
        <w:trPr>
          <w:jc w:val="center"/>
        </w:trPr>
        <w:tc>
          <w:tcPr>
            <w:tcW w:w="8505" w:type="dxa"/>
            <w:tcBorders/>
            <w:vAlign w:val="center"/>
          </w:tcPr>
          <w:p w14:paraId="09EBE87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供述内容：与司法机关掌握的或者判决确定的罪行属不同种罪行。</w:t>
            </w:r>
            <w:r>
              <w:rPr>
                <w:rFonts w:ascii="汉仪书宋一简" w:eastAsia="汉仪书宋一简" w:hint="eastAsia"/>
              </w:rPr>
              <w:t>①</w:t>
            </w:r>
            <w:r>
              <w:rPr>
                <w:rFonts w:ascii="汉仪书宋一简" w:cs="Times New Roman" w:eastAsia="汉仪书宋一简" w:hAnsi="Times New Roman" w:hint="eastAsia"/>
              </w:rPr>
              <w:t>一般应以罪名区分。</w:t>
            </w:r>
            <w:r>
              <w:rPr>
                <w:rFonts w:ascii="汉仪书宋一简" w:eastAsia="汉仪书宋一简" w:hint="eastAsia"/>
              </w:rPr>
              <w:t>②</w:t>
            </w:r>
            <w:r>
              <w:rPr>
                <w:rFonts w:ascii="汉仪书宋一简" w:cs="Times New Roman" w:eastAsia="汉仪书宋一简" w:hAnsi="Times New Roman" w:hint="eastAsia"/>
              </w:rPr>
              <w:t>虽然罪名不同，但如实供述的其他犯罪与司法机关已掌握的犯罪属选择性罪名的，应认定为同种罪行，不属自首。</w:t>
            </w:r>
            <w:r>
              <w:rPr>
                <w:rFonts w:ascii="汉仪书宋一简" w:eastAsia="汉仪书宋一简" w:hint="eastAsia"/>
              </w:rPr>
              <w:t>③</w:t>
            </w:r>
            <w:r>
              <w:rPr>
                <w:rFonts w:ascii="汉仪中黑简" w:eastAsia="汉仪中黑简" w:hint="eastAsia"/>
                <w:color w:val="ff0000"/>
              </w:rPr>
              <w:t>供述罪名与已掌握的罪名，在法律、事实上密切关联，也不属自首。</w:t>
            </w:r>
            <w:r>
              <w:rPr>
                <w:rFonts w:ascii="汉仪书宋一简" w:cs="Times New Roman" w:eastAsia="汉仪书宋一简" w:hAnsi="Times New Roman" w:hint="eastAsia"/>
              </w:rPr>
              <w:t>例如，因受贿被采取强制措施后，又交代因受贿为他人谋取利益行为，构成滥用职权罪的，对滥用职权罪不认为是自首。</w:t>
            </w:r>
            <w:r>
              <w:rPr>
                <w:rFonts w:ascii="汉仪书宋一简" w:eastAsia="汉仪书宋一简" w:hint="eastAsia"/>
              </w:rPr>
              <w:t>④</w:t>
            </w:r>
            <w:r>
              <w:rPr>
                <w:rFonts w:ascii="汉仪书宋一简" w:cs="Times New Roman" w:eastAsia="汉仪书宋一简" w:hAnsi="Times New Roman" w:hint="eastAsia"/>
              </w:rPr>
              <w:t>如果如实供述司法机关尚未掌握的罪行，与司法机关已掌握或者判决确定的罪行属同种罪行的（坦白），可以酌情从轻处罚；如实供述的同种罪行较重的，一般应当从轻处罚</w:t>
            </w:r>
          </w:p>
        </w:tc>
      </w:tr>
      <w:tr w14:paraId="0B946E72">
        <w:tblPrEx/>
        <w:trPr>
          <w:jc w:val="center"/>
        </w:trPr>
        <w:tc>
          <w:tcPr>
            <w:tcW w:w="8505" w:type="dxa"/>
            <w:tcBorders/>
            <w:vAlign w:val="center"/>
          </w:tcPr>
          <w:p w14:paraId="69A5755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司法机关尚未掌握：</w:t>
            </w:r>
            <w:r>
              <w:rPr>
                <w:rFonts w:ascii="汉仪书宋一简" w:eastAsia="汉仪书宋一简" w:hint="eastAsia"/>
              </w:rPr>
              <w:t>①</w:t>
            </w:r>
            <w:r>
              <w:rPr>
                <w:rFonts w:ascii="汉仪书宋一简" w:cs="Times New Roman" w:eastAsia="汉仪书宋一简" w:hAnsi="Times New Roman" w:hint="eastAsia"/>
              </w:rPr>
              <w:t>如果该罪行已被通缉，一般应以该司法机关是否在通缉令发布范围内作出判断，不在通缉令发布范围内的，应认定为还未掌握，在通缉令发布范围内的，应视为已掌握。</w:t>
            </w:r>
            <w:r>
              <w:rPr>
                <w:rFonts w:ascii="汉仪书宋一简" w:eastAsia="汉仪书宋一简" w:hint="eastAsia"/>
              </w:rPr>
              <w:t>②</w:t>
            </w:r>
            <w:r>
              <w:rPr>
                <w:rFonts w:ascii="汉仪书宋一简" w:cs="Times New Roman" w:eastAsia="汉仪书宋一简" w:hAnsi="Times New Roman" w:hint="eastAsia"/>
              </w:rPr>
              <w:t>如果该罪行已录入全国公安信息网络在逃人员信息数据库，应视为已掌握。</w:t>
            </w:r>
            <w:r>
              <w:rPr>
                <w:rFonts w:ascii="汉仪书宋一简" w:eastAsia="汉仪书宋一简" w:hint="eastAsia"/>
              </w:rPr>
              <w:t>③</w:t>
            </w:r>
            <w:r>
              <w:rPr>
                <w:rFonts w:ascii="汉仪书宋一简" w:cs="Times New Roman" w:eastAsia="汉仪书宋一简" w:hAnsi="Times New Roman" w:hint="eastAsia"/>
              </w:rPr>
              <w:t>如果该罪行未被通缉、也未录入全国公安信息网络在逃人员信息数据库，应以该司法机关是否已实际掌握该罪行为标准</w:t>
            </w:r>
          </w:p>
        </w:tc>
      </w:tr>
      <w:tr w14:paraId="1D34FC3D">
        <w:tblPrEx/>
        <w:trPr>
          <w:jc w:val="center"/>
        </w:trPr>
        <w:tc>
          <w:tcPr>
            <w:tcW w:w="8505" w:type="dxa"/>
            <w:tcBorders>
              <w:right w:val="single" w:sz="8" w:space="0" w:color="ff0000"/>
            </w:tcBorders>
            <w:vAlign w:val="center"/>
          </w:tcPr>
          <w:p w14:paraId="585DAFF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犯罪行为人没有自动投案，而是在办案机关调查谈话、讯问、采取调查措施或者强制措施期间交代的：</w:t>
            </w:r>
            <w:r>
              <w:rPr>
                <w:rFonts w:ascii="汉仪书宋一简" w:eastAsia="汉仪书宋一简" w:hint="eastAsia"/>
              </w:rPr>
              <w:t>①</w:t>
            </w:r>
            <w:r>
              <w:rPr>
                <w:rFonts w:ascii="汉仪书宋一简" w:cs="Times New Roman" w:eastAsia="汉仪书宋一简" w:hAnsi="Times New Roman" w:hint="eastAsia"/>
              </w:rPr>
              <w:t>犯罪分子如实交代办案机关掌握的线索所针对的事实的，不能认定为自首。</w:t>
            </w:r>
            <w:r>
              <w:rPr>
                <w:rFonts w:ascii="汉仪书宋一简" w:eastAsia="汉仪书宋一简" w:hint="eastAsia"/>
              </w:rPr>
              <w:t>②</w:t>
            </w:r>
            <w:r>
              <w:rPr>
                <w:rFonts w:ascii="汉仪书宋一简" w:cs="Times New Roman" w:eastAsia="汉仪书宋一简" w:hAnsi="Times New Roman" w:hint="eastAsia"/>
              </w:rPr>
              <w:t>犯罪分子如实交代办案机关未掌握的罪行，与办案机关已掌握的罪行属不同种罪行的，以自首论。</w:t>
            </w:r>
            <w:r>
              <w:rPr>
                <w:rFonts w:ascii="汉仪书宋一简" w:eastAsia="汉仪书宋一简" w:hint="eastAsia"/>
              </w:rPr>
              <w:t>③</w:t>
            </w:r>
            <w:r>
              <w:rPr>
                <w:rFonts w:ascii="汉仪书宋一简" w:cs="Times New Roman" w:eastAsia="汉仪书宋一简" w:hAnsi="Times New Roman" w:hint="eastAsia"/>
              </w:rPr>
              <w:t>办案机关所掌握线索针对的犯罪事实不成立，在此范围外犯罪分子交代同种罪行的，成立自首</w:t>
            </w:r>
          </w:p>
        </w:tc>
      </w:tr>
    </w:tbl>
    <w:p w14:paraId="14BD71A7">
      <w:pPr>
        <w:pStyle w:val="style0"/>
        <w:snapToGrid w:val="false"/>
        <w:spacing w:lineRule="exact" w:line="400"/>
        <w:ind w:firstLine="0" w:firstLineChars="0"/>
        <w:rPr>
          <w:rFonts w:eastAsia="宋体" w:hint="eastAsia"/>
          <w:b/>
          <w:bCs/>
          <w:color w:val="ff0000"/>
        </w:rPr>
      </w:pPr>
      <w:r>
        <w:rPr>
          <w:rFonts w:eastAsia="宋体" w:hint="eastAsia"/>
          <w:b/>
          <w:bCs/>
          <w:color w:val="ff0000"/>
        </w:rPr>
        <w:t>注意：特别自首与一般自首的</w:t>
      </w:r>
      <w:r>
        <w:rPr>
          <w:rFonts w:eastAsia="宋体" w:hint="eastAsia"/>
          <w:b/>
          <w:bCs/>
          <w:color w:val="ff0000"/>
        </w:rPr>
        <w:t>适用不同，结合例子理解。</w:t>
      </w:r>
    </w:p>
    <w:p w14:paraId="42BDBDB4">
      <w:pPr>
        <w:pStyle w:val="style0"/>
        <w:snapToGrid w:val="false"/>
        <w:spacing w:lineRule="exact" w:line="400"/>
        <w:ind w:firstLine="420"/>
        <w:rPr>
          <w:rFonts w:eastAsia="汉仪中黑简" w:hint="eastAsia"/>
        </w:rPr>
      </w:pPr>
    </w:p>
    <w:bookmarkStart w:id="17" w:name="_Toc188371414"/>
    <w:p w14:paraId="0423786A">
      <w:pPr>
        <w:pStyle w:val="style1"/>
        <w:spacing w:before="0" w:lineRule="exact" w:line="400"/>
        <w:rPr>
          <w:rFonts w:hint="eastAsia"/>
          <w:b/>
          <w:color w:val="auto"/>
          <w:sz w:val="21"/>
          <w:szCs w:val="21"/>
        </w:rPr>
      </w:pPr>
      <w:r>
        <w:rPr>
          <w:rFonts w:hint="eastAsia"/>
          <w:b/>
          <w:color w:val="auto"/>
          <w:sz w:val="21"/>
          <w:szCs w:val="21"/>
        </w:rPr>
        <w:t>考点50</w:t>
      </w:r>
      <w:r>
        <w:rPr>
          <w:b/>
          <w:color w:val="auto"/>
          <w:sz w:val="21"/>
          <w:szCs w:val="21"/>
        </w:rPr>
        <w:t xml:space="preserve">  </w:t>
      </w:r>
      <w:r>
        <w:rPr>
          <w:rFonts w:hint="eastAsia"/>
          <w:b/>
          <w:color w:val="auto"/>
          <w:sz w:val="21"/>
          <w:szCs w:val="21"/>
        </w:rPr>
        <w:t>立功</w:t>
      </w:r>
      <w:bookmarkEnd w:id="17"/>
    </w:p>
    <w:p w14:paraId="5FCF1BB3">
      <w:pPr>
        <w:pStyle w:val="style0"/>
        <w:snapToGrid w:val="false"/>
        <w:spacing w:lineRule="exact" w:line="400"/>
        <w:ind w:firstLine="0" w:firstLineChars="0"/>
        <w:rPr>
          <w:rFonts w:eastAsia="汉仪中黑简" w:hint="eastAsia"/>
        </w:rPr>
      </w:pPr>
    </w:p>
    <w:p w14:paraId="27668DC7">
      <w:pPr>
        <w:pStyle w:val="style3"/>
        <w:spacing w:lineRule="exact" w:line="400"/>
        <w:rPr>
          <w:rFonts w:hint="eastAsia"/>
          <w:sz w:val="21"/>
        </w:rPr>
      </w:pPr>
      <w:r>
        <w:rPr>
          <w:rFonts w:hint="eastAsia"/>
          <w:sz w:val="21"/>
        </w:rPr>
        <w:t>一、立功的表现</w:t>
      </w:r>
    </w:p>
    <w:p w14:paraId="2459C66A">
      <w:pPr>
        <w:pStyle w:val="style0"/>
        <w:snapToGrid w:val="false"/>
        <w:spacing w:lineRule="exact" w:line="400"/>
        <w:ind w:firstLine="420"/>
        <w:rPr>
          <w:rFonts w:eastAsia="汉仪中黑简"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3397"/>
        <w:gridCol w:w="5108"/>
      </w:tblGrid>
      <w:tr w14:paraId="71BED221">
        <w:trPr>
          <w:jc w:val="center"/>
        </w:trPr>
        <w:tc>
          <w:tcPr>
            <w:tcW w:w="3397" w:type="dxa"/>
            <w:tcBorders/>
            <w:vAlign w:val="center"/>
          </w:tcPr>
          <w:p w14:paraId="231D900D">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阻止他人犯罪活动</w:t>
            </w:r>
          </w:p>
        </w:tc>
        <w:tc>
          <w:tcPr>
            <w:tcW w:w="5108" w:type="dxa"/>
            <w:vMerge w:val="restart"/>
            <w:tcBorders/>
            <w:vAlign w:val="center"/>
          </w:tcPr>
          <w:p w14:paraId="402BF766">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与本人犯罪（包括共同犯罪）无关</w:t>
            </w:r>
          </w:p>
        </w:tc>
      </w:tr>
      <w:tr w14:paraId="4637291C">
        <w:tblPrEx/>
        <w:trPr>
          <w:jc w:val="center"/>
        </w:trPr>
        <w:tc>
          <w:tcPr>
            <w:tcW w:w="3397" w:type="dxa"/>
            <w:tcBorders/>
            <w:vAlign w:val="center"/>
          </w:tcPr>
          <w:p w14:paraId="4090202B">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揭发他人犯罪，提供破案线索</w:t>
            </w:r>
          </w:p>
        </w:tc>
        <w:tc>
          <w:tcPr>
            <w:tcW w:w="5108" w:type="dxa"/>
            <w:vMerge w:val="continue"/>
            <w:tcBorders/>
            <w:vAlign w:val="center"/>
          </w:tcPr>
          <w:p w14:paraId="742EE5EA">
            <w:pPr>
              <w:pStyle w:val="style0"/>
              <w:spacing w:before="15" w:beforeLines="5" w:after="46" w:afterLines="15" w:lineRule="exact" w:line="400"/>
              <w:ind w:firstLine="0" w:firstLineChars="0"/>
              <w:rPr>
                <w:rFonts w:ascii="汉仪书宋一简" w:eastAsia="汉仪书宋一简" w:hint="eastAsia"/>
              </w:rPr>
            </w:pPr>
          </w:p>
        </w:tc>
      </w:tr>
      <w:tr w14:paraId="2AA0C2BB">
        <w:tblPrEx/>
        <w:trPr>
          <w:jc w:val="center"/>
        </w:trPr>
        <w:tc>
          <w:tcPr>
            <w:tcW w:w="3397" w:type="dxa"/>
            <w:tcBorders/>
            <w:vAlign w:val="center"/>
          </w:tcPr>
          <w:p w14:paraId="4D30EE9D">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技术革新成绩突出</w:t>
            </w:r>
          </w:p>
        </w:tc>
        <w:tc>
          <w:tcPr>
            <w:tcW w:w="5108" w:type="dxa"/>
            <w:vMerge w:val="continue"/>
            <w:tcBorders/>
            <w:vAlign w:val="center"/>
          </w:tcPr>
          <w:p w14:paraId="693ED5E6">
            <w:pPr>
              <w:pStyle w:val="style0"/>
              <w:spacing w:before="15" w:beforeLines="5" w:after="46" w:afterLines="15" w:lineRule="exact" w:line="400"/>
              <w:ind w:firstLine="0" w:firstLineChars="0"/>
              <w:rPr>
                <w:rFonts w:ascii="汉仪书宋一简" w:eastAsia="汉仪书宋一简" w:hint="eastAsia"/>
              </w:rPr>
            </w:pPr>
          </w:p>
        </w:tc>
      </w:tr>
      <w:tr w14:paraId="4AEAEBDA">
        <w:tblPrEx/>
        <w:trPr>
          <w:jc w:val="center"/>
        </w:trPr>
        <w:tc>
          <w:tcPr>
            <w:tcW w:w="3397" w:type="dxa"/>
            <w:tcBorders/>
            <w:vAlign w:val="center"/>
          </w:tcPr>
          <w:p w14:paraId="745B422B">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抗灾排除事故表现积极</w:t>
            </w:r>
          </w:p>
        </w:tc>
        <w:tc>
          <w:tcPr>
            <w:tcW w:w="5108" w:type="dxa"/>
            <w:vMerge w:val="continue"/>
            <w:tcBorders/>
            <w:vAlign w:val="center"/>
          </w:tcPr>
          <w:p w14:paraId="6C065B56">
            <w:pPr>
              <w:pStyle w:val="style0"/>
              <w:spacing w:before="15" w:beforeLines="5" w:after="46" w:afterLines="15" w:lineRule="exact" w:line="400"/>
              <w:ind w:firstLine="0" w:firstLineChars="0"/>
              <w:rPr>
                <w:rFonts w:ascii="汉仪书宋一简" w:eastAsia="汉仪书宋一简" w:hint="eastAsia"/>
              </w:rPr>
            </w:pPr>
          </w:p>
        </w:tc>
      </w:tr>
      <w:tr w14:paraId="522DDFE0">
        <w:tblPrEx/>
        <w:trPr>
          <w:jc w:val="center"/>
        </w:trPr>
        <w:tc>
          <w:tcPr>
            <w:tcW w:w="3397" w:type="dxa"/>
            <w:tcBorders/>
            <w:vAlign w:val="center"/>
          </w:tcPr>
          <w:p w14:paraId="3166DC8B">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利国利民突出表现</w:t>
            </w:r>
          </w:p>
        </w:tc>
        <w:tc>
          <w:tcPr>
            <w:tcW w:w="5108" w:type="dxa"/>
            <w:vMerge w:val="continue"/>
            <w:tcBorders/>
            <w:vAlign w:val="center"/>
          </w:tcPr>
          <w:p w14:paraId="52278BE0">
            <w:pPr>
              <w:pStyle w:val="style0"/>
              <w:spacing w:before="15" w:beforeLines="5" w:after="46" w:afterLines="15" w:lineRule="exact" w:line="400"/>
              <w:ind w:firstLine="0" w:firstLineChars="0"/>
              <w:rPr>
                <w:rFonts w:ascii="汉仪书宋一简" w:eastAsia="汉仪书宋一简" w:hint="eastAsia"/>
              </w:rPr>
            </w:pPr>
          </w:p>
        </w:tc>
      </w:tr>
      <w:tr w14:paraId="283F8AB2">
        <w:tblPrEx/>
        <w:trPr>
          <w:jc w:val="center"/>
        </w:trPr>
        <w:tc>
          <w:tcPr>
            <w:tcW w:w="3397" w:type="dxa"/>
            <w:tcBorders/>
            <w:vAlign w:val="center"/>
          </w:tcPr>
          <w:p w14:paraId="44F26380">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协助抓捕犯罪人（包括同案犯）</w:t>
            </w:r>
          </w:p>
        </w:tc>
        <w:tc>
          <w:tcPr>
            <w:tcW w:w="5108" w:type="dxa"/>
            <w:tcBorders/>
            <w:vAlign w:val="center"/>
          </w:tcPr>
          <w:p w14:paraId="21DFF826">
            <w:pPr>
              <w:pStyle w:val="style0"/>
              <w:spacing w:before="15" w:beforeLines="5" w:after="46" w:afterLines="15" w:lineRule="exact" w:line="400"/>
              <w:ind w:firstLine="0" w:firstLineChars="0"/>
              <w:rPr>
                <w:rFonts w:ascii="汉仪书宋一简" w:eastAsia="汉仪书宋一简" w:hint="eastAsia"/>
              </w:rPr>
            </w:pPr>
            <w:r>
              <w:rPr>
                <w:rFonts w:ascii="汉仪书宋一简" w:eastAsia="汉仪书宋一简" w:hint="eastAsia"/>
              </w:rPr>
              <w:t>约至指定地点；当场指认、辨认；带抓；提供尚未掌握的联络方式、藏匿地址</w:t>
            </w:r>
          </w:p>
        </w:tc>
      </w:tr>
    </w:tbl>
    <w:p w14:paraId="28B88DAE">
      <w:pPr>
        <w:pStyle w:val="style0"/>
        <w:spacing w:lineRule="exact" w:line="400"/>
        <w:ind w:firstLine="420"/>
        <w:rPr>
          <w:rFonts w:eastAsia="汉仪中黑简" w:hint="eastAsia"/>
          <w:bCs/>
          <w:color w:val="ff0000"/>
        </w:rPr>
      </w:pPr>
      <w:r>
        <w:rPr>
          <w:rFonts w:ascii="汉仪书宋二简" w:cs="汉仪书宋二简" w:hAnsi="汉仪书宋二简" w:hint="eastAsia"/>
          <w:kern w:val="0"/>
        </w:rPr>
        <w:t>（1）六种立功表现中，</w:t>
      </w:r>
      <w:r>
        <w:rPr>
          <w:rFonts w:eastAsia="汉仪中黑简" w:hint="eastAsia"/>
          <w:bCs/>
          <w:color w:val="ff0000"/>
        </w:rPr>
        <w:t>协助抓捕犯罪人这一种，可以是协助抓捕同案犯；其它五种，</w:t>
      </w:r>
      <w:r>
        <w:rPr>
          <w:rFonts w:ascii="汉仪书宋二简" w:cs="汉仪书宋二简" w:hAnsi="汉仪书宋二简" w:hint="eastAsia"/>
          <w:kern w:val="0"/>
        </w:rPr>
        <w:t>揭发他人犯罪、提供破案线索、阻止他人犯罪活动、利国利民突出表现这五种，</w:t>
      </w:r>
      <w:r>
        <w:rPr>
          <w:rFonts w:eastAsia="汉仪中黑简" w:hint="eastAsia"/>
          <w:bCs/>
          <w:color w:val="ff0000"/>
        </w:rPr>
        <w:t>须与本人及本人参与的共同犯罪无关联。</w:t>
      </w:r>
    </w:p>
    <w:p w14:paraId="4B201CD5">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（2）“协助司法机关抓捕其他犯罪嫌疑人”：①按照司法机关的安排，以打电话、发信息等方式将其他犯罪嫌疑人（包括同案犯）</w:t>
      </w:r>
      <w:r>
        <w:rPr>
          <w:rFonts w:eastAsia="汉仪中黑简" w:hint="eastAsia"/>
          <w:bCs/>
          <w:color w:val="ff0000"/>
        </w:rPr>
        <w:t>约至指定地点</w:t>
      </w:r>
      <w:r>
        <w:rPr>
          <w:rFonts w:ascii="汉仪书宋二简" w:cs="汉仪书宋二简" w:hAnsi="汉仪书宋二简" w:hint="eastAsia"/>
          <w:kern w:val="0"/>
        </w:rPr>
        <w:t>的；②按照司法机关的安排，</w:t>
      </w:r>
      <w:r>
        <w:rPr>
          <w:rFonts w:eastAsia="汉仪中黑简" w:hint="eastAsia"/>
          <w:bCs/>
          <w:color w:val="ff0000"/>
        </w:rPr>
        <w:t>当场指认、辨认</w:t>
      </w:r>
      <w:r>
        <w:rPr>
          <w:rFonts w:ascii="汉仪书宋二简" w:cs="汉仪书宋二简" w:hAnsi="汉仪书宋二简" w:hint="eastAsia"/>
          <w:kern w:val="0"/>
        </w:rPr>
        <w:t>其他犯罪嫌疑人（包括同案犯）的；③</w:t>
      </w:r>
      <w:r>
        <w:rPr>
          <w:rFonts w:eastAsia="汉仪中黑简" w:hint="eastAsia"/>
          <w:bCs/>
          <w:color w:val="ff0000"/>
        </w:rPr>
        <w:t>带领</w:t>
      </w:r>
      <w:r>
        <w:rPr>
          <w:rFonts w:ascii="汉仪书宋二简" w:cs="汉仪书宋二简" w:hAnsi="汉仪书宋二简" w:hint="eastAsia"/>
          <w:kern w:val="0"/>
        </w:rPr>
        <w:t>侦查人员</w:t>
      </w:r>
      <w:r>
        <w:rPr>
          <w:rFonts w:eastAsia="汉仪中黑简" w:hint="eastAsia"/>
          <w:bCs/>
          <w:color w:val="ff0000"/>
        </w:rPr>
        <w:t>抓获</w:t>
      </w:r>
      <w:r>
        <w:rPr>
          <w:rFonts w:ascii="汉仪书宋二简" w:cs="汉仪书宋二简" w:hAnsi="汉仪书宋二简" w:hint="eastAsia"/>
          <w:kern w:val="0"/>
        </w:rPr>
        <w:t>其他犯罪嫌疑人（包括同案犯）的；④</w:t>
      </w:r>
      <w:r>
        <w:rPr>
          <w:rFonts w:eastAsia="汉仪中黑简" w:hint="eastAsia"/>
          <w:bCs/>
          <w:color w:val="ff0000"/>
        </w:rPr>
        <w:t>提供</w:t>
      </w:r>
      <w:r>
        <w:rPr>
          <w:rFonts w:ascii="汉仪书宋二简" w:cs="汉仪书宋二简" w:hAnsi="汉仪书宋二简" w:hint="eastAsia"/>
          <w:kern w:val="0"/>
        </w:rPr>
        <w:t>司法机关尚未掌握的其他案件犯罪嫌疑人的</w:t>
      </w:r>
      <w:r>
        <w:rPr>
          <w:rFonts w:eastAsia="汉仪中黑简" w:hint="eastAsia"/>
          <w:bCs/>
          <w:color w:val="ff0000"/>
        </w:rPr>
        <w:t>联络方式、藏匿地址</w:t>
      </w:r>
      <w:r>
        <w:rPr>
          <w:rFonts w:ascii="汉仪书宋二简" w:cs="汉仪书宋二简" w:hAnsi="汉仪书宋二简" w:hint="eastAsia"/>
          <w:kern w:val="0"/>
        </w:rPr>
        <w:t>的，等等。但是，犯罪分子提供同案犯姓名、住址、体貌特征等基本情况，或者提供犯罪前、犯罪中掌握、使用的同案犯联络方式、藏匿地址，司法机关据此抓捕同案犯的，不能认定为协助司法机关抓捕同案犯。这也就是说，只有提供</w:t>
      </w:r>
      <w:r>
        <w:rPr>
          <w:rFonts w:eastAsia="汉仪中黑简" w:hint="eastAsia"/>
          <w:bCs/>
          <w:color w:val="ff0000"/>
        </w:rPr>
        <w:t>犯罪后掌握的</w:t>
      </w:r>
      <w:r>
        <w:rPr>
          <w:rFonts w:eastAsia="汉仪中黑简" w:hint="eastAsia"/>
          <w:bCs/>
        </w:rPr>
        <w:t>、</w:t>
      </w:r>
      <w:r>
        <w:rPr>
          <w:rFonts w:eastAsia="汉仪中黑简" w:hint="eastAsia"/>
          <w:bCs/>
          <w:color w:val="ff0000"/>
        </w:rPr>
        <w:t>不属基本信息</w:t>
      </w:r>
      <w:r>
        <w:rPr>
          <w:rFonts w:ascii="汉仪书宋二简" w:cs="汉仪书宋二简" w:hAnsi="汉仪书宋二简" w:hint="eastAsia"/>
          <w:kern w:val="0"/>
        </w:rPr>
        <w:t>的同案犯联络方式、藏匿地址，才可构成立功。</w:t>
      </w:r>
    </w:p>
    <w:p w14:paraId="29FF024E">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（3）据以立功的他人罪行材料应当指明具体犯罪事实；据以立功的线索或者协助行为对于侦破案件或者抓捕犯罪嫌疑人</w:t>
      </w:r>
      <w:r>
        <w:rPr>
          <w:rFonts w:eastAsia="汉仪中黑简" w:hint="eastAsia"/>
          <w:bCs/>
          <w:color w:val="ff0000"/>
        </w:rPr>
        <w:t>要有实际作用</w:t>
      </w:r>
      <w:r>
        <w:rPr>
          <w:rFonts w:ascii="汉仪书宋二简" w:cs="汉仪书宋二简" w:hAnsi="汉仪书宋二简" w:hint="eastAsia"/>
          <w:kern w:val="0"/>
        </w:rPr>
        <w:t>。犯罪分子揭发他人犯罪行为时没有指明具体犯</w:t>
      </w:r>
      <w:r>
        <w:rPr>
          <w:rFonts w:ascii="汉仪书宋二简" w:cs="汉仪书宋二简" w:hAnsi="汉仪书宋二简"/>
          <w:kern w:val="0"/>
        </w:rPr>
        <w:t>罪事实的；揭发的犯罪事实与查实的犯罪事实不具有关联性的；提供的线索或者协助行为对于其他案件的侦破或者其他犯罪嫌疑人的抓捕不具有实际作用的，不能认定为立功表现。</w:t>
      </w:r>
    </w:p>
    <w:p w14:paraId="37082588">
      <w:pPr>
        <w:pStyle w:val="style0"/>
        <w:spacing w:lineRule="exact" w:line="400"/>
        <w:ind w:firstLine="420"/>
        <w:rPr>
          <w:rFonts w:ascii="汉仪书宋二简" w:cs="汉仪书宋二简" w:hAnsi="汉仪书宋二简" w:hint="eastAsia"/>
          <w:kern w:val="0"/>
        </w:rPr>
      </w:pPr>
    </w:p>
    <w:p w14:paraId="4E9498EA">
      <w:pPr>
        <w:pStyle w:val="style3"/>
        <w:spacing w:lineRule="exact" w:line="400"/>
        <w:jc w:val="both"/>
        <w:rPr>
          <w:rFonts w:eastAsia="汉仪中黑简" w:hint="eastAsia"/>
          <w:sz w:val="21"/>
        </w:rPr>
      </w:pPr>
      <w:r>
        <w:rPr>
          <w:rFonts w:hint="eastAsia"/>
          <w:sz w:val="21"/>
        </w:rPr>
        <w:t>二、立功与自首、坦白的区分</w:t>
      </w:r>
    </w:p>
    <w:p w14:paraId="35BB1FE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（1）对</w:t>
      </w:r>
      <w:r>
        <w:rPr>
          <w:rFonts w:eastAsia="汉仪中黑简" w:hint="eastAsia"/>
          <w:color w:val="ff0000"/>
        </w:rPr>
        <w:t>本人</w:t>
      </w:r>
      <w:r>
        <w:rPr>
          <w:rFonts w:ascii="汉仪书宋二简" w:cs="汉仪书宋二简" w:hAnsi="汉仪书宋二简" w:hint="eastAsia"/>
          <w:kern w:val="0"/>
        </w:rPr>
        <w:t>及本人参与的共同犯罪</w:t>
      </w:r>
      <w:r>
        <w:rPr>
          <w:rFonts w:eastAsia="汉仪中黑简" w:hint="eastAsia"/>
          <w:color w:val="ff0000"/>
        </w:rPr>
        <w:t>以外的犯罪事实</w:t>
      </w:r>
      <w:r>
        <w:rPr>
          <w:rFonts w:ascii="汉仪书宋二简" w:cs="汉仪书宋二简" w:hAnsi="汉仪书宋二简" w:hint="eastAsia"/>
          <w:kern w:val="0"/>
        </w:rPr>
        <w:t>揭发属于立功。</w:t>
      </w:r>
    </w:p>
    <w:p w14:paraId="66C4958C">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（2）交代同案犯（共同犯罪事实、基本信息）属自首、坦白，这里的“同案犯”，指共同实施不法行为的人。</w:t>
      </w:r>
    </w:p>
    <w:p w14:paraId="1EA9FC85">
      <w:pPr>
        <w:pStyle w:val="style0"/>
        <w:spacing w:lineRule="exact" w:line="400"/>
        <w:ind w:firstLine="420"/>
        <w:rPr>
          <w:rFonts w:ascii="汉仪书宋二简" w:cs="汉仪书宋二简" w:hAnsi="汉仪书宋二简" w:hint="eastAsia"/>
          <w:kern w:val="0"/>
        </w:rPr>
      </w:pPr>
    </w:p>
    <w:p w14:paraId="7A4939ED">
      <w:pPr>
        <w:pStyle w:val="style3"/>
        <w:spacing w:lineRule="exact" w:line="400"/>
        <w:rPr>
          <w:rFonts w:hint="eastAsia"/>
          <w:b/>
          <w:sz w:val="21"/>
        </w:rPr>
      </w:pPr>
      <w:r>
        <w:rPr>
          <w:rFonts w:hint="eastAsia"/>
          <w:b/>
          <w:sz w:val="21"/>
        </w:rPr>
        <w:t>三、不能认定为立功的情形</w:t>
      </w:r>
    </w:p>
    <w:p w14:paraId="66404177">
      <w:pPr>
        <w:pStyle w:val="style0"/>
        <w:snapToGrid w:val="false"/>
        <w:spacing w:lineRule="exact" w:line="400"/>
        <w:ind w:firstLine="420"/>
        <w:rPr>
          <w:rFonts w:eastAsia="宋体"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84"/>
        <w:gridCol w:w="6721"/>
      </w:tblGrid>
      <w:tr w14:paraId="4027A835">
        <w:trPr>
          <w:jc w:val="center"/>
        </w:trPr>
        <w:tc>
          <w:tcPr>
            <w:tcW w:w="1784" w:type="dxa"/>
            <w:tcBorders/>
            <w:vAlign w:val="center"/>
          </w:tcPr>
          <w:p w14:paraId="4A1C628C">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非法手段获取</w:t>
            </w:r>
          </w:p>
        </w:tc>
        <w:tc>
          <w:tcPr>
            <w:tcW w:w="6721" w:type="dxa"/>
            <w:tcBorders/>
            <w:vAlign w:val="center"/>
          </w:tcPr>
          <w:p w14:paraId="3DFD796A">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犯罪分子通过贿买、暴力、胁迫等</w:t>
            </w:r>
            <w:r>
              <w:rPr>
                <w:rFonts w:ascii="汉仪中黑简" w:eastAsia="汉仪中黑简" w:hint="eastAsia"/>
                <w:color w:val="ff0000"/>
              </w:rPr>
              <w:t>非法手段</w:t>
            </w:r>
            <w:r>
              <w:rPr>
                <w:rFonts w:ascii="汉仪书宋一简" w:eastAsia="汉仪书宋一简" w:hint="eastAsia"/>
              </w:rPr>
              <w:t>；或者被羁押后与律师、亲</w:t>
            </w:r>
            <w:r>
              <w:rPr>
                <w:rFonts w:ascii="汉仪书宋一简" w:eastAsia="汉仪书宋一简" w:hint="eastAsia"/>
              </w:rPr>
              <w:t>友会见过程中</w:t>
            </w:r>
            <w:r>
              <w:rPr>
                <w:rFonts w:ascii="汉仪中黑简" w:eastAsia="汉仪中黑简" w:hint="eastAsia"/>
                <w:color w:val="ff0000"/>
              </w:rPr>
              <w:t>违反监管规定</w:t>
            </w:r>
            <w:r>
              <w:rPr>
                <w:rFonts w:ascii="汉仪书宋一简" w:eastAsia="汉仪书宋一简" w:hint="eastAsia"/>
              </w:rPr>
              <w:t>，获取他人犯罪线索并检举揭发的</w:t>
            </w:r>
          </w:p>
        </w:tc>
      </w:tr>
      <w:tr w14:paraId="5F7E0199">
        <w:tblPrEx/>
        <w:trPr>
          <w:jc w:val="center"/>
        </w:trPr>
        <w:tc>
          <w:tcPr>
            <w:tcW w:w="1784" w:type="dxa"/>
            <w:tcBorders/>
            <w:vAlign w:val="center"/>
          </w:tcPr>
          <w:p w14:paraId="4C6CC4C8">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原查办犯罪获取</w:t>
            </w:r>
          </w:p>
        </w:tc>
        <w:tc>
          <w:tcPr>
            <w:tcW w:w="6721" w:type="dxa"/>
            <w:tcBorders/>
            <w:vAlign w:val="center"/>
          </w:tcPr>
          <w:p w14:paraId="03C60A19">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犯罪分子将本人</w:t>
            </w:r>
            <w:r>
              <w:rPr>
                <w:rFonts w:ascii="汉仪中黑简" w:eastAsia="汉仪中黑简" w:hint="eastAsia"/>
                <w:color w:val="ff0000"/>
              </w:rPr>
              <w:t>以往查办犯罪职务活动中掌握</w:t>
            </w:r>
            <w:r>
              <w:rPr>
                <w:rFonts w:ascii="汉仪书宋一简" w:eastAsia="汉仪书宋一简" w:hint="eastAsia"/>
              </w:rPr>
              <w:t>的，或者</w:t>
            </w:r>
            <w:r>
              <w:rPr>
                <w:rFonts w:ascii="汉仪中黑简" w:eastAsia="汉仪中黑简" w:hint="eastAsia"/>
                <w:color w:val="ff0000"/>
              </w:rPr>
              <w:t>从负有查办犯罪、监管职责的国家工作人员处获取</w:t>
            </w:r>
            <w:r>
              <w:rPr>
                <w:rFonts w:ascii="汉仪书宋一简" w:eastAsia="汉仪书宋一简" w:hint="eastAsia"/>
              </w:rPr>
              <w:t>的他人犯罪线索予以检举揭发的</w:t>
            </w:r>
          </w:p>
        </w:tc>
      </w:tr>
      <w:tr w14:paraId="17251719">
        <w:tblPrEx/>
        <w:trPr>
          <w:jc w:val="center"/>
        </w:trPr>
        <w:tc>
          <w:tcPr>
            <w:tcW w:w="1784" w:type="dxa"/>
            <w:tcBorders/>
            <w:vAlign w:val="center"/>
          </w:tcPr>
          <w:p w14:paraId="00104458">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亲友代为立功</w:t>
            </w:r>
          </w:p>
        </w:tc>
        <w:tc>
          <w:tcPr>
            <w:tcW w:w="6721" w:type="dxa"/>
            <w:tcBorders/>
            <w:vAlign w:val="center"/>
          </w:tcPr>
          <w:p w14:paraId="0B1A9DD1">
            <w:pPr>
              <w:pStyle w:val="style0"/>
              <w:snapToGrid w:val="false"/>
              <w:spacing w:before="62" w:beforeLines="20" w:after="93" w:afterLines="30" w:lineRule="exact" w:line="400"/>
              <w:ind w:firstLine="0" w:firstLineChars="0"/>
              <w:rPr>
                <w:rFonts w:ascii="汉仪书宋一简" w:eastAsia="汉仪书宋一简" w:hint="eastAsia"/>
              </w:rPr>
            </w:pPr>
            <w:r>
              <w:rPr>
                <w:rFonts w:ascii="汉仪书宋一简" w:eastAsia="汉仪书宋一简" w:hint="eastAsia"/>
              </w:rPr>
              <w:t>犯罪分子亲友为使犯罪分子“</w:t>
            </w:r>
            <w:r>
              <w:rPr>
                <w:rFonts w:ascii="汉仪中黑简" w:eastAsia="汉仪中黑简" w:hint="eastAsia"/>
                <w:color w:val="ff0000"/>
              </w:rPr>
              <w:t>代为立功</w:t>
            </w:r>
            <w:r>
              <w:rPr>
                <w:rFonts w:ascii="汉仪书宋一简" w:eastAsia="汉仪书宋一简" w:hint="eastAsia"/>
              </w:rPr>
              <w:t>”，向司法机关提供他人犯罪线索、协助抓捕犯罪嫌疑人的，不能认定为犯罪分子有立功表现</w:t>
            </w:r>
          </w:p>
        </w:tc>
      </w:tr>
    </w:tbl>
    <w:p w14:paraId="04F3D5BF">
      <w:pPr>
        <w:pStyle w:val="style0"/>
        <w:spacing w:lineRule="exact" w:line="400"/>
        <w:ind w:firstLine="420"/>
        <w:rPr>
          <w:rFonts w:ascii="汉仪书宋二简" w:cs="汉仪书宋二简" w:hAnsi="汉仪书宋二简" w:hint="eastAsia"/>
          <w:kern w:val="0"/>
        </w:rPr>
      </w:pPr>
    </w:p>
    <w:p w14:paraId="195BC27F">
      <w:pPr>
        <w:pStyle w:val="style3"/>
        <w:spacing w:lineRule="exact" w:line="400"/>
        <w:rPr>
          <w:rFonts w:hint="eastAsia"/>
          <w:sz w:val="21"/>
        </w:rPr>
      </w:pPr>
      <w:r>
        <w:rPr>
          <w:rFonts w:hint="eastAsia"/>
          <w:sz w:val="21"/>
        </w:rPr>
        <w:t>四、重大立功</w:t>
      </w:r>
    </w:p>
    <w:p w14:paraId="704135B4">
      <w:pPr>
        <w:pStyle w:val="style0"/>
        <w:snapToGrid w:val="false"/>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“重大犯罪”、“重大案件”、“重大犯罪嫌疑人”的标准，一般是指犯罪嫌疑人、被告人可能被判处</w:t>
      </w:r>
      <w:r>
        <w:rPr>
          <w:rFonts w:eastAsia="汉仪中黑简" w:hint="eastAsia"/>
          <w:color w:val="ff0000"/>
        </w:rPr>
        <w:t>无期徒刑以上</w:t>
      </w:r>
      <w:r>
        <w:rPr>
          <w:rFonts w:ascii="汉仪书宋二简" w:cs="汉仪书宋二简" w:hAnsi="汉仪书宋二简" w:hint="eastAsia"/>
          <w:kern w:val="0"/>
        </w:rPr>
        <w:t>刑罚或者案件在</w:t>
      </w:r>
      <w:r>
        <w:rPr>
          <w:rFonts w:eastAsia="汉仪中黑简" w:hint="eastAsia"/>
          <w:color w:val="ff0000"/>
        </w:rPr>
        <w:t>本省</w:t>
      </w:r>
      <w:r>
        <w:rPr>
          <w:rFonts w:ascii="汉仪书宋二简" w:cs="汉仪书宋二简" w:hAnsi="汉仪书宋二简" w:hint="eastAsia"/>
          <w:kern w:val="0"/>
        </w:rPr>
        <w:t>、自治区、直辖市或者全国范围内有较大影响等情形。</w:t>
      </w:r>
    </w:p>
    <w:p w14:paraId="10B6318C">
      <w:pPr>
        <w:pStyle w:val="style0"/>
        <w:spacing w:lineRule="exact" w:line="400"/>
        <w:ind w:firstLine="420"/>
        <w:jc w:val="left"/>
        <w:rPr>
          <w:rFonts w:ascii="汉仪书宋二简" w:cs="汉仪书宋二简" w:hAnsi="汉仪书宋二简" w:hint="eastAsia"/>
          <w:kern w:val="0"/>
        </w:rPr>
      </w:pPr>
    </w:p>
    <w:p w14:paraId="38979290">
      <w:pPr>
        <w:pStyle w:val="style0"/>
        <w:spacing w:lineRule="exact" w:line="400"/>
        <w:ind w:firstLine="420"/>
        <w:rPr>
          <w:rFonts w:ascii="汉仪书宋二简" w:cs="汉仪书宋二简" w:hAnsi="汉仪书宋二简" w:hint="eastAsia"/>
          <w:kern w:val="0"/>
        </w:rPr>
      </w:pPr>
    </w:p>
    <w:bookmarkStart w:id="18" w:name="_Toc188371415"/>
    <w:p w14:paraId="29DE7BD3">
      <w:pPr>
        <w:pStyle w:val="style1"/>
        <w:spacing w:before="0" w:lineRule="exact" w:line="400"/>
        <w:rPr>
          <w:rFonts w:hint="eastAsia"/>
          <w:b/>
          <w:color w:val="auto"/>
          <w:sz w:val="21"/>
          <w:szCs w:val="21"/>
        </w:rPr>
      </w:pPr>
      <w:r>
        <w:rPr>
          <w:rFonts w:hint="eastAsia"/>
          <w:b/>
          <w:color w:val="auto"/>
          <w:sz w:val="21"/>
          <w:szCs w:val="21"/>
        </w:rPr>
        <w:t>考点51</w:t>
      </w:r>
      <w:r>
        <w:rPr>
          <w:b/>
          <w:color w:val="auto"/>
          <w:sz w:val="21"/>
          <w:szCs w:val="21"/>
        </w:rPr>
        <w:t xml:space="preserve">  </w:t>
      </w:r>
      <w:r>
        <w:rPr>
          <w:rFonts w:hint="eastAsia"/>
          <w:b/>
          <w:color w:val="auto"/>
          <w:sz w:val="21"/>
          <w:szCs w:val="21"/>
        </w:rPr>
        <w:t>数罪并罚</w:t>
      </w:r>
      <w:bookmarkEnd w:id="18"/>
    </w:p>
    <w:p w14:paraId="57411B80">
      <w:pPr>
        <w:pStyle w:val="style0"/>
        <w:spacing w:lineRule="exact" w:line="400"/>
        <w:ind w:firstLine="420"/>
        <w:jc w:val="left"/>
        <w:rPr>
          <w:rFonts w:ascii="汉仪书宋二简" w:cs="汉仪书宋二简" w:hAnsi="汉仪书宋二简" w:hint="eastAsia"/>
          <w:kern w:val="0"/>
        </w:rPr>
      </w:pPr>
    </w:p>
    <w:p w14:paraId="77C8F322">
      <w:pPr>
        <w:pStyle w:val="style3"/>
        <w:spacing w:lineRule="exact" w:line="400"/>
        <w:rPr>
          <w:rFonts w:ascii="汉仪书宋二简" w:cs="Times New Roman" w:eastAsia="汉仪书宋二简" w:hAnsi="Times New Roman"/>
          <w:sz w:val="21"/>
        </w:rPr>
      </w:pPr>
      <w:r>
        <w:rPr>
          <w:rFonts w:hint="eastAsia"/>
          <w:sz w:val="21"/>
        </w:rPr>
        <w:t>一、判决宣告前一人犯数罪的并罚</w:t>
      </w:r>
      <w:r>
        <w:rPr>
          <w:rFonts w:ascii="汉仪书宋二简" w:eastAsia="汉仪书宋二简" w:hint="eastAsia"/>
          <w:sz w:val="21"/>
        </w:rPr>
        <w:t>（简单并罚，数刑并罚的中“并”的规则）</w:t>
      </w:r>
    </w:p>
    <w:p w14:paraId="7324664B">
      <w:pPr>
        <w:pStyle w:val="style0"/>
        <w:widowControl/>
        <w:adjustRightInd w:val="false"/>
        <w:snapToGrid w:val="false"/>
        <w:spacing w:lineRule="exact" w:line="400"/>
        <w:ind w:firstLine="420"/>
        <w:rPr>
          <w:rFonts w:ascii="Times New Roman" w:cs="Times New Roman" w:eastAsia="楷体" w:hAnsi="Times New Roman"/>
          <w:kern w:val="0"/>
        </w:rPr>
      </w:pPr>
    </w:p>
    <w:p w14:paraId="567550B1">
      <w:pPr>
        <w:pStyle w:val="style0"/>
        <w:widowControl/>
        <w:adjustRightInd w:val="false"/>
        <w:snapToGrid w:val="false"/>
        <w:spacing w:lineRule="exact" w:line="400"/>
        <w:ind w:firstLine="420"/>
        <w:rPr>
          <w:rFonts w:ascii="Times New Roman" w:cs="Times New Roman" w:eastAsia="楷体" w:hAnsi="Times New Roman"/>
          <w:kern w:val="0"/>
        </w:rPr>
      </w:pPr>
    </w:p>
    <w:tbl>
      <w:tblPr>
        <w:tblW w:w="8508"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028"/>
        <w:gridCol w:w="1519"/>
        <w:gridCol w:w="2126"/>
        <w:gridCol w:w="698"/>
        <w:gridCol w:w="1086"/>
        <w:gridCol w:w="1032"/>
        <w:gridCol w:w="1019"/>
      </w:tblGrid>
      <w:tr w14:paraId="1256E4EF">
        <w:trPr>
          <w:jc w:val="center"/>
        </w:trPr>
        <w:tc>
          <w:tcPr>
            <w:tcW w:w="6457" w:type="dxa"/>
            <w:gridSpan w:val="5"/>
            <w:tcBorders/>
            <w:vAlign w:val="center"/>
          </w:tcPr>
          <w:p w14:paraId="6DA58378">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主刑</w:t>
            </w:r>
          </w:p>
        </w:tc>
        <w:tc>
          <w:tcPr>
            <w:tcW w:w="2051" w:type="dxa"/>
            <w:gridSpan w:val="2"/>
            <w:tcBorders/>
            <w:vAlign w:val="center"/>
          </w:tcPr>
          <w:p w14:paraId="01B18563">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附加刑</w:t>
            </w:r>
          </w:p>
        </w:tc>
      </w:tr>
      <w:tr w14:paraId="592DC530">
        <w:tblPrEx/>
        <w:trPr>
          <w:jc w:val="center"/>
        </w:trPr>
        <w:tc>
          <w:tcPr>
            <w:tcW w:w="1028" w:type="dxa"/>
            <w:tcBorders/>
            <w:vAlign w:val="center"/>
          </w:tcPr>
          <w:p w14:paraId="2A99609F">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刑种</w:t>
            </w:r>
          </w:p>
        </w:tc>
        <w:tc>
          <w:tcPr>
            <w:tcW w:w="1519" w:type="dxa"/>
            <w:tcBorders/>
            <w:vAlign w:val="center"/>
          </w:tcPr>
          <w:p w14:paraId="591C7C4B">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单罚</w:t>
            </w:r>
          </w:p>
        </w:tc>
        <w:tc>
          <w:tcPr>
            <w:tcW w:w="2824" w:type="dxa"/>
            <w:gridSpan w:val="2"/>
            <w:tcBorders/>
            <w:vAlign w:val="center"/>
          </w:tcPr>
          <w:p w14:paraId="34D91C7E">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并罚</w:t>
            </w:r>
          </w:p>
        </w:tc>
        <w:tc>
          <w:tcPr>
            <w:tcW w:w="1086" w:type="dxa"/>
            <w:tcBorders/>
            <w:vAlign w:val="center"/>
          </w:tcPr>
          <w:p w14:paraId="0826E00C">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规则</w:t>
            </w:r>
          </w:p>
        </w:tc>
        <w:tc>
          <w:tcPr>
            <w:tcW w:w="1032" w:type="dxa"/>
            <w:tcBorders/>
            <w:vAlign w:val="center"/>
          </w:tcPr>
          <w:p w14:paraId="566DF0C5">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同种</w:t>
            </w:r>
          </w:p>
        </w:tc>
        <w:tc>
          <w:tcPr>
            <w:tcW w:w="1019" w:type="dxa"/>
            <w:tcBorders/>
            <w:vAlign w:val="center"/>
          </w:tcPr>
          <w:p w14:paraId="52BA8930">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异种</w:t>
            </w:r>
          </w:p>
        </w:tc>
      </w:tr>
      <w:tr w14:paraId="59AE9D80">
        <w:tblPrEx/>
        <w:trPr>
          <w:trHeight w:val="285" w:hRule="atLeast"/>
          <w:jc w:val="center"/>
        </w:trPr>
        <w:tc>
          <w:tcPr>
            <w:tcW w:w="1028" w:type="dxa"/>
            <w:tcBorders/>
            <w:vAlign w:val="center"/>
          </w:tcPr>
          <w:p w14:paraId="4BF2989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死刑</w:t>
            </w:r>
          </w:p>
        </w:tc>
        <w:tc>
          <w:tcPr>
            <w:tcW w:w="1519" w:type="dxa"/>
            <w:tcBorders/>
            <w:vAlign w:val="center"/>
          </w:tcPr>
          <w:p w14:paraId="34D547C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死刑</w:t>
            </w:r>
          </w:p>
        </w:tc>
        <w:tc>
          <w:tcPr>
            <w:tcW w:w="2824" w:type="dxa"/>
            <w:gridSpan w:val="2"/>
            <w:tcBorders/>
            <w:vAlign w:val="center"/>
          </w:tcPr>
          <w:p w14:paraId="753066F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死刑（吸收死刑及以下）</w:t>
            </w:r>
          </w:p>
        </w:tc>
        <w:tc>
          <w:tcPr>
            <w:tcW w:w="1086" w:type="dxa"/>
            <w:vMerge w:val="restart"/>
            <w:tcBorders/>
            <w:vAlign w:val="center"/>
          </w:tcPr>
          <w:p w14:paraId="5CEB670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吸收</w:t>
            </w:r>
          </w:p>
        </w:tc>
        <w:tc>
          <w:tcPr>
            <w:tcW w:w="1032" w:type="dxa"/>
            <w:vMerge w:val="restart"/>
            <w:tcBorders/>
            <w:vAlign w:val="center"/>
          </w:tcPr>
          <w:p w14:paraId="4DDD3CA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合并执行（并加，吸收）</w:t>
            </w:r>
          </w:p>
        </w:tc>
        <w:tc>
          <w:tcPr>
            <w:tcW w:w="1019" w:type="dxa"/>
            <w:vMerge w:val="restart"/>
            <w:tcBorders/>
            <w:vAlign w:val="center"/>
          </w:tcPr>
          <w:p w14:paraId="3B6CD83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分别执行（并加）</w:t>
            </w:r>
          </w:p>
        </w:tc>
      </w:tr>
      <w:tr w14:paraId="1FF8B036">
        <w:tblPrEx/>
        <w:trPr>
          <w:trHeight w:val="315" w:hRule="atLeast"/>
          <w:jc w:val="center"/>
        </w:trPr>
        <w:tc>
          <w:tcPr>
            <w:tcW w:w="1028" w:type="dxa"/>
            <w:tcBorders/>
            <w:vAlign w:val="center"/>
          </w:tcPr>
          <w:p w14:paraId="1ADD1F3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无期徒刑</w:t>
            </w:r>
          </w:p>
        </w:tc>
        <w:tc>
          <w:tcPr>
            <w:tcW w:w="1519" w:type="dxa"/>
            <w:tcBorders/>
            <w:vAlign w:val="center"/>
          </w:tcPr>
          <w:p w14:paraId="3002D05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无期徒刑</w:t>
            </w:r>
          </w:p>
        </w:tc>
        <w:tc>
          <w:tcPr>
            <w:tcW w:w="2824" w:type="dxa"/>
            <w:gridSpan w:val="2"/>
            <w:tcBorders/>
            <w:vAlign w:val="center"/>
          </w:tcPr>
          <w:p w14:paraId="76FFEAF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无期徒刑（吸收无期及以下）</w:t>
            </w:r>
          </w:p>
        </w:tc>
        <w:tc>
          <w:tcPr>
            <w:tcW w:w="1086" w:type="dxa"/>
            <w:vMerge w:val="continue"/>
            <w:tcBorders/>
            <w:vAlign w:val="center"/>
          </w:tcPr>
          <w:p w14:paraId="52E57FCF">
            <w:pPr>
              <w:pStyle w:val="style0"/>
              <w:snapToGrid w:val="false"/>
              <w:spacing w:before="31" w:beforeLines="10" w:after="62" w:afterLines="20" w:lineRule="exact" w:line="400"/>
              <w:ind w:firstLine="0" w:firstLineChars="0"/>
              <w:rPr>
                <w:rFonts w:ascii="汉仪书宋一简" w:eastAsia="汉仪书宋一简" w:hint="eastAsia"/>
              </w:rPr>
            </w:pPr>
          </w:p>
        </w:tc>
        <w:tc>
          <w:tcPr>
            <w:tcW w:w="1032" w:type="dxa"/>
            <w:vMerge w:val="continue"/>
            <w:tcBorders/>
            <w:vAlign w:val="center"/>
          </w:tcPr>
          <w:p w14:paraId="49651B1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46CC201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5EEC2969">
        <w:tblPrEx/>
        <w:trPr>
          <w:trHeight w:val="361" w:hRule="atLeast"/>
          <w:jc w:val="center"/>
        </w:trPr>
        <w:tc>
          <w:tcPr>
            <w:tcW w:w="1028" w:type="dxa"/>
            <w:vMerge w:val="restart"/>
            <w:tcBorders/>
            <w:vAlign w:val="center"/>
          </w:tcPr>
          <w:p w14:paraId="228CB98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有期徒刑</w:t>
            </w:r>
          </w:p>
        </w:tc>
        <w:tc>
          <w:tcPr>
            <w:tcW w:w="1519" w:type="dxa"/>
            <w:vMerge w:val="restart"/>
            <w:tcBorders/>
            <w:vAlign w:val="center"/>
          </w:tcPr>
          <w:p w14:paraId="0BB5FC1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15年</w:t>
            </w:r>
          </w:p>
        </w:tc>
        <w:tc>
          <w:tcPr>
            <w:tcW w:w="2126" w:type="dxa"/>
            <w:tcBorders/>
            <w:vAlign w:val="center"/>
          </w:tcPr>
          <w:p w14:paraId="5F957B03">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总和不满35年：20年</w:t>
            </w:r>
          </w:p>
        </w:tc>
        <w:tc>
          <w:tcPr>
            <w:tcW w:w="698" w:type="dxa"/>
            <w:vMerge w:val="restart"/>
            <w:tcBorders/>
            <w:vAlign w:val="center"/>
          </w:tcPr>
          <w:p w14:paraId="049D0ED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有期</w:t>
            </w:r>
          </w:p>
          <w:p w14:paraId="184E0A8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吸收</w:t>
            </w:r>
          </w:p>
          <w:p w14:paraId="04F74D3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拘役</w:t>
            </w:r>
          </w:p>
        </w:tc>
        <w:tc>
          <w:tcPr>
            <w:tcW w:w="1086" w:type="dxa"/>
            <w:vMerge w:val="restart"/>
            <w:tcBorders/>
            <w:vAlign w:val="center"/>
          </w:tcPr>
          <w:p w14:paraId="1E590A5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限制加重</w:t>
            </w:r>
          </w:p>
        </w:tc>
        <w:tc>
          <w:tcPr>
            <w:tcW w:w="1032" w:type="dxa"/>
            <w:vMerge w:val="continue"/>
            <w:tcBorders/>
            <w:vAlign w:val="center"/>
          </w:tcPr>
          <w:p w14:paraId="58EEBEF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5A21D4C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12DE4150">
        <w:tblPrEx/>
        <w:trPr>
          <w:jc w:val="center"/>
        </w:trPr>
        <w:tc>
          <w:tcPr>
            <w:tcW w:w="1028" w:type="dxa"/>
            <w:vMerge w:val="continue"/>
            <w:tcBorders/>
            <w:vAlign w:val="center"/>
          </w:tcPr>
          <w:p w14:paraId="24FD828E">
            <w:pPr>
              <w:pStyle w:val="style0"/>
              <w:snapToGrid w:val="false"/>
              <w:spacing w:before="31" w:beforeLines="10" w:after="62" w:afterLines="20" w:lineRule="exact" w:line="400"/>
              <w:ind w:firstLine="0" w:firstLineChars="0"/>
              <w:rPr>
                <w:rFonts w:ascii="汉仪书宋一简" w:eastAsia="汉仪书宋一简" w:hint="eastAsia"/>
              </w:rPr>
            </w:pPr>
          </w:p>
        </w:tc>
        <w:tc>
          <w:tcPr>
            <w:tcW w:w="1519" w:type="dxa"/>
            <w:vMerge w:val="continue"/>
            <w:tcBorders/>
            <w:vAlign w:val="center"/>
          </w:tcPr>
          <w:p w14:paraId="2C863A29">
            <w:pPr>
              <w:pStyle w:val="style0"/>
              <w:snapToGrid w:val="false"/>
              <w:spacing w:before="31" w:beforeLines="10" w:after="62" w:afterLines="20" w:lineRule="exact" w:line="400"/>
              <w:ind w:firstLine="0" w:firstLineChars="0"/>
              <w:rPr>
                <w:rFonts w:ascii="汉仪书宋一简" w:eastAsia="汉仪书宋一简" w:hint="eastAsia"/>
              </w:rPr>
            </w:pPr>
          </w:p>
        </w:tc>
        <w:tc>
          <w:tcPr>
            <w:tcW w:w="2126" w:type="dxa"/>
            <w:tcBorders/>
            <w:vAlign w:val="center"/>
          </w:tcPr>
          <w:p w14:paraId="3471EFB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总和35年以上：25年</w:t>
            </w:r>
          </w:p>
        </w:tc>
        <w:tc>
          <w:tcPr>
            <w:tcW w:w="698" w:type="dxa"/>
            <w:vMerge w:val="continue"/>
            <w:tcBorders/>
            <w:vAlign w:val="center"/>
          </w:tcPr>
          <w:p w14:paraId="12052701">
            <w:pPr>
              <w:pStyle w:val="style0"/>
              <w:snapToGrid w:val="false"/>
              <w:spacing w:before="31" w:beforeLines="10" w:after="62" w:afterLines="20" w:lineRule="exact" w:line="400"/>
              <w:ind w:firstLine="0" w:firstLineChars="0"/>
              <w:rPr>
                <w:rFonts w:ascii="汉仪书宋一简" w:eastAsia="汉仪书宋一简" w:hint="eastAsia"/>
              </w:rPr>
            </w:pPr>
          </w:p>
        </w:tc>
        <w:tc>
          <w:tcPr>
            <w:tcW w:w="1086" w:type="dxa"/>
            <w:vMerge w:val="continue"/>
            <w:tcBorders/>
            <w:vAlign w:val="center"/>
          </w:tcPr>
          <w:p w14:paraId="6AB612B3">
            <w:pPr>
              <w:pStyle w:val="style0"/>
              <w:snapToGrid w:val="false"/>
              <w:spacing w:before="31" w:beforeLines="10" w:after="62" w:afterLines="20" w:lineRule="exact" w:line="400"/>
              <w:ind w:firstLine="0" w:firstLineChars="0"/>
              <w:rPr>
                <w:rFonts w:ascii="汉仪书宋一简" w:eastAsia="汉仪书宋一简" w:hint="eastAsia"/>
              </w:rPr>
            </w:pPr>
          </w:p>
        </w:tc>
        <w:tc>
          <w:tcPr>
            <w:tcW w:w="1032" w:type="dxa"/>
            <w:vMerge w:val="continue"/>
            <w:tcBorders/>
            <w:vAlign w:val="center"/>
          </w:tcPr>
          <w:p w14:paraId="65F845D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009C9A76">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59451514">
        <w:tblPrEx/>
        <w:trPr>
          <w:jc w:val="center"/>
        </w:trPr>
        <w:tc>
          <w:tcPr>
            <w:tcW w:w="1028" w:type="dxa"/>
            <w:tcBorders/>
            <w:vAlign w:val="center"/>
          </w:tcPr>
          <w:p w14:paraId="737C667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拘役</w:t>
            </w:r>
          </w:p>
        </w:tc>
        <w:tc>
          <w:tcPr>
            <w:tcW w:w="1519" w:type="dxa"/>
            <w:tcBorders/>
            <w:vAlign w:val="center"/>
          </w:tcPr>
          <w:p w14:paraId="0674B93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1个月-6个月</w:t>
            </w:r>
          </w:p>
        </w:tc>
        <w:tc>
          <w:tcPr>
            <w:tcW w:w="2126" w:type="dxa"/>
            <w:tcBorders/>
            <w:vAlign w:val="center"/>
          </w:tcPr>
          <w:p w14:paraId="46F34A1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1年</w:t>
            </w:r>
          </w:p>
        </w:tc>
        <w:tc>
          <w:tcPr>
            <w:tcW w:w="698" w:type="dxa"/>
            <w:vMerge w:val="continue"/>
            <w:tcBorders/>
            <w:vAlign w:val="center"/>
          </w:tcPr>
          <w:p w14:paraId="7E6DB0D6">
            <w:pPr>
              <w:pStyle w:val="style0"/>
              <w:snapToGrid w:val="false"/>
              <w:spacing w:before="31" w:beforeLines="10" w:after="62" w:afterLines="20" w:lineRule="exact" w:line="400"/>
              <w:ind w:firstLine="0" w:firstLineChars="0"/>
              <w:rPr>
                <w:rFonts w:ascii="汉仪书宋一简" w:eastAsia="汉仪书宋一简" w:hint="eastAsia"/>
              </w:rPr>
            </w:pPr>
          </w:p>
        </w:tc>
        <w:tc>
          <w:tcPr>
            <w:tcW w:w="1086" w:type="dxa"/>
            <w:vMerge w:val="continue"/>
            <w:tcBorders/>
            <w:vAlign w:val="center"/>
          </w:tcPr>
          <w:p w14:paraId="5125FE33">
            <w:pPr>
              <w:pStyle w:val="style0"/>
              <w:snapToGrid w:val="false"/>
              <w:spacing w:before="31" w:beforeLines="10" w:after="62" w:afterLines="20" w:lineRule="exact" w:line="400"/>
              <w:ind w:firstLine="0" w:firstLineChars="0"/>
              <w:rPr>
                <w:rFonts w:ascii="汉仪书宋一简" w:eastAsia="汉仪书宋一简" w:hint="eastAsia"/>
              </w:rPr>
            </w:pPr>
          </w:p>
        </w:tc>
        <w:tc>
          <w:tcPr>
            <w:tcW w:w="1032" w:type="dxa"/>
            <w:vMerge w:val="continue"/>
            <w:tcBorders/>
            <w:vAlign w:val="center"/>
          </w:tcPr>
          <w:p w14:paraId="3995B92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3FEBEF3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5A973743">
        <w:tblPrEx/>
        <w:trPr>
          <w:jc w:val="center"/>
        </w:trPr>
        <w:tc>
          <w:tcPr>
            <w:tcW w:w="1028" w:type="dxa"/>
            <w:tcBorders/>
            <w:vAlign w:val="center"/>
          </w:tcPr>
          <w:p w14:paraId="4A468305">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管制</w:t>
            </w:r>
          </w:p>
        </w:tc>
        <w:tc>
          <w:tcPr>
            <w:tcW w:w="1519" w:type="dxa"/>
            <w:tcBorders/>
            <w:vAlign w:val="center"/>
          </w:tcPr>
          <w:p w14:paraId="0E1D401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3个月-2年</w:t>
            </w:r>
          </w:p>
        </w:tc>
        <w:tc>
          <w:tcPr>
            <w:tcW w:w="2824" w:type="dxa"/>
            <w:gridSpan w:val="2"/>
            <w:tcBorders/>
            <w:vAlign w:val="center"/>
          </w:tcPr>
          <w:p w14:paraId="1330941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3年</w:t>
            </w:r>
          </w:p>
        </w:tc>
        <w:tc>
          <w:tcPr>
            <w:tcW w:w="1086" w:type="dxa"/>
            <w:vMerge w:val="continue"/>
            <w:tcBorders/>
            <w:vAlign w:val="center"/>
          </w:tcPr>
          <w:p w14:paraId="49ACFE42">
            <w:pPr>
              <w:pStyle w:val="style0"/>
              <w:snapToGrid w:val="false"/>
              <w:spacing w:before="31" w:beforeLines="10" w:after="62" w:afterLines="20" w:lineRule="exact" w:line="400"/>
              <w:ind w:firstLine="0" w:firstLineChars="0"/>
              <w:rPr>
                <w:rFonts w:ascii="汉仪书宋一简" w:eastAsia="汉仪书宋一简" w:hint="eastAsia"/>
              </w:rPr>
            </w:pPr>
          </w:p>
        </w:tc>
        <w:tc>
          <w:tcPr>
            <w:tcW w:w="1032" w:type="dxa"/>
            <w:vMerge w:val="continue"/>
            <w:tcBorders/>
            <w:vAlign w:val="center"/>
          </w:tcPr>
          <w:p w14:paraId="0CA2F8A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6329EDD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3F5F2062">
        <w:tblPrEx/>
        <w:trPr>
          <w:jc w:val="center"/>
        </w:trPr>
        <w:tc>
          <w:tcPr>
            <w:tcW w:w="6457" w:type="dxa"/>
            <w:gridSpan w:val="5"/>
            <w:tcBorders/>
            <w:vAlign w:val="center"/>
          </w:tcPr>
          <w:p w14:paraId="762FE87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★有期+拘役=有期（吸收）；有期+管制（并科），拘役+管制（并科）</w:t>
            </w:r>
          </w:p>
        </w:tc>
        <w:tc>
          <w:tcPr>
            <w:tcW w:w="1032" w:type="dxa"/>
            <w:vMerge w:val="continue"/>
            <w:tcBorders/>
            <w:vAlign w:val="center"/>
          </w:tcPr>
          <w:p w14:paraId="26F62959">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019" w:type="dxa"/>
            <w:vMerge w:val="continue"/>
            <w:tcBorders/>
            <w:vAlign w:val="center"/>
          </w:tcPr>
          <w:p w14:paraId="4C9D0895">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bl>
    <w:p w14:paraId="3F6A2ACA">
      <w:pPr>
        <w:pStyle w:val="style0"/>
        <w:spacing w:lineRule="exact" w:line="400"/>
        <w:ind w:firstLine="420"/>
        <w:rPr>
          <w:rFonts w:ascii="汉仪书宋二简" w:cs="汉仪书宋二简" w:hAnsi="汉仪书宋二简" w:hint="eastAsia"/>
          <w:kern w:val="0"/>
        </w:rPr>
      </w:pPr>
    </w:p>
    <w:p w14:paraId="66F86365">
      <w:pPr>
        <w:pStyle w:val="style3"/>
        <w:spacing w:lineRule="exact" w:line="400"/>
        <w:rPr>
          <w:rFonts w:ascii="汉仪中黑简" w:cs="汉仪书宋二简" w:eastAsia="汉仪中黑简" w:hAnsi="汉仪书宋二简" w:hint="eastAsia"/>
          <w:b/>
          <w:kern w:val="0"/>
          <w:sz w:val="21"/>
        </w:rPr>
      </w:pPr>
      <w:r>
        <w:rPr>
          <w:rFonts w:hint="eastAsia"/>
          <w:b/>
          <w:sz w:val="21"/>
        </w:rPr>
        <w:t>二、漏罪并罚与新罪并罚</w:t>
      </w:r>
      <w:r>
        <w:rPr>
          <w:rFonts w:ascii="汉仪书宋二简" w:eastAsia="汉仪书宋二简" w:hint="eastAsia"/>
          <w:b/>
          <w:sz w:val="21"/>
        </w:rPr>
        <w:t>（以有期徒刑为例）：</w:t>
      </w:r>
      <w:r>
        <w:rPr>
          <w:rFonts w:ascii="汉仪中黑简" w:cs="汉仪书宋二简" w:eastAsia="汉仪中黑简" w:hAnsi="汉仪书宋二简" w:hint="eastAsia"/>
          <w:b/>
          <w:kern w:val="0"/>
          <w:sz w:val="21"/>
        </w:rPr>
        <w:t>先写公式，然后计算科刑期间</w:t>
      </w:r>
    </w:p>
    <w:p w14:paraId="6209F5A0">
      <w:pPr>
        <w:pStyle w:val="style0"/>
        <w:snapToGrid w:val="false"/>
        <w:spacing w:lineRule="exact" w:line="400"/>
        <w:ind w:firstLine="420"/>
        <w:rPr>
          <w:rFonts w:ascii="Times New Roman" w:cs="Times New Roman" w:eastAsia="楷体" w:hAnsi="Times New Roman"/>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4D1632C3">
        <w:trPr>
          <w:jc w:val="center"/>
        </w:trPr>
        <w:tc>
          <w:tcPr>
            <w:tcW w:w="8505" w:type="dxa"/>
            <w:tcBorders/>
            <w:vAlign w:val="center"/>
          </w:tcPr>
          <w:p w14:paraId="3320F675">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w:t>
            </w:r>
            <w:r>
              <w:rPr>
                <w:rFonts w:ascii="汉仪书宋一简" w:eastAsia="汉仪书宋一简" w:hint="eastAsia"/>
              </w:rPr>
              <w:t>．</w:t>
            </w:r>
            <w:r>
              <w:rPr>
                <w:rFonts w:ascii="汉仪书宋一简" w:eastAsia="汉仪书宋一简" w:hint="eastAsia"/>
              </w:rPr>
              <w:t>简单并罚：A1并A2=A2～（A1+A2）（第69条）</w:t>
            </w:r>
          </w:p>
          <w:p w14:paraId="129BBF9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w:t>
            </w:r>
            <w:r>
              <w:rPr>
                <w:rFonts w:ascii="汉仪书宋一简" w:eastAsia="汉仪书宋一简" w:hint="eastAsia"/>
              </w:rPr>
              <w:t>．</w:t>
            </w:r>
            <w:r>
              <w:rPr>
                <w:rFonts w:ascii="汉仪书宋一简" w:eastAsia="汉仪书宋一简" w:hint="eastAsia"/>
              </w:rPr>
              <w:t>发现</w:t>
            </w:r>
            <w:r>
              <w:rPr>
                <w:rFonts w:ascii="汉仪中黑简" w:eastAsia="汉仪中黑简" w:hint="eastAsia"/>
                <w:color w:val="ff0000"/>
              </w:rPr>
              <w:t>漏罪（先并后减）：</w:t>
            </w:r>
            <w:r>
              <w:rPr>
                <w:rFonts w:ascii="汉仪书宋一简" w:eastAsia="汉仪书宋一简" w:hint="eastAsia"/>
              </w:rPr>
              <w:t>A并L-n（第70条）</w:t>
            </w:r>
          </w:p>
          <w:p w14:paraId="7C1202E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w:t>
            </w:r>
            <w:r>
              <w:rPr>
                <w:rFonts w:ascii="汉仪书宋一简" w:eastAsia="汉仪书宋一简" w:hint="eastAsia"/>
              </w:rPr>
              <w:t>．</w:t>
            </w:r>
            <w:r>
              <w:rPr>
                <w:rFonts w:ascii="汉仪书宋一简" w:eastAsia="汉仪书宋一简" w:hint="eastAsia"/>
              </w:rPr>
              <w:t>犯有</w:t>
            </w:r>
            <w:r>
              <w:rPr>
                <w:rFonts w:ascii="汉仪中黑简" w:eastAsia="汉仪中黑简" w:hint="eastAsia"/>
                <w:color w:val="ff0000"/>
              </w:rPr>
              <w:t>新罪（先减后并）：</w:t>
            </w:r>
            <w:r>
              <w:rPr>
                <w:rFonts w:ascii="汉仪书宋一简" w:eastAsia="汉仪书宋一简" w:hint="eastAsia"/>
              </w:rPr>
              <w:t>（A-n）并X（第71条）</w:t>
            </w:r>
          </w:p>
          <w:p w14:paraId="5A07670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4</w:t>
            </w:r>
            <w:r>
              <w:rPr>
                <w:rFonts w:ascii="汉仪书宋一简" w:eastAsia="汉仪书宋一简" w:hint="eastAsia"/>
              </w:rPr>
              <w:t>．</w:t>
            </w:r>
            <w:r>
              <w:rPr>
                <w:rFonts w:ascii="汉仪书宋一简" w:eastAsia="汉仪书宋一简" w:hint="eastAsia"/>
              </w:rPr>
              <w:t>多罪并罚</w:t>
            </w:r>
          </w:p>
          <w:p w14:paraId="69099B5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（1）多个漏罪：A并（L1并L2）-n</w:t>
            </w:r>
          </w:p>
          <w:p w14:paraId="309A34B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（2）多个新罪：（A-n）并（X1并X2）</w:t>
            </w:r>
          </w:p>
          <w:p w14:paraId="26E5734D">
            <w:pPr>
              <w:pStyle w:val="style0"/>
              <w:snapToGrid w:val="false"/>
              <w:spacing w:before="31" w:beforeLines="10" w:after="62" w:afterLines="20" w:lineRule="exact" w:line="400"/>
              <w:ind w:firstLine="0" w:firstLineChars="0"/>
              <w:rPr>
                <w:rFonts w:ascii="汉仪中黑简" w:eastAsia="汉仪中黑简" w:hint="eastAsia"/>
                <w:color w:val="ff0000"/>
              </w:rPr>
            </w:pPr>
            <w:r>
              <w:rPr>
                <w:rFonts w:ascii="汉仪书宋一简" w:eastAsia="汉仪书宋一简" w:hint="eastAsia"/>
              </w:rPr>
              <w:t>（3）</w:t>
            </w:r>
            <w:r>
              <w:rPr>
                <w:rFonts w:ascii="汉仪中黑简" w:eastAsia="汉仪中黑简" w:hint="eastAsia"/>
                <w:color w:val="ff0000"/>
              </w:rPr>
              <w:t>既有漏罪又有新罪：（A并L-n）并X</w:t>
            </w:r>
          </w:p>
          <w:p w14:paraId="4B851F7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符号注释：A（已审罪）；L（漏罪）；X（新罪）；n（已执行刑）；A2&gt;A1</w:t>
            </w:r>
          </w:p>
        </w:tc>
      </w:tr>
    </w:tbl>
    <w:p w14:paraId="67A644B2">
      <w:pPr>
        <w:pStyle w:val="style0"/>
        <w:spacing w:lineRule="exact" w:line="400"/>
        <w:ind w:firstLine="420"/>
        <w:jc w:val="left"/>
        <w:rPr>
          <w:rFonts w:ascii="汉仪书宋二简" w:cs="汉仪书宋二简" w:hAnsi="汉仪书宋二简" w:hint="eastAsia"/>
          <w:kern w:val="0"/>
        </w:rPr>
      </w:pPr>
    </w:p>
    <w:p w14:paraId="70A6430B">
      <w:pPr>
        <w:pStyle w:val="style0"/>
        <w:spacing w:lineRule="exact" w:line="400"/>
        <w:ind w:firstLine="420"/>
        <w:rPr>
          <w:rFonts w:ascii="汉仪书宋二简" w:cs="汉仪书宋二简" w:hAnsi="汉仪书宋二简" w:hint="eastAsia"/>
          <w:kern w:val="0"/>
        </w:rPr>
      </w:pPr>
    </w:p>
    <w:bookmarkStart w:id="19" w:name="_Toc188371416"/>
    <w:p w14:paraId="3566E9CB">
      <w:pPr>
        <w:pStyle w:val="style1"/>
        <w:spacing w:before="0" w:lineRule="exact" w:line="400"/>
        <w:rPr>
          <w:rFonts w:hint="eastAsia"/>
          <w:b/>
          <w:color w:val="auto"/>
          <w:sz w:val="21"/>
          <w:szCs w:val="21"/>
        </w:rPr>
      </w:pPr>
      <w:r>
        <w:rPr>
          <w:rFonts w:hint="eastAsia"/>
          <w:b/>
          <w:color w:val="auto"/>
          <w:sz w:val="21"/>
          <w:szCs w:val="21"/>
        </w:rPr>
        <w:t>考点52</w:t>
      </w:r>
      <w:r>
        <w:rPr>
          <w:b/>
          <w:color w:val="auto"/>
          <w:sz w:val="21"/>
          <w:szCs w:val="21"/>
        </w:rPr>
        <w:t xml:space="preserve">  </w:t>
      </w:r>
      <w:r>
        <w:rPr>
          <w:rFonts w:hint="eastAsia"/>
          <w:b/>
          <w:color w:val="auto"/>
          <w:sz w:val="21"/>
          <w:szCs w:val="21"/>
        </w:rPr>
        <w:t>缓刑、假释、减刑</w:t>
      </w:r>
      <w:bookmarkEnd w:id="19"/>
    </w:p>
    <w:p w14:paraId="4823E0B2">
      <w:pPr>
        <w:pStyle w:val="style0"/>
        <w:spacing w:lineRule="exact" w:line="400"/>
        <w:ind w:firstLine="420"/>
        <w:jc w:val="left"/>
        <w:rPr>
          <w:rFonts w:ascii="汉仪书宋二简" w:cs="汉仪书宋二简" w:hAnsi="汉仪书宋二简" w:hint="eastAsia"/>
          <w:kern w:val="0"/>
        </w:rPr>
      </w:pPr>
    </w:p>
    <w:p w14:paraId="236FDF3D">
      <w:pPr>
        <w:pStyle w:val="style0"/>
        <w:spacing w:lineRule="exact" w:line="400"/>
        <w:ind w:firstLine="420"/>
        <w:rPr>
          <w:rFonts w:ascii="汉仪书宋二简" w:cs="汉仪书宋二简" w:hAnsi="汉仪书宋二简" w:hint="eastAsia"/>
          <w:kern w:val="0"/>
        </w:rPr>
      </w:pPr>
    </w:p>
    <w:p w14:paraId="15D3E115">
      <w:pPr>
        <w:pStyle w:val="style0"/>
        <w:spacing w:lineRule="exact" w:line="400"/>
        <w:ind w:firstLine="420"/>
        <w:jc w:val="left"/>
        <w:rPr>
          <w:rFonts w:ascii="汉仪书宋二简" w:cs="汉仪书宋二简" w:hAnsi="汉仪书宋二简" w:hint="eastAsia"/>
          <w:kern w:val="0"/>
        </w:rPr>
      </w:pPr>
    </w:p>
    <w:p w14:paraId="7C6EA5C3">
      <w:pPr>
        <w:pStyle w:val="style0"/>
        <w:spacing w:lineRule="exact" w:line="400"/>
        <w:ind w:firstLine="420"/>
        <w:jc w:val="left"/>
        <w:rPr>
          <w:rFonts w:ascii="汉仪书宋二简" w:cs="汉仪书宋二简" w:hAnsi="汉仪书宋二简" w:hint="eastAsia"/>
          <w:kern w:val="0"/>
        </w:rPr>
      </w:pPr>
    </w:p>
    <w:tbl>
      <w:tblPr>
        <w:tblW w:w="9083"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421"/>
        <w:gridCol w:w="1701"/>
        <w:gridCol w:w="2268"/>
        <w:gridCol w:w="1701"/>
        <w:gridCol w:w="874"/>
        <w:gridCol w:w="1213"/>
        <w:gridCol w:w="905"/>
      </w:tblGrid>
      <w:tr w14:paraId="6577F5C0">
        <w:trPr>
          <w:trHeight w:val="70" w:hRule="atLeast"/>
          <w:jc w:val="center"/>
        </w:trPr>
        <w:tc>
          <w:tcPr>
            <w:tcW w:w="421" w:type="dxa"/>
            <w:vMerge w:val="restart"/>
            <w:tcBorders/>
            <w:vAlign w:val="center"/>
          </w:tcPr>
          <w:p w14:paraId="3BDA2074">
            <w:pPr>
              <w:pStyle w:val="style0"/>
              <w:snapToGrid w:val="false"/>
              <w:spacing w:before="31" w:beforeLines="10" w:after="62" w:afterLines="20" w:lineRule="exact" w:line="400"/>
              <w:ind w:firstLine="0" w:firstLineChars="0"/>
              <w:rPr>
                <w:rFonts w:ascii="汉仪书宋一简" w:cs="Times New Roman" w:eastAsia="汉仪中黑简" w:hAnsi="Times New Roman"/>
              </w:rPr>
            </w:pPr>
          </w:p>
        </w:tc>
        <w:tc>
          <w:tcPr>
            <w:tcW w:w="5670" w:type="dxa"/>
            <w:gridSpan w:val="3"/>
            <w:tcBorders/>
            <w:vAlign w:val="center"/>
          </w:tcPr>
          <w:p w14:paraId="3A1BCA4C">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适用条件</w:t>
            </w:r>
          </w:p>
        </w:tc>
        <w:tc>
          <w:tcPr>
            <w:tcW w:w="2992" w:type="dxa"/>
            <w:gridSpan w:val="3"/>
            <w:tcBorders/>
            <w:vAlign w:val="center"/>
          </w:tcPr>
          <w:p w14:paraId="572C9C60">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考验期</w:t>
            </w:r>
          </w:p>
        </w:tc>
      </w:tr>
      <w:tr w14:paraId="5CBE4609">
        <w:tblPrEx/>
        <w:trPr>
          <w:trHeight w:val="70" w:hRule="atLeast"/>
          <w:jc w:val="center"/>
        </w:trPr>
        <w:tc>
          <w:tcPr>
            <w:tcW w:w="421" w:type="dxa"/>
            <w:vMerge w:val="continue"/>
            <w:tcBorders/>
            <w:vAlign w:val="center"/>
          </w:tcPr>
          <w:p w14:paraId="461BAFA6">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701" w:type="dxa"/>
            <w:tcBorders/>
            <w:vAlign w:val="center"/>
          </w:tcPr>
          <w:p w14:paraId="2F2E5889">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对象</w:t>
            </w:r>
          </w:p>
        </w:tc>
        <w:tc>
          <w:tcPr>
            <w:tcW w:w="2268" w:type="dxa"/>
            <w:tcBorders/>
            <w:vAlign w:val="center"/>
          </w:tcPr>
          <w:p w14:paraId="20074275">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实质条件</w:t>
            </w:r>
          </w:p>
        </w:tc>
        <w:tc>
          <w:tcPr>
            <w:tcW w:w="1701" w:type="dxa"/>
            <w:tcBorders/>
            <w:vAlign w:val="center"/>
          </w:tcPr>
          <w:p w14:paraId="518D4F4E">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限制条件</w:t>
            </w:r>
          </w:p>
        </w:tc>
        <w:tc>
          <w:tcPr>
            <w:tcW w:w="874" w:type="dxa"/>
            <w:tcBorders/>
            <w:vAlign w:val="center"/>
          </w:tcPr>
          <w:p w14:paraId="35284425">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期限</w:t>
            </w:r>
          </w:p>
        </w:tc>
        <w:tc>
          <w:tcPr>
            <w:tcW w:w="2118" w:type="dxa"/>
            <w:gridSpan w:val="2"/>
            <w:tcBorders/>
            <w:vAlign w:val="center"/>
          </w:tcPr>
          <w:p w14:paraId="64CB0CFE">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撤销</w:t>
            </w:r>
          </w:p>
        </w:tc>
      </w:tr>
      <w:tr w14:paraId="742E75E5">
        <w:tblPrEx/>
        <w:trPr>
          <w:trHeight w:val="1156" w:hRule="atLeast"/>
          <w:jc w:val="center"/>
        </w:trPr>
        <w:tc>
          <w:tcPr>
            <w:tcW w:w="421" w:type="dxa"/>
            <w:vMerge w:val="restart"/>
            <w:tcBorders/>
            <w:vAlign w:val="center"/>
          </w:tcPr>
          <w:p w14:paraId="0A91B857">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缓刑</w:t>
            </w:r>
          </w:p>
        </w:tc>
        <w:tc>
          <w:tcPr>
            <w:tcW w:w="1701" w:type="dxa"/>
            <w:tcBorders/>
            <w:vAlign w:val="center"/>
          </w:tcPr>
          <w:p w14:paraId="135998C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（1）3年以下有期徒刑；</w:t>
            </w:r>
          </w:p>
          <w:p w14:paraId="6F45F1F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（2）拘役</w:t>
            </w:r>
          </w:p>
        </w:tc>
        <w:tc>
          <w:tcPr>
            <w:tcW w:w="2268" w:type="dxa"/>
            <w:tcBorders/>
            <w:vAlign w:val="center"/>
          </w:tcPr>
          <w:p w14:paraId="69606001">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（1）犯罪情节较轻；</w:t>
            </w:r>
          </w:p>
          <w:p w14:paraId="314FE719">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（2）有悔罪表现；</w:t>
            </w:r>
          </w:p>
          <w:p w14:paraId="616170AA">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（3）没有再犯罪的危险；</w:t>
            </w:r>
          </w:p>
          <w:p w14:paraId="722C07A4">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（4）宣告缓刑对所居住社区没有重大不良影响</w:t>
            </w:r>
          </w:p>
        </w:tc>
        <w:tc>
          <w:tcPr>
            <w:tcW w:w="1701" w:type="dxa"/>
            <w:vMerge w:val="restart"/>
            <w:tcBorders/>
            <w:vAlign w:val="center"/>
          </w:tcPr>
          <w:p w14:paraId="1E2E0F4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不适用缓刑：</w:t>
            </w:r>
          </w:p>
          <w:p w14:paraId="680CAB1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（1）累犯；</w:t>
            </w:r>
          </w:p>
          <w:p w14:paraId="490CC08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（2）犯罪集团的首要分子</w:t>
            </w:r>
          </w:p>
        </w:tc>
        <w:tc>
          <w:tcPr>
            <w:tcW w:w="874" w:type="dxa"/>
            <w:vMerge w:val="restart"/>
            <w:tcBorders/>
            <w:vAlign w:val="center"/>
          </w:tcPr>
          <w:p w14:paraId="09433B8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（1）有期：1-5年；</w:t>
            </w:r>
          </w:p>
          <w:p w14:paraId="734FC29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（2）拘役：2月-1年</w:t>
            </w:r>
          </w:p>
        </w:tc>
        <w:tc>
          <w:tcPr>
            <w:tcW w:w="1213" w:type="dxa"/>
            <w:vMerge w:val="restart"/>
            <w:tcBorders/>
            <w:vAlign w:val="center"/>
          </w:tcPr>
          <w:p w14:paraId="55E93A87">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w:t>
            </w:r>
            <w:r>
              <w:rPr>
                <w:rFonts w:ascii="汉仪中黑简" w:eastAsia="汉仪中黑简" w:hint="eastAsia"/>
                <w:color w:val="ff0000"/>
              </w:rPr>
              <w:t>考验期内发现</w:t>
            </w:r>
            <w:r>
              <w:rPr>
                <w:rFonts w:ascii="汉仪书宋一简" w:eastAsia="汉仪书宋一简" w:hint="eastAsia"/>
              </w:rPr>
              <w:t>漏罪；</w:t>
            </w:r>
          </w:p>
          <w:p w14:paraId="6F7729E0">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（2）考验期内</w:t>
            </w:r>
            <w:r>
              <w:rPr>
                <w:rFonts w:ascii="汉仪中黑简" w:eastAsia="汉仪中黑简" w:hint="eastAsia"/>
                <w:color w:val="ff0000"/>
              </w:rPr>
              <w:t>犯</w:t>
            </w:r>
            <w:r>
              <w:rPr>
                <w:rFonts w:ascii="汉仪书宋一简" w:eastAsia="汉仪书宋一简" w:hint="eastAsia"/>
              </w:rPr>
              <w:t>新罪；</w:t>
            </w:r>
          </w:p>
          <w:p w14:paraId="498E789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（3）考验期内违反法律、行政法规；</w:t>
            </w:r>
          </w:p>
          <w:p w14:paraId="79B57A1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（4）考验期内违反国务院有</w:t>
            </w:r>
            <w:r>
              <w:rPr>
                <w:rFonts w:ascii="汉仪书宋一简" w:eastAsia="汉仪书宋一简" w:hint="eastAsia"/>
              </w:rPr>
              <w:t>关部门关于缓刑（假释）的监督管理规定</w:t>
            </w:r>
          </w:p>
        </w:tc>
        <w:tc>
          <w:tcPr>
            <w:tcW w:w="905" w:type="dxa"/>
            <w:vMerge w:val="restart"/>
            <w:tcBorders/>
            <w:vAlign w:val="center"/>
          </w:tcPr>
          <w:p w14:paraId="4219D5D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（5）考验期内，违反人民法院判决中的禁止令，情节严重</w:t>
            </w:r>
          </w:p>
        </w:tc>
      </w:tr>
      <w:tr w14:paraId="78060439">
        <w:tblPrEx/>
        <w:trPr>
          <w:trHeight w:val="70" w:hRule="atLeast"/>
          <w:jc w:val="center"/>
        </w:trPr>
        <w:tc>
          <w:tcPr>
            <w:tcW w:w="421" w:type="dxa"/>
            <w:vMerge w:val="continue"/>
            <w:tcBorders/>
            <w:vAlign w:val="center"/>
          </w:tcPr>
          <w:p w14:paraId="356DC0A3">
            <w:pPr>
              <w:pStyle w:val="style0"/>
              <w:snapToGrid w:val="false"/>
              <w:spacing w:before="31" w:beforeLines="10" w:after="62" w:afterLines="20" w:lineRule="exact" w:line="400"/>
              <w:ind w:firstLine="0" w:firstLineChars="0"/>
              <w:jc w:val="center"/>
              <w:rPr>
                <w:rFonts w:ascii="汉仪中黑简" w:eastAsia="汉仪中黑简" w:hint="eastAsia"/>
              </w:rPr>
            </w:pPr>
          </w:p>
        </w:tc>
        <w:tc>
          <w:tcPr>
            <w:tcW w:w="3969" w:type="dxa"/>
            <w:gridSpan w:val="2"/>
            <w:tcBorders/>
            <w:vAlign w:val="center"/>
          </w:tcPr>
          <w:p w14:paraId="4E83FD2A">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（1）可以缓刑：一般；</w:t>
            </w:r>
          </w:p>
          <w:p w14:paraId="389406D4">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（2）应当缓刑：①不满18岁；②怀孕的妇女；③已满75岁</w:t>
            </w:r>
          </w:p>
        </w:tc>
        <w:tc>
          <w:tcPr>
            <w:tcW w:w="1701" w:type="dxa"/>
            <w:vMerge w:val="continue"/>
            <w:tcBorders/>
            <w:vAlign w:val="center"/>
          </w:tcPr>
          <w:p w14:paraId="21D6D34D">
            <w:pPr>
              <w:pStyle w:val="style0"/>
              <w:snapToGrid w:val="false"/>
              <w:spacing w:before="31" w:beforeLines="10" w:after="62" w:afterLines="20" w:lineRule="exact" w:line="400"/>
              <w:ind w:firstLine="0" w:firstLineChars="0"/>
              <w:rPr>
                <w:rFonts w:ascii="汉仪书宋一简" w:eastAsia="汉仪书宋一简" w:hint="eastAsia"/>
              </w:rPr>
            </w:pPr>
          </w:p>
        </w:tc>
        <w:tc>
          <w:tcPr>
            <w:tcW w:w="874" w:type="dxa"/>
            <w:vMerge w:val="continue"/>
            <w:tcBorders/>
            <w:vAlign w:val="center"/>
          </w:tcPr>
          <w:p w14:paraId="4974F41C">
            <w:pPr>
              <w:pStyle w:val="style0"/>
              <w:snapToGrid w:val="false"/>
              <w:spacing w:before="31" w:beforeLines="10" w:after="62" w:afterLines="20" w:lineRule="exact" w:line="400"/>
              <w:ind w:firstLine="0" w:firstLineChars="0"/>
              <w:rPr>
                <w:rFonts w:ascii="汉仪书宋一简" w:eastAsia="汉仪书宋一简" w:hint="eastAsia"/>
              </w:rPr>
            </w:pPr>
          </w:p>
        </w:tc>
        <w:tc>
          <w:tcPr>
            <w:tcW w:w="1213" w:type="dxa"/>
            <w:vMerge w:val="continue"/>
            <w:tcBorders/>
            <w:vAlign w:val="center"/>
          </w:tcPr>
          <w:p w14:paraId="26C5A66C">
            <w:pPr>
              <w:pStyle w:val="style0"/>
              <w:snapToGrid w:val="false"/>
              <w:spacing w:before="31" w:beforeLines="10" w:after="62" w:afterLines="20" w:lineRule="exact" w:line="400"/>
              <w:ind w:firstLine="0" w:firstLineChars="0"/>
              <w:rPr>
                <w:rFonts w:ascii="汉仪书宋一简" w:eastAsia="汉仪书宋一简" w:hint="eastAsia"/>
              </w:rPr>
            </w:pPr>
          </w:p>
        </w:tc>
        <w:tc>
          <w:tcPr>
            <w:tcW w:w="905" w:type="dxa"/>
            <w:vMerge w:val="continue"/>
            <w:tcBorders/>
            <w:vAlign w:val="center"/>
          </w:tcPr>
          <w:p w14:paraId="078E4552">
            <w:pPr>
              <w:pStyle w:val="style0"/>
              <w:snapToGrid w:val="false"/>
              <w:spacing w:before="31" w:beforeLines="10" w:after="62" w:afterLines="20" w:lineRule="exact" w:line="400"/>
              <w:ind w:firstLine="0" w:firstLineChars="0"/>
              <w:rPr>
                <w:rFonts w:ascii="汉仪书宋一简" w:eastAsia="汉仪书宋一简" w:hint="eastAsia"/>
              </w:rPr>
            </w:pPr>
          </w:p>
        </w:tc>
      </w:tr>
      <w:tr w14:paraId="6A118F2A">
        <w:tblPrEx/>
        <w:trPr>
          <w:jc w:val="center"/>
        </w:trPr>
        <w:tc>
          <w:tcPr>
            <w:tcW w:w="421" w:type="dxa"/>
            <w:tcBorders/>
            <w:vAlign w:val="center"/>
          </w:tcPr>
          <w:p w14:paraId="19DCE9B5">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假释</w:t>
            </w:r>
          </w:p>
        </w:tc>
        <w:tc>
          <w:tcPr>
            <w:tcW w:w="1701" w:type="dxa"/>
            <w:tcBorders/>
            <w:vAlign w:val="center"/>
          </w:tcPr>
          <w:p w14:paraId="4AFE86EA">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kern w:val="0"/>
              </w:rPr>
              <w:t>（1）有期：</w:t>
            </w:r>
            <w:r>
              <w:rPr>
                <w:rFonts w:ascii="汉仪书宋一简" w:eastAsia="汉仪书宋一简" w:hint="eastAsia"/>
              </w:rPr>
              <w:t>1/2；</w:t>
            </w:r>
          </w:p>
          <w:p w14:paraId="218AA7C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w:t>
            </w:r>
            <w:r>
              <w:rPr>
                <w:rFonts w:ascii="汉仪书宋一简" w:eastAsia="汉仪书宋一简" w:hint="eastAsia"/>
                <w:kern w:val="0"/>
              </w:rPr>
              <w:t>无期：</w:t>
            </w:r>
            <w:r>
              <w:rPr>
                <w:rFonts w:ascii="汉仪书宋一简" w:eastAsia="汉仪书宋一简" w:hint="eastAsia"/>
              </w:rPr>
              <w:t>13</w:t>
            </w:r>
            <w:r>
              <w:rPr>
                <w:rFonts w:ascii="汉仪书宋一简" w:eastAsia="汉仪书宋一简" w:hint="eastAsia"/>
              </w:rPr>
              <w:t>年；</w:t>
            </w:r>
          </w:p>
          <w:p w14:paraId="5F5294C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（3）死缓：15年；</w:t>
            </w:r>
          </w:p>
          <w:p w14:paraId="7E22147E">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（4）特殊情况报最高院不受年限</w:t>
            </w:r>
          </w:p>
        </w:tc>
        <w:tc>
          <w:tcPr>
            <w:tcW w:w="2268" w:type="dxa"/>
            <w:tcBorders/>
            <w:vAlign w:val="center"/>
          </w:tcPr>
          <w:p w14:paraId="7C791830">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认真遵守监规，接受教育改造，</w:t>
            </w:r>
            <w:r>
              <w:rPr>
                <w:rFonts w:ascii="汉仪中黑简" w:eastAsia="汉仪中黑简" w:hint="eastAsia"/>
                <w:color w:val="ff0000"/>
              </w:rPr>
              <w:t>确有悔改表</w:t>
            </w:r>
            <w:r>
              <w:rPr>
                <w:rFonts w:ascii="汉仪中黑简" w:eastAsia="汉仪中黑简" w:hint="eastAsia"/>
                <w:color w:val="ff0000"/>
              </w:rPr>
              <w:t>现</w:t>
            </w:r>
            <w:r>
              <w:rPr>
                <w:rFonts w:ascii="汉仪书宋一简" w:eastAsia="汉仪书宋一简" w:hint="eastAsia"/>
                <w:kern w:val="0"/>
              </w:rPr>
              <w:t>，没有再犯罪的危险的</w:t>
            </w:r>
          </w:p>
        </w:tc>
        <w:tc>
          <w:tcPr>
            <w:tcW w:w="1701" w:type="dxa"/>
            <w:tcBorders/>
            <w:vAlign w:val="center"/>
          </w:tcPr>
          <w:p w14:paraId="4CA1D15D">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不得假释：</w:t>
            </w:r>
          </w:p>
          <w:p w14:paraId="76E9B439">
            <w:pPr>
              <w:pStyle w:val="style0"/>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rPr>
              <w:t>（1）</w:t>
            </w:r>
            <w:r>
              <w:rPr>
                <w:rFonts w:ascii="汉仪书宋一简" w:eastAsia="汉仪书宋一简" w:hint="eastAsia"/>
                <w:kern w:val="0"/>
              </w:rPr>
              <w:t>累犯[不论</w:t>
            </w:r>
            <w:r>
              <w:rPr>
                <w:rFonts w:ascii="汉仪书宋一简" w:eastAsia="汉仪书宋一简" w:hint="eastAsia"/>
                <w:kern w:val="0"/>
              </w:rPr>
              <w:t>刑期]；（2）因7种暴力犯、有组织暴力犯，单罪被判十年以上、无期、死缓[其它罪十年以上可假释]</w:t>
            </w:r>
          </w:p>
        </w:tc>
        <w:tc>
          <w:tcPr>
            <w:tcW w:w="874" w:type="dxa"/>
            <w:tcBorders/>
            <w:vAlign w:val="center"/>
          </w:tcPr>
          <w:p w14:paraId="7EB3EDE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（1）有期：剩</w:t>
            </w:r>
            <w:r>
              <w:rPr>
                <w:rFonts w:ascii="汉仪书宋一简" w:eastAsia="汉仪书宋一简" w:hint="eastAsia"/>
              </w:rPr>
              <w:t>余刑期；（2）无期：10年</w:t>
            </w:r>
          </w:p>
        </w:tc>
        <w:tc>
          <w:tcPr>
            <w:tcW w:w="1213" w:type="dxa"/>
            <w:vMerge w:val="continue"/>
            <w:tcBorders/>
            <w:vAlign w:val="center"/>
          </w:tcPr>
          <w:p w14:paraId="57BBD425">
            <w:pPr>
              <w:pStyle w:val="style0"/>
              <w:snapToGrid w:val="false"/>
              <w:spacing w:before="31" w:beforeLines="10" w:after="62" w:afterLines="20" w:lineRule="exact" w:line="400"/>
              <w:ind w:firstLine="0" w:firstLineChars="0"/>
              <w:rPr>
                <w:rFonts w:ascii="汉仪书宋一简" w:eastAsia="汉仪书宋一简" w:hint="eastAsia"/>
              </w:rPr>
            </w:pPr>
          </w:p>
        </w:tc>
        <w:tc>
          <w:tcPr>
            <w:tcW w:w="905" w:type="dxa"/>
            <w:tcBorders/>
            <w:vAlign w:val="center"/>
          </w:tcPr>
          <w:p w14:paraId="5BC6860D">
            <w:pPr>
              <w:pStyle w:val="style0"/>
              <w:snapToGrid w:val="false"/>
              <w:spacing w:before="31" w:beforeLines="10" w:after="62" w:afterLines="20" w:lineRule="exact" w:line="400"/>
              <w:ind w:firstLine="0" w:firstLineChars="0"/>
              <w:rPr>
                <w:rFonts w:ascii="汉仪书宋一简" w:eastAsia="汉仪书宋一简" w:hint="eastAsia"/>
              </w:rPr>
            </w:pPr>
          </w:p>
        </w:tc>
      </w:tr>
      <w:tr w14:paraId="19410136">
        <w:tblPrEx/>
        <w:trPr>
          <w:jc w:val="center"/>
        </w:trPr>
        <w:tc>
          <w:tcPr>
            <w:tcW w:w="421" w:type="dxa"/>
            <w:tcBorders/>
            <w:vAlign w:val="center"/>
          </w:tcPr>
          <w:p w14:paraId="3EAE346C">
            <w:pPr>
              <w:pStyle w:val="style0"/>
              <w:snapToGrid w:val="false"/>
              <w:spacing w:before="31" w:beforeLines="10" w:after="62" w:afterLines="20" w:lineRule="exact" w:line="400"/>
              <w:ind w:firstLine="0" w:firstLineChars="0"/>
              <w:jc w:val="center"/>
              <w:rPr>
                <w:rFonts w:ascii="汉仪中黑简" w:eastAsia="汉仪中黑简" w:hint="eastAsia"/>
              </w:rPr>
            </w:pPr>
            <w:r>
              <w:rPr>
                <w:rFonts w:ascii="汉仪中黑简" w:eastAsia="汉仪中黑简" w:hint="eastAsia"/>
              </w:rPr>
              <w:t>减刑</w:t>
            </w:r>
          </w:p>
        </w:tc>
        <w:tc>
          <w:tcPr>
            <w:tcW w:w="1701" w:type="dxa"/>
            <w:tcBorders/>
            <w:vAlign w:val="center"/>
          </w:tcPr>
          <w:p w14:paraId="3C1DD7DF">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管制、拘役、有期、无期</w:t>
            </w:r>
          </w:p>
        </w:tc>
        <w:tc>
          <w:tcPr>
            <w:tcW w:w="2268" w:type="dxa"/>
            <w:tcBorders/>
            <w:vAlign w:val="center"/>
          </w:tcPr>
          <w:p w14:paraId="5FEF482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（1）可以：认真遵守监规，接受教育改造，确有</w:t>
            </w:r>
            <w:r>
              <w:rPr>
                <w:rFonts w:ascii="汉仪中黑简" w:eastAsia="汉仪中黑简" w:hint="eastAsia"/>
                <w:color w:val="ff0000"/>
              </w:rPr>
              <w:t>悔改表现的</w:t>
            </w:r>
            <w:r>
              <w:rPr>
                <w:rFonts w:ascii="汉仪书宋一简" w:eastAsia="汉仪书宋一简" w:hint="eastAsia"/>
              </w:rPr>
              <w:t>；</w:t>
            </w:r>
          </w:p>
          <w:p w14:paraId="79B0A8B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（2）可以：有立功表现；</w:t>
            </w:r>
          </w:p>
          <w:p w14:paraId="09460B98">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（3）应当：重大立功</w:t>
            </w:r>
          </w:p>
        </w:tc>
        <w:tc>
          <w:tcPr>
            <w:tcW w:w="4693" w:type="dxa"/>
            <w:gridSpan w:val="4"/>
            <w:tcBorders/>
            <w:vAlign w:val="center"/>
          </w:tcPr>
          <w:p w14:paraId="5F376AD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实际执行不得少于：</w:t>
            </w:r>
          </w:p>
          <w:p w14:paraId="6C0B4CF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（1）有期、拘役、管制：1/2；</w:t>
            </w:r>
          </w:p>
          <w:p w14:paraId="08939D49">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（2）无期：13年；</w:t>
            </w:r>
          </w:p>
          <w:p w14:paraId="2205A40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（3）一般死缓：15年；</w:t>
            </w:r>
          </w:p>
          <w:p w14:paraId="4D7193D4">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（4）因</w:t>
            </w:r>
            <w:r>
              <w:rPr>
                <w:rFonts w:ascii="汉仪书宋一简" w:eastAsia="汉仪书宋一简" w:hint="eastAsia"/>
                <w:kern w:val="0"/>
              </w:rPr>
              <w:t>累犯、7种暴力犯、有组织暴力犯死缓限制减刑：①减为无期的：25年；②减为25年的：20年</w:t>
            </w:r>
            <w:r>
              <w:rPr>
                <w:rFonts w:ascii="汉仪书宋一简" w:eastAsia="汉仪书宋一简" w:hint="eastAsia"/>
              </w:rPr>
              <w:t>（均不含考验期2年）</w:t>
            </w:r>
          </w:p>
        </w:tc>
      </w:tr>
    </w:tbl>
    <w:p w14:paraId="6DD83C3F">
      <w:pPr>
        <w:pStyle w:val="style0"/>
        <w:spacing w:lineRule="exact" w:line="400"/>
        <w:ind w:firstLine="420"/>
        <w:rPr>
          <w:rFonts w:ascii="汉仪书宋二简" w:cs="汉仪书宋二简" w:hAnsi="汉仪书宋二简" w:hint="eastAsia"/>
          <w:kern w:val="0"/>
        </w:rPr>
      </w:pPr>
    </w:p>
    <w:p w14:paraId="1B8C2F9B">
      <w:pPr>
        <w:pStyle w:val="style0"/>
        <w:spacing w:lineRule="exact" w:line="400"/>
        <w:ind w:firstLine="420"/>
        <w:jc w:val="left"/>
        <w:rPr>
          <w:rFonts w:ascii="汉仪书宋二简" w:cs="汉仪书宋二简" w:hAnsi="汉仪书宋二简" w:hint="eastAsia"/>
          <w:kern w:val="0"/>
        </w:rPr>
      </w:pPr>
    </w:p>
    <w:bookmarkStart w:id="20" w:name="_Toc188371417"/>
    <w:p w14:paraId="6C0B0461">
      <w:pPr>
        <w:pStyle w:val="style1"/>
        <w:spacing w:before="0" w:lineRule="exact" w:line="400"/>
        <w:rPr>
          <w:rFonts w:hint="eastAsia"/>
          <w:b/>
          <w:color w:val="auto"/>
          <w:sz w:val="21"/>
          <w:szCs w:val="21"/>
        </w:rPr>
      </w:pPr>
      <w:r>
        <w:rPr>
          <w:rFonts w:hint="eastAsia"/>
          <w:b/>
          <w:color w:val="auto"/>
          <w:sz w:val="21"/>
          <w:szCs w:val="21"/>
        </w:rPr>
        <w:t>考点53</w:t>
      </w:r>
      <w:r>
        <w:rPr>
          <w:b/>
          <w:color w:val="auto"/>
          <w:sz w:val="21"/>
          <w:szCs w:val="21"/>
        </w:rPr>
        <w:t xml:space="preserve">  </w:t>
      </w:r>
      <w:r>
        <w:rPr>
          <w:rFonts w:hint="eastAsia"/>
          <w:b/>
          <w:color w:val="auto"/>
          <w:sz w:val="21"/>
          <w:szCs w:val="21"/>
        </w:rPr>
        <w:t>追诉时效</w:t>
      </w:r>
      <w:bookmarkEnd w:id="20"/>
    </w:p>
    <w:p w14:paraId="7DB3EA7B">
      <w:pPr>
        <w:pStyle w:val="style0"/>
        <w:spacing w:lineRule="exact" w:line="400"/>
        <w:ind w:firstLine="0" w:firstLineChars="0"/>
        <w:jc w:val="left"/>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76"/>
        <w:gridCol w:w="6729"/>
      </w:tblGrid>
      <w:tr w14:paraId="32F8E73C">
        <w:trPr>
          <w:jc w:val="center"/>
        </w:trPr>
        <w:tc>
          <w:tcPr>
            <w:tcW w:w="1805" w:type="dxa"/>
            <w:tcBorders/>
            <w:vAlign w:val="center"/>
          </w:tcPr>
          <w:p w14:paraId="7A376A97">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1．不受时效限制</w:t>
            </w:r>
          </w:p>
        </w:tc>
        <w:tc>
          <w:tcPr>
            <w:tcW w:w="6849" w:type="dxa"/>
            <w:tcBorders/>
            <w:vAlign w:val="center"/>
          </w:tcPr>
          <w:p w14:paraId="3B011113">
            <w:pPr>
              <w:pStyle w:val="style0"/>
              <w:adjustRightInd w:val="false"/>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rPr>
              <w:t>立案（对事立案）、受理+逃避；被害人在追诉期内控告+应当立案而不予立案；1</w:t>
            </w:r>
            <w:r>
              <w:rPr>
                <w:rFonts w:ascii="汉仪书宋一简" w:eastAsia="汉仪书宋一简"/>
              </w:rPr>
              <w:t>997．9．30</w:t>
            </w:r>
            <w:r>
              <w:rPr>
                <w:rFonts w:ascii="汉仪书宋一简" w:eastAsia="汉仪书宋一简" w:hint="eastAsia"/>
              </w:rPr>
              <w:t>之前，采取强制措施+逃避侦查</w:t>
            </w:r>
          </w:p>
        </w:tc>
      </w:tr>
      <w:tr w14:paraId="5F3F5E96">
        <w:tblPrEx/>
        <w:trPr>
          <w:jc w:val="center"/>
        </w:trPr>
        <w:tc>
          <w:tcPr>
            <w:tcW w:w="1805" w:type="dxa"/>
            <w:tcBorders/>
            <w:vAlign w:val="center"/>
          </w:tcPr>
          <w:p w14:paraId="11CBC0C4">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2．起算点</w:t>
            </w:r>
          </w:p>
        </w:tc>
        <w:tc>
          <w:tcPr>
            <w:tcW w:w="6849" w:type="dxa"/>
            <w:tcBorders/>
            <w:vAlign w:val="center"/>
          </w:tcPr>
          <w:p w14:paraId="50AEDC1E">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犯罪成立之日起算；连续犯、继续犯犯罪行为终了之日起算</w:t>
            </w:r>
          </w:p>
        </w:tc>
      </w:tr>
      <w:tr w14:paraId="15BC5140">
        <w:tblPrEx/>
        <w:trPr>
          <w:jc w:val="center"/>
        </w:trPr>
        <w:tc>
          <w:tcPr>
            <w:tcW w:w="1805" w:type="dxa"/>
            <w:tcBorders/>
            <w:vAlign w:val="center"/>
          </w:tcPr>
          <w:p w14:paraId="1D1C8BB8">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时效中断</w:t>
            </w:r>
          </w:p>
        </w:tc>
        <w:tc>
          <w:tcPr>
            <w:tcW w:w="6849" w:type="dxa"/>
            <w:tcBorders/>
            <w:vAlign w:val="center"/>
          </w:tcPr>
          <w:p w14:paraId="6B28C28B">
            <w:pPr>
              <w:pStyle w:val="style0"/>
              <w:adjustRightInd w:val="false"/>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前罪时效内犯后罪，前罪时效从</w:t>
            </w:r>
            <w:r>
              <w:rPr>
                <w:rFonts w:ascii="汉仪书宋一简" w:eastAsia="汉仪书宋一简" w:hint="eastAsia"/>
              </w:rPr>
              <w:t>后罪成立之日重新计算</w:t>
            </w:r>
          </w:p>
        </w:tc>
      </w:tr>
      <w:tr w14:paraId="0048ADE3">
        <w:tblPrEx/>
        <w:trPr>
          <w:jc w:val="center"/>
        </w:trPr>
        <w:tc>
          <w:tcPr>
            <w:tcW w:w="1805" w:type="dxa"/>
            <w:tcBorders/>
            <w:vAlign w:val="center"/>
          </w:tcPr>
          <w:p w14:paraId="7485B660">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3．终止时点</w:t>
            </w:r>
          </w:p>
        </w:tc>
        <w:tc>
          <w:tcPr>
            <w:tcW w:w="6849" w:type="dxa"/>
            <w:tcBorders/>
            <w:vAlign w:val="center"/>
          </w:tcPr>
          <w:p w14:paraId="48B26E92">
            <w:pPr>
              <w:pStyle w:val="style0"/>
              <w:adjustRightInd w:val="false"/>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司法机关侦破案件之日：侦破案件确定犯罪嫌疑人（对人立案）</w:t>
            </w:r>
          </w:p>
        </w:tc>
      </w:tr>
      <w:tr w14:paraId="38805DAC">
        <w:tblPrEx/>
        <w:trPr>
          <w:jc w:val="center"/>
        </w:trPr>
        <w:tc>
          <w:tcPr>
            <w:tcW w:w="1805" w:type="dxa"/>
            <w:tcBorders/>
            <w:vAlign w:val="center"/>
          </w:tcPr>
          <w:p w14:paraId="7F437E94">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4．时限</w:t>
            </w:r>
          </w:p>
        </w:tc>
        <w:tc>
          <w:tcPr>
            <w:tcW w:w="6849" w:type="dxa"/>
            <w:tcBorders/>
            <w:vAlign w:val="center"/>
          </w:tcPr>
          <w:p w14:paraId="5B5BFEE8">
            <w:pPr>
              <w:pStyle w:val="style0"/>
              <w:adjustRightInd w:val="false"/>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w:t>
            </w:r>
            <w:r>
              <w:rPr>
                <w:rFonts w:ascii="汉仪书宋一简" w:eastAsia="汉仪书宋一简"/>
                <w:kern w:val="0"/>
              </w:rPr>
              <w:t>1）法定最高刑</w:t>
            </w:r>
            <w:r>
              <w:rPr>
                <w:rFonts w:ascii="汉仪书宋一简" w:eastAsia="汉仪书宋一简"/>
                <w:kern w:val="0"/>
              </w:rPr>
              <w:t>“</w:t>
            </w:r>
            <w:r>
              <w:rPr>
                <w:rFonts w:ascii="汉仪书宋一简" w:eastAsia="汉仪书宋一简"/>
                <w:kern w:val="0"/>
              </w:rPr>
              <w:t>不满5年</w:t>
            </w:r>
            <w:r>
              <w:rPr>
                <w:rFonts w:ascii="汉仪书宋一简" w:eastAsia="汉仪书宋一简"/>
                <w:kern w:val="0"/>
              </w:rPr>
              <w:t>”</w:t>
            </w:r>
            <w:r>
              <w:rPr>
                <w:rFonts w:ascii="汉仪书宋一简" w:eastAsia="汉仪书宋一简"/>
                <w:kern w:val="0"/>
              </w:rPr>
              <w:t>（不包括5年）经过5年；</w:t>
            </w:r>
            <w:r>
              <w:rPr>
                <w:rFonts w:ascii="汉仪书宋一简" w:eastAsia="汉仪书宋一简"/>
                <w:kern w:val="0"/>
              </w:rPr>
              <w:t>“</w:t>
            </w:r>
            <w:r>
              <w:rPr>
                <w:rFonts w:ascii="汉仪书宋一简" w:eastAsia="汉仪书宋一简"/>
                <w:kern w:val="0"/>
              </w:rPr>
              <w:t>不满10年</w:t>
            </w:r>
            <w:r>
              <w:rPr>
                <w:rFonts w:ascii="汉仪书宋一简" w:eastAsia="汉仪书宋一简"/>
                <w:kern w:val="0"/>
              </w:rPr>
              <w:t>”</w:t>
            </w:r>
            <w:r>
              <w:rPr>
                <w:rFonts w:ascii="汉仪书宋一简" w:eastAsia="汉仪书宋一简"/>
                <w:kern w:val="0"/>
              </w:rPr>
              <w:t>（不包括10年）经过10年；</w:t>
            </w:r>
            <w:r>
              <w:rPr>
                <w:rFonts w:ascii="汉仪书宋一简" w:eastAsia="汉仪书宋一简"/>
                <w:kern w:val="0"/>
              </w:rPr>
              <w:t>“</w:t>
            </w:r>
            <w:r>
              <w:rPr>
                <w:rFonts w:ascii="汉仪书宋一简" w:eastAsia="汉仪书宋一简"/>
                <w:kern w:val="0"/>
              </w:rPr>
              <w:t>10年以上</w:t>
            </w:r>
            <w:r>
              <w:rPr>
                <w:rFonts w:ascii="汉仪书宋一简" w:eastAsia="汉仪书宋一简"/>
                <w:kern w:val="0"/>
              </w:rPr>
              <w:t>”</w:t>
            </w:r>
            <w:r>
              <w:rPr>
                <w:rFonts w:ascii="汉仪书宋一简" w:eastAsia="汉仪书宋一简"/>
                <w:kern w:val="0"/>
              </w:rPr>
              <w:t>（包括10年）15年。</w:t>
            </w:r>
          </w:p>
          <w:p w14:paraId="734EFE58">
            <w:pPr>
              <w:pStyle w:val="style0"/>
              <w:adjustRightInd w:val="false"/>
              <w:snapToGrid w:val="false"/>
              <w:spacing w:before="31" w:beforeLines="10" w:after="62" w:afterLines="20" w:lineRule="exact" w:line="400"/>
              <w:ind w:firstLine="0" w:firstLineChars="0"/>
              <w:rPr>
                <w:rFonts w:ascii="汉仪中黑简" w:eastAsia="汉仪中黑简" w:hint="eastAsia"/>
                <w:kern w:val="0"/>
              </w:rPr>
            </w:pPr>
            <w:r>
              <w:rPr>
                <w:rFonts w:ascii="汉仪中黑简" w:eastAsia="汉仪中黑简" w:hint="eastAsia"/>
                <w:color w:val="ff0000"/>
                <w:kern w:val="0"/>
              </w:rPr>
              <w:t>（2）最高刑5年（包括5年），时限10年；最高刑10年（包括10年），时限15年；最高刑15年，时限15年。最高刑无期、死刑，时限20年。</w:t>
            </w:r>
          </w:p>
        </w:tc>
      </w:tr>
      <w:tr w14:paraId="74CD62F5">
        <w:tblPrEx/>
        <w:trPr>
          <w:jc w:val="center"/>
        </w:trPr>
        <w:tc>
          <w:tcPr>
            <w:tcW w:w="1805" w:type="dxa"/>
            <w:tcBorders/>
            <w:vAlign w:val="center"/>
          </w:tcPr>
          <w:p w14:paraId="2F9651F2">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5．超时限后果</w:t>
            </w:r>
          </w:p>
        </w:tc>
        <w:tc>
          <w:tcPr>
            <w:tcW w:w="6849" w:type="dxa"/>
            <w:tcBorders/>
            <w:vAlign w:val="center"/>
          </w:tcPr>
          <w:p w14:paraId="34D28F2D">
            <w:pPr>
              <w:pStyle w:val="style0"/>
              <w:adjustRightInd w:val="false"/>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hint="eastAsia"/>
                <w:kern w:val="0"/>
              </w:rPr>
              <w:t>（</w:t>
            </w:r>
            <w:r>
              <w:rPr>
                <w:rFonts w:ascii="汉仪书宋一简" w:eastAsia="汉仪书宋一简"/>
                <w:kern w:val="0"/>
              </w:rPr>
              <w:t>1）一般犯罪不再追诉。</w:t>
            </w:r>
          </w:p>
          <w:p w14:paraId="0CCB7829">
            <w:pPr>
              <w:pStyle w:val="style0"/>
              <w:adjustRightInd w:val="false"/>
              <w:snapToGrid w:val="false"/>
              <w:spacing w:before="31" w:beforeLines="10" w:after="62" w:afterLines="20" w:lineRule="exact" w:line="400"/>
              <w:ind w:firstLine="0" w:firstLineChars="0"/>
              <w:rPr>
                <w:rFonts w:ascii="汉仪书宋一简" w:eastAsia="汉仪书宋一简" w:hint="eastAsia"/>
                <w:kern w:val="0"/>
              </w:rPr>
            </w:pPr>
            <w:r>
              <w:rPr>
                <w:rFonts w:ascii="汉仪书宋一简" w:eastAsia="汉仪书宋一简"/>
                <w:kern w:val="0"/>
              </w:rPr>
              <w:t>（2）最高刑无期、死刑超20年，仍想追诉报最高检核准</w:t>
            </w:r>
          </w:p>
        </w:tc>
      </w:tr>
    </w:tbl>
    <w:p w14:paraId="065A3556">
      <w:pPr>
        <w:pStyle w:val="style0"/>
        <w:spacing w:lineRule="exact" w:line="400"/>
        <w:ind w:firstLine="420"/>
        <w:jc w:val="left"/>
        <w:rPr>
          <w:rFonts w:ascii="汉仪书宋二简" w:cs="汉仪书宋二简" w:hAnsi="汉仪书宋二简" w:hint="eastAsia"/>
          <w:kern w:val="0"/>
        </w:rPr>
      </w:pPr>
    </w:p>
    <w:p w14:paraId="4DBCE01C">
      <w:pPr>
        <w:pStyle w:val="style3"/>
        <w:spacing w:lineRule="exact" w:line="400"/>
        <w:rPr>
          <w:rFonts w:hint="eastAsia"/>
          <w:sz w:val="21"/>
        </w:rPr>
      </w:pPr>
      <w:r>
        <w:rPr>
          <w:rFonts w:hint="eastAsia"/>
          <w:sz w:val="21"/>
        </w:rPr>
        <w:t>一、不受追诉期限的限制的情形（无论经过多少年都能追诉，不用算时效）</w:t>
      </w:r>
    </w:p>
    <w:p w14:paraId="61EE7108">
      <w:pPr>
        <w:pStyle w:val="style4"/>
        <w:spacing w:lineRule="exact" w:line="400"/>
        <w:ind w:firstLine="252" w:firstLineChars="120"/>
        <w:rPr>
          <w:sz w:val="21"/>
          <w:szCs w:val="21"/>
        </w:rPr>
      </w:pPr>
      <w:r>
        <w:rPr>
          <w:rFonts w:hint="eastAsia"/>
          <w:sz w:val="21"/>
          <w:szCs w:val="21"/>
        </w:rPr>
        <w:t>（一）不受追诉期限的限制：无论经过多长时间均可追诉</w:t>
      </w:r>
    </w:p>
    <w:p w14:paraId="1373181A">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1．第一种情况两个条件：（1）司法机关立案侦查或者人民法院</w:t>
      </w:r>
      <w:r>
        <w:rPr>
          <w:rFonts w:eastAsia="汉仪中黑简" w:hint="eastAsia"/>
          <w:color w:val="ff0000"/>
        </w:rPr>
        <w:t>受理案件</w:t>
      </w:r>
      <w:r>
        <w:rPr>
          <w:rFonts w:ascii="汉仪书宋二简" w:cs="汉仪书宋二简" w:hAnsi="汉仪书宋二简" w:hint="eastAsia"/>
          <w:kern w:val="0"/>
        </w:rPr>
        <w:t>以后；（2）</w:t>
      </w:r>
      <w:r>
        <w:rPr>
          <w:rFonts w:eastAsia="汉仪中黑简" w:hint="eastAsia"/>
          <w:color w:val="ff0000"/>
        </w:rPr>
        <w:t>逃避</w:t>
      </w:r>
      <w:r>
        <w:rPr>
          <w:rFonts w:ascii="汉仪书宋二简" w:cs="汉仪书宋二简" w:hAnsi="汉仪书宋二简" w:hint="eastAsia"/>
          <w:kern w:val="0"/>
        </w:rPr>
        <w:t>侦查或者审判的。</w:t>
      </w:r>
    </w:p>
    <w:p w14:paraId="417048E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2．第二种情况两个条件：（1）被害人在</w:t>
      </w:r>
      <w:r>
        <w:rPr>
          <w:rFonts w:eastAsia="汉仪中黑简" w:hint="eastAsia"/>
          <w:color w:val="ff0000"/>
        </w:rPr>
        <w:t>追诉期限内</w:t>
      </w:r>
      <w:r>
        <w:rPr>
          <w:rFonts w:ascii="汉仪书宋二简" w:cs="汉仪书宋二简" w:hAnsi="汉仪书宋二简" w:hint="eastAsia"/>
          <w:kern w:val="0"/>
        </w:rPr>
        <w:t>提出</w:t>
      </w:r>
      <w:r>
        <w:rPr>
          <w:rFonts w:eastAsia="汉仪中黑简" w:hint="eastAsia"/>
          <w:color w:val="ff0000"/>
        </w:rPr>
        <w:t>控告</w:t>
      </w:r>
      <w:r>
        <w:rPr>
          <w:rFonts w:ascii="汉仪书宋二简" w:cs="汉仪书宋二简" w:hAnsi="汉仪书宋二简" w:hint="eastAsia"/>
          <w:kern w:val="0"/>
        </w:rPr>
        <w:t>；（2）司法机关</w:t>
      </w:r>
      <w:r>
        <w:rPr>
          <w:rFonts w:eastAsia="汉仪中黑简" w:hint="eastAsia"/>
          <w:color w:val="ff0000"/>
        </w:rPr>
        <w:t>应当立案而不予立案的</w:t>
      </w:r>
      <w:r>
        <w:rPr>
          <w:rFonts w:ascii="汉仪书宋二简" w:cs="汉仪书宋二简" w:hAnsi="汉仪书宋二简" w:hint="eastAsia"/>
          <w:kern w:val="0"/>
        </w:rPr>
        <w:t>。</w:t>
      </w:r>
    </w:p>
    <w:p w14:paraId="0BA9AD3F">
      <w:pPr>
        <w:pStyle w:val="style4"/>
        <w:spacing w:lineRule="exact" w:line="400"/>
        <w:ind w:firstLine="253" w:firstLineChars="120"/>
        <w:rPr>
          <w:b/>
          <w:sz w:val="21"/>
          <w:szCs w:val="21"/>
        </w:rPr>
      </w:pPr>
      <w:r>
        <w:rPr>
          <w:rFonts w:hint="eastAsia"/>
          <w:b/>
          <w:sz w:val="21"/>
          <w:szCs w:val="21"/>
        </w:rPr>
        <w:t>（二）从旧兼从轻</w:t>
      </w:r>
    </w:p>
    <w:p w14:paraId="07680FE0">
      <w:pPr>
        <w:pStyle w:val="style0"/>
        <w:spacing w:lineRule="exact" w:line="400"/>
        <w:ind w:firstLine="410"/>
        <w:rPr>
          <w:rFonts w:ascii="汉仪书宋二简" w:cs="汉仪书宋二简" w:hAnsi="汉仪书宋二简" w:hint="eastAsia"/>
          <w:b/>
          <w:spacing w:val="-3"/>
          <w:kern w:val="0"/>
        </w:rPr>
      </w:pPr>
      <w:r>
        <w:rPr>
          <w:rFonts w:ascii="汉仪书宋二简" w:cs="汉仪书宋二简" w:hAnsi="汉仪书宋二简" w:hint="eastAsia"/>
          <w:b/>
          <w:spacing w:val="-3"/>
          <w:kern w:val="0"/>
        </w:rPr>
        <w:t>在1997年刑法生效前实施犯罪行为，之后计算时效，从旧兼从轻，以1979年旧刑法规定计算。</w:t>
      </w:r>
    </w:p>
    <w:p w14:paraId="3E35AA84">
      <w:pPr>
        <w:pStyle w:val="style0"/>
        <w:spacing w:lineRule="exact" w:line="400"/>
        <w:ind w:firstLine="420"/>
        <w:rPr>
          <w:rFonts w:ascii="汉仪书宋二简" w:cs="汉仪书宋二简" w:hAnsi="汉仪书宋二简" w:hint="eastAsia"/>
          <w:kern w:val="0"/>
        </w:rPr>
      </w:pPr>
    </w:p>
    <w:p w14:paraId="2BDB4EE4">
      <w:pPr>
        <w:pStyle w:val="style3"/>
        <w:spacing w:lineRule="exact" w:line="400"/>
        <w:rPr>
          <w:rFonts w:hint="eastAsia"/>
          <w:sz w:val="21"/>
        </w:rPr>
      </w:pPr>
      <w:r>
        <w:rPr>
          <w:rFonts w:hint="eastAsia"/>
          <w:sz w:val="21"/>
        </w:rPr>
        <w:t>二、追诉期限的起算点</w:t>
      </w:r>
    </w:p>
    <w:p w14:paraId="176E3881">
      <w:pPr>
        <w:pStyle w:val="style4"/>
        <w:spacing w:lineRule="exact" w:line="400"/>
        <w:ind w:firstLine="252" w:firstLineChars="120"/>
        <w:rPr>
          <w:rFonts w:ascii="汉仪大宋简"/>
          <w:sz w:val="21"/>
          <w:szCs w:val="21"/>
        </w:rPr>
      </w:pPr>
      <w:r>
        <w:rPr>
          <w:rFonts w:ascii="汉仪大宋简" w:hint="eastAsia"/>
          <w:sz w:val="21"/>
          <w:szCs w:val="21"/>
        </w:rPr>
        <w:t>（一）起点1（追诉期内无新罪）：犯罪之日起算</w:t>
      </w:r>
    </w:p>
    <w:p w14:paraId="7A7A5EC3">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1．一般犯罪：</w:t>
      </w:r>
      <w:r>
        <w:rPr>
          <w:rFonts w:eastAsia="汉仪中黑简" w:hint="eastAsia"/>
          <w:color w:val="ff0000"/>
        </w:rPr>
        <w:t>从犯罪之日起算</w:t>
      </w:r>
      <w:r>
        <w:rPr>
          <w:rFonts w:ascii="汉仪书宋二简" w:cs="汉仪书宋二简" w:hAnsi="汉仪书宋二简" w:hint="eastAsia"/>
          <w:kern w:val="0"/>
        </w:rPr>
        <w:t>。</w:t>
      </w:r>
    </w:p>
    <w:p w14:paraId="43925DFE">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“犯罪之日”应是</w:t>
      </w:r>
      <w:r>
        <w:rPr>
          <w:rFonts w:eastAsia="汉仪中黑简" w:hint="eastAsia"/>
          <w:color w:val="ff0000"/>
        </w:rPr>
        <w:t>犯罪成立之日</w:t>
      </w:r>
      <w:r>
        <w:rPr>
          <w:rFonts w:ascii="汉仪书宋二简" w:cs="汉仪书宋二简" w:hAnsi="汉仪书宋二简" w:hint="eastAsia"/>
          <w:kern w:val="0"/>
        </w:rPr>
        <w:t>，即行为符合犯罪构成之日。对不以危害结果为要件的犯罪而言，实施行为之日即是犯罪之日；对以危害结果为要件的犯罪而言，危害结果发生之日，才是犯罪之日。</w:t>
      </w:r>
    </w:p>
    <w:p w14:paraId="612CBC8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w:t>
      </w:r>
      <w:r>
        <w:rPr>
          <w:rFonts w:eastAsia="汉仪中黑简" w:hint="eastAsia"/>
          <w:color w:val="ff0000"/>
        </w:rPr>
        <w:t>连续犯或继续犯：犯罪行为终了之日起算</w:t>
      </w:r>
      <w:r>
        <w:rPr>
          <w:rFonts w:ascii="汉仪书宋二简" w:cs="汉仪书宋二简" w:hAnsi="汉仪书宋二简" w:hint="eastAsia"/>
          <w:kern w:val="0"/>
        </w:rPr>
        <w:t>。</w:t>
      </w:r>
    </w:p>
    <w:p w14:paraId="0C4A60EA">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犯罪行为有连续或者继续状态的，从</w:t>
      </w:r>
      <w:r>
        <w:rPr>
          <w:rFonts w:eastAsia="汉仪中黑简" w:hint="eastAsia"/>
          <w:color w:val="ff0000"/>
        </w:rPr>
        <w:t>犯罪行为终了之日</w:t>
      </w:r>
      <w:r>
        <w:rPr>
          <w:rFonts w:ascii="汉仪书宋二简" w:cs="汉仪书宋二简" w:hAnsi="汉仪书宋二简" w:hint="eastAsia"/>
          <w:kern w:val="0"/>
        </w:rPr>
        <w:t>起计算。</w:t>
      </w:r>
    </w:p>
    <w:p w14:paraId="1C74B5DF">
      <w:pPr>
        <w:pStyle w:val="style0"/>
        <w:spacing w:lineRule="exact" w:line="400"/>
        <w:ind w:firstLine="420"/>
        <w:rPr>
          <w:rFonts w:ascii="汉仪书宋二简" w:cs="汉仪书宋二简" w:hAnsi="汉仪书宋二简" w:hint="eastAsia"/>
          <w:kern w:val="0"/>
        </w:rPr>
      </w:pPr>
    </w:p>
    <w:p w14:paraId="4471DCB7">
      <w:pPr>
        <w:pStyle w:val="style4"/>
        <w:spacing w:lineRule="exact" w:line="400"/>
        <w:ind w:firstLine="252" w:firstLineChars="120"/>
        <w:rPr>
          <w:rFonts w:ascii="汉仪大宋简"/>
          <w:sz w:val="21"/>
          <w:szCs w:val="21"/>
        </w:rPr>
      </w:pPr>
      <w:r>
        <w:rPr>
          <w:rFonts w:ascii="汉仪大宋简" w:hint="eastAsia"/>
          <w:sz w:val="21"/>
          <w:szCs w:val="21"/>
        </w:rPr>
        <w:t>（二）起点2（追诉期内有新罪，时效中断）：从新罪之日起算</w:t>
      </w:r>
    </w:p>
    <w:p w14:paraId="5F2D34DE">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追诉时效的中断，即在追诉期限以内又犯罪的，前罪的追诉时效便中断，其追诉时效从后罪成立之日，重新起算。亦即，在A罪追诉期间内犯B罪，A罪追诉时效从B罪之日起算。</w:t>
      </w:r>
    </w:p>
    <w:p w14:paraId="64520110">
      <w:pPr>
        <w:pStyle w:val="style0"/>
        <w:spacing w:lineRule="exact" w:line="400"/>
        <w:ind w:firstLine="420"/>
        <w:rPr>
          <w:rFonts w:ascii="汉仪书宋二简" w:cs="汉仪书宋二简" w:hAnsi="汉仪书宋二简" w:hint="eastAsia"/>
          <w:kern w:val="0"/>
        </w:rPr>
      </w:pPr>
    </w:p>
    <w:p w14:paraId="38FFA98A">
      <w:pPr>
        <w:pStyle w:val="style3"/>
        <w:spacing w:lineRule="exact" w:line="400"/>
        <w:rPr>
          <w:rFonts w:hint="eastAsia"/>
          <w:sz w:val="21"/>
        </w:rPr>
      </w:pPr>
      <w:r>
        <w:rPr>
          <w:rFonts w:hint="eastAsia"/>
          <w:sz w:val="21"/>
        </w:rPr>
        <w:t>三、追诉期限的终点（对人立案之后，不再考虑时效）</w:t>
      </w:r>
    </w:p>
    <w:p w14:paraId="4317EE19">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追诉时效的终止时间，应当以司法机关立案之日为准。这里的“立案之日”，是指对人立案而不是对事立案，亦即侦破案件确定犯罪嫌疑人</w:t>
      </w:r>
      <w:r>
        <w:rPr>
          <w:rFonts w:ascii="汉仪书宋二简" w:cs="汉仪书宋二简" w:hAnsi="汉仪书宋二简"/>
          <w:kern w:val="0"/>
        </w:rPr>
        <w:t>从而对其立案之日，自诉案件以人民法院受理案件确定被告人之日为准。</w:t>
      </w:r>
    </w:p>
    <w:p w14:paraId="0815FC31">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只要对人立案之时，未超时效即可。对人立案之后，就不再考虑时效问题。</w:t>
      </w:r>
    </w:p>
    <w:p w14:paraId="4E78A5BD">
      <w:pPr>
        <w:pStyle w:val="style0"/>
        <w:spacing w:lineRule="exact" w:line="400"/>
        <w:ind w:firstLine="420"/>
        <w:rPr>
          <w:rFonts w:ascii="汉仪书宋二简" w:cs="汉仪书宋二简" w:hAnsi="汉仪书宋二简" w:hint="eastAsia"/>
          <w:kern w:val="0"/>
        </w:rPr>
      </w:pPr>
    </w:p>
    <w:p w14:paraId="057B1782">
      <w:pPr>
        <w:pStyle w:val="style3"/>
        <w:spacing w:lineRule="exact" w:line="400"/>
        <w:rPr>
          <w:rFonts w:hint="eastAsia"/>
          <w:sz w:val="21"/>
        </w:rPr>
      </w:pPr>
      <w:r>
        <w:rPr>
          <w:rFonts w:hint="eastAsia"/>
          <w:sz w:val="21"/>
        </w:rPr>
        <w:t>四、追诉时效的期限</w:t>
      </w:r>
    </w:p>
    <w:p w14:paraId="5E419384">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追诉时效期限以</w:t>
      </w:r>
      <w:r>
        <w:rPr>
          <w:rFonts w:ascii="汉仪书宋二简" w:cs="汉仪书宋二简" w:hAnsi="汉仪书宋二简" w:hint="eastAsia"/>
          <w:b/>
          <w:kern w:val="0"/>
        </w:rPr>
        <w:t>法定最高刑</w:t>
      </w:r>
      <w:r>
        <w:rPr>
          <w:rFonts w:ascii="汉仪书宋二简" w:cs="汉仪书宋二简" w:hAnsi="汉仪书宋二简" w:hint="eastAsia"/>
          <w:kern w:val="0"/>
        </w:rPr>
        <w:t>为标准，</w:t>
      </w:r>
      <w:r>
        <w:rPr>
          <w:rFonts w:ascii="汉仪书宋二简" w:cs="汉仪书宋二简" w:hAnsi="汉仪书宋二简" w:hint="eastAsia"/>
          <w:color w:val="ff0000"/>
          <w:kern w:val="0"/>
        </w:rPr>
        <w:t>不是以实际应当判处的刑罚为标准。</w:t>
      </w:r>
    </w:p>
    <w:p w14:paraId="14C51F20">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（1）不满5年，经过5年。法定最高刑为5年的，经过10年。</w:t>
      </w:r>
    </w:p>
    <w:p w14:paraId="6947BEE0">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（2）不满10年，经过10年；法定最高刑为10年的，经过15年。</w:t>
      </w:r>
    </w:p>
    <w:p w14:paraId="007296A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（3）10年以上，经过15年；即使法定最高刑为15年，也经过15年。</w:t>
      </w:r>
    </w:p>
    <w:p w14:paraId="470B5BFD">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（4）无期、死刑，经过20年；仍想追诉，须报请最高人民检察院核准。注意：仅有无期、死刑才可超过时效后报请最高检，其他情况不可。</w:t>
      </w:r>
    </w:p>
    <w:p w14:paraId="19D4DD65">
      <w:pPr>
        <w:pStyle w:val="style0"/>
        <w:spacing w:lineRule="exact" w:line="400"/>
        <w:ind w:firstLine="420"/>
        <w:rPr>
          <w:rFonts w:ascii="汉仪书宋二简" w:cs="汉仪书宋二简" w:hAnsi="汉仪书宋二简" w:hint="eastAsia"/>
          <w:kern w:val="0"/>
        </w:rPr>
      </w:pPr>
    </w:p>
    <w:p w14:paraId="163E1A86">
      <w:pPr>
        <w:pStyle w:val="style3"/>
        <w:spacing w:lineRule="exact" w:line="400"/>
        <w:rPr>
          <w:rFonts w:hint="eastAsia"/>
          <w:sz w:val="21"/>
        </w:rPr>
      </w:pPr>
      <w:r>
        <w:rPr>
          <w:rFonts w:hint="eastAsia"/>
          <w:sz w:val="21"/>
        </w:rPr>
        <w:t>五、超过追诉时限的法律后果</w:t>
      </w:r>
    </w:p>
    <w:p w14:paraId="678C4E4F">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w:t>
      </w:r>
      <w:r>
        <w:rPr>
          <w:rFonts w:ascii="汉仪书宋二简" w:cs="汉仪书宋二简" w:hAnsi="汉仪书宋二简"/>
          <w:kern w:val="0"/>
        </w:rPr>
        <w:t>．</w:t>
      </w:r>
      <w:r>
        <w:rPr>
          <w:rFonts w:ascii="汉仪书宋二简" w:cs="汉仪书宋二简" w:hAnsi="汉仪书宋二简" w:hint="eastAsia"/>
          <w:kern w:val="0"/>
        </w:rPr>
        <w:t>一般犯罪不再追诉。</w:t>
      </w:r>
    </w:p>
    <w:p w14:paraId="0CA51F6B">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2</w:t>
      </w:r>
      <w:r>
        <w:rPr>
          <w:rFonts w:ascii="汉仪书宋二简" w:cs="汉仪书宋二简" w:hAnsi="汉仪书宋二简"/>
          <w:kern w:val="0"/>
        </w:rPr>
        <w:t>．</w:t>
      </w:r>
      <w:r>
        <w:rPr>
          <w:rFonts w:ascii="汉仪书宋二简" w:cs="汉仪书宋二简" w:hAnsi="汉仪书宋二简" w:hint="eastAsia"/>
          <w:kern w:val="0"/>
        </w:rPr>
        <w:t>最高刑为无期、死刑的，超过20年，仍想追诉报最高检核准。</w:t>
      </w:r>
    </w:p>
    <w:p w14:paraId="35B302DF">
      <w:pPr>
        <w:pStyle w:val="style0"/>
        <w:spacing w:lineRule="exact" w:line="400"/>
        <w:ind w:firstLine="420"/>
        <w:rPr>
          <w:rFonts w:ascii="汉仪书宋二简" w:cs="汉仪书宋二简" w:hAnsi="汉仪书宋二简" w:hint="eastAsia"/>
          <w:kern w:val="0"/>
        </w:rPr>
      </w:pPr>
    </w:p>
    <w:p w14:paraId="2F81E4ED">
      <w:pPr>
        <w:pStyle w:val="style0"/>
        <w:spacing w:lineRule="exact" w:line="400"/>
        <w:ind w:firstLine="420"/>
        <w:rPr>
          <w:rFonts w:ascii="汉仪书宋二简" w:cs="汉仪书宋二简" w:hAnsi="汉仪书宋二简" w:hint="eastAsia"/>
          <w:kern w:val="0"/>
        </w:rPr>
      </w:pPr>
    </w:p>
    <w:bookmarkStart w:id="21" w:name="_Toc188371419"/>
    <w:p w14:paraId="25382F9E">
      <w:pPr>
        <w:pStyle w:val="style1"/>
        <w:spacing w:before="0" w:lineRule="exact" w:line="400"/>
        <w:rPr>
          <w:rFonts w:hint="eastAsia"/>
          <w:b/>
          <w:color w:val="auto"/>
          <w:sz w:val="21"/>
          <w:szCs w:val="21"/>
        </w:rPr>
      </w:pPr>
      <w:r>
        <w:rPr>
          <w:rFonts w:hint="eastAsia"/>
          <w:b/>
          <w:color w:val="auto"/>
          <w:sz w:val="21"/>
          <w:szCs w:val="21"/>
        </w:rPr>
        <w:t>考点54</w:t>
      </w:r>
      <w:r>
        <w:rPr>
          <w:b/>
          <w:color w:val="auto"/>
          <w:sz w:val="21"/>
          <w:szCs w:val="21"/>
        </w:rPr>
        <w:t xml:space="preserve">  </w:t>
      </w:r>
      <w:r>
        <w:rPr>
          <w:rFonts w:hint="eastAsia"/>
          <w:b/>
          <w:color w:val="auto"/>
          <w:sz w:val="21"/>
          <w:szCs w:val="21"/>
        </w:rPr>
        <w:t>刑法的适用范围</w:t>
      </w:r>
      <w:bookmarkEnd w:id="21"/>
    </w:p>
    <w:p w14:paraId="778779DE">
      <w:pPr>
        <w:pStyle w:val="style0"/>
        <w:spacing w:lineRule="exact" w:line="400"/>
        <w:ind w:firstLine="420"/>
        <w:rPr>
          <w:rFonts w:ascii="汉仪书宋二简" w:cs="汉仪书宋二简" w:hAnsi="汉仪书宋二简" w:hint="eastAsia"/>
          <w:kern w:val="0"/>
        </w:rPr>
      </w:pPr>
    </w:p>
    <w:p w14:paraId="235B1FB4">
      <w:pPr>
        <w:pStyle w:val="style3"/>
        <w:spacing w:lineRule="exact" w:line="400"/>
        <w:rPr>
          <w:rFonts w:hint="eastAsia"/>
          <w:sz w:val="21"/>
        </w:rPr>
      </w:pPr>
      <w:r>
        <w:rPr>
          <w:rFonts w:hint="eastAsia"/>
          <w:sz w:val="21"/>
        </w:rPr>
        <w:t>一、刑法的空间效力</w:t>
      </w:r>
    </w:p>
    <w:p w14:paraId="79DBFF26">
      <w:pPr>
        <w:pStyle w:val="style4"/>
        <w:spacing w:lineRule="exact" w:line="400"/>
        <w:ind w:firstLine="252" w:firstLineChars="120"/>
        <w:rPr>
          <w:sz w:val="21"/>
          <w:szCs w:val="21"/>
        </w:rPr>
      </w:pPr>
      <w:r>
        <w:rPr>
          <w:rFonts w:hint="eastAsia"/>
          <w:sz w:val="21"/>
          <w:szCs w:val="21"/>
        </w:rPr>
        <w:t>（一）对国内犯（领域内）的适用原则</w:t>
      </w:r>
    </w:p>
    <w:p w14:paraId="07D84EF1">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hint="eastAsia"/>
          <w:kern w:val="0"/>
        </w:rPr>
        <w:t>1．属地管辖：</w:t>
      </w:r>
      <w:r>
        <w:rPr>
          <w:rFonts w:ascii="汉仪书宋二简" w:cs="汉仪书宋二简" w:hAnsi="汉仪书宋二简" w:hint="eastAsia"/>
          <w:kern w:val="0"/>
        </w:rPr>
        <w:t>对发生在我国领域内</w:t>
      </w:r>
      <w:r>
        <w:rPr>
          <w:rFonts w:ascii="汉仪中黑简" w:cs="汉仪书宋二简" w:eastAsia="汉仪中黑简" w:hAnsi="汉仪书宋二简" w:hint="eastAsia"/>
          <w:color w:val="ff0000"/>
          <w:kern w:val="0"/>
        </w:rPr>
        <w:t>（犯罪地）</w:t>
      </w:r>
      <w:r>
        <w:rPr>
          <w:rFonts w:ascii="汉仪书宋二简" w:cs="汉仪书宋二简" w:hAnsi="汉仪书宋二简" w:hint="eastAsia"/>
          <w:kern w:val="0"/>
        </w:rPr>
        <w:t>的犯罪，适用我国刑法。</w:t>
      </w:r>
    </w:p>
    <w:p w14:paraId="10592A07">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hint="eastAsia"/>
          <w:kern w:val="0"/>
        </w:rPr>
        <w:t>（1）“领域”：</w:t>
      </w:r>
      <w:r>
        <w:rPr>
          <w:rFonts w:ascii="汉仪书宋二简" w:cs="汉仪书宋二简" w:hAnsi="汉仪书宋二简" w:hint="eastAsia"/>
          <w:kern w:val="0"/>
        </w:rPr>
        <w:t>包括</w:t>
      </w:r>
      <w:r>
        <w:rPr>
          <w:rFonts w:ascii="汉仪中黑简" w:cs="汉仪书宋二简" w:eastAsia="汉仪中黑简" w:hAnsi="汉仪书宋二简" w:hint="eastAsia"/>
          <w:color w:val="ff0000"/>
          <w:kern w:val="0"/>
        </w:rPr>
        <w:t>领陆、领水、领空（狭义领土），</w:t>
      </w:r>
      <w:r>
        <w:rPr>
          <w:rFonts w:ascii="汉仪书宋二简" w:cs="汉仪书宋二简" w:hAnsi="汉仪书宋二简" w:hint="eastAsia"/>
          <w:kern w:val="0"/>
        </w:rPr>
        <w:t>毗连区、专属经济区、大陆架（</w:t>
      </w:r>
      <w:r>
        <w:rPr>
          <w:rFonts w:ascii="汉仪中黑简" w:cs="汉仪书宋二简" w:eastAsia="汉仪中黑简" w:hAnsi="汉仪书宋二简"/>
          <w:color w:val="ff0000"/>
          <w:kern w:val="0"/>
        </w:rPr>
        <w:t>广义领土</w:t>
      </w:r>
      <w:r>
        <w:rPr>
          <w:rFonts w:ascii="汉仪书宋二简" w:cs="汉仪书宋二简" w:hAnsi="汉仪书宋二简" w:hint="eastAsia"/>
          <w:kern w:val="0"/>
        </w:rPr>
        <w:t>），以及</w:t>
      </w:r>
      <w:r>
        <w:rPr>
          <w:rFonts w:ascii="汉仪中黑简" w:cs="汉仪书宋二简" w:eastAsia="汉仪中黑简" w:hAnsi="汉仪书宋二简" w:hint="eastAsia"/>
          <w:color w:val="ff0000"/>
          <w:kern w:val="0"/>
        </w:rPr>
        <w:t>管辖的其他领域</w:t>
      </w:r>
      <w:r>
        <w:rPr>
          <w:rFonts w:ascii="汉仪书宋二简" w:cs="汉仪书宋二简" w:hAnsi="汉仪书宋二简" w:hint="eastAsia"/>
          <w:kern w:val="0"/>
        </w:rPr>
        <w:t>。</w:t>
      </w:r>
    </w:p>
    <w:p w14:paraId="47AE040B">
      <w:pPr>
        <w:pStyle w:val="style0"/>
        <w:snapToGrid w:val="false"/>
        <w:spacing w:lineRule="exact" w:line="400"/>
        <w:ind w:firstLine="420"/>
        <w:rPr>
          <w:rFonts w:ascii="楷体" w:cs="Times New Roman" w:eastAsia="楷体" w:hAnsi="楷体" w:hint="eastAsia"/>
        </w:rPr>
      </w:pPr>
      <w:r>
        <w:rPr>
          <w:rFonts w:ascii="汉仪书宋二简" w:cs="汉仪书宋二简" w:hAnsi="汉仪书宋二简" w:hint="eastAsia"/>
          <w:kern w:val="0"/>
        </w:rPr>
        <w:t>我国毗连区、专属经济区、大陆架，以及我国管辖的其他领域，也适用我国刑法。</w:t>
      </w:r>
    </w:p>
    <w:p w14:paraId="79DDE7FE">
      <w:pPr>
        <w:pStyle w:val="style0"/>
        <w:spacing w:lineRule="exact" w:line="400"/>
        <w:ind w:firstLine="420"/>
        <w:jc w:val="left"/>
        <w:rPr>
          <w:rFonts w:ascii="汉仪书宋二简" w:cs="汉仪书宋二简" w:hAnsi="汉仪书宋二简" w:hint="eastAsia"/>
          <w:kern w:val="0"/>
        </w:rPr>
      </w:pPr>
      <w:r>
        <w:rPr>
          <w:rFonts w:ascii="汉仪中黑简" w:cs="汉仪书宋二简" w:eastAsia="汉仪中黑简" w:hAnsi="汉仪书宋二简" w:hint="eastAsia"/>
          <w:kern w:val="0"/>
        </w:rPr>
        <w:t>（2）“法律有特别规定”</w:t>
      </w:r>
      <w:r>
        <w:rPr>
          <w:rFonts w:ascii="汉仪书宋二简" w:cs="汉仪书宋二简" w:hAnsi="汉仪书宋二简" w:hint="eastAsia"/>
          <w:kern w:val="0"/>
        </w:rPr>
        <w:t>除外，包括：</w:t>
      </w:r>
    </w:p>
    <w:p w14:paraId="5119FED9">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①不适用中国刑法，享有外交特权和豁免权的外国人的刑事责任问题，通过外交途径解决（《刑法》第11条）；</w:t>
      </w:r>
    </w:p>
    <w:p w14:paraId="6D52A32C">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②不适用内地刑法典及普遍效力刑法，香港、澳门与台湾地区适用其本地刑法（《宪法》第31条、特区基本法）；</w:t>
      </w:r>
    </w:p>
    <w:p w14:paraId="164AAEBF">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③不适用刑法典，刑法典颁布后国家立法机关制定了特别刑法，适用特别刑法；</w:t>
      </w:r>
    </w:p>
    <w:p w14:paraId="4A1E8E42">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④不适用刑法典的部分条文，民族自治地方不能全部适用本法规定的，可以由自治区或者省的人民代表大会根据当地民族的政治、经济、文化的特点和本法规定的基本原则，制定变通或者补充的规定，报请全国人民代表大会常务委员会批准施行。在当地适用变通或补充规定，而不适用刑法典相应条文（《刑法》第90条、《宪法》第116条、《立法法》第66条）。</w:t>
      </w:r>
    </w:p>
    <w:p w14:paraId="11444EA6">
      <w:pPr>
        <w:pStyle w:val="style0"/>
        <w:spacing w:lineRule="exact" w:line="400"/>
        <w:ind w:firstLine="420"/>
        <w:jc w:val="left"/>
        <w:rPr>
          <w:rFonts w:ascii="汉仪书宋二简" w:cs="汉仪书宋二简" w:hAnsi="汉仪书宋二简" w:hint="eastAsia"/>
          <w:kern w:val="0"/>
        </w:rPr>
      </w:pPr>
      <w:r>
        <w:rPr>
          <w:rFonts w:ascii="汉仪中黑简" w:cs="汉仪书宋二简" w:eastAsia="汉仪中黑简" w:hAnsi="汉仪书宋二简" w:hint="eastAsia"/>
          <w:kern w:val="0"/>
        </w:rPr>
        <w:t>（3）“拟制领土”</w:t>
      </w:r>
      <w:r>
        <w:rPr>
          <w:rFonts w:ascii="汉仪书宋二简" w:cs="汉仪书宋二简" w:hAnsi="汉仪书宋二简" w:hint="eastAsia"/>
          <w:kern w:val="0"/>
        </w:rPr>
        <w:t>（不属真正的领土但比照适用领土规则）：</w:t>
      </w:r>
    </w:p>
    <w:p w14:paraId="0489F386">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在中国</w:t>
      </w:r>
      <w:r>
        <w:rPr>
          <w:rFonts w:ascii="汉仪中黑简" w:cs="汉仪书宋二简" w:eastAsia="汉仪中黑简" w:hAnsi="汉仪书宋二简" w:hint="eastAsia"/>
          <w:color w:val="ff0000"/>
          <w:kern w:val="0"/>
        </w:rPr>
        <w:t>船舶</w:t>
      </w:r>
      <w:r>
        <w:rPr>
          <w:rFonts w:ascii="汉仪书宋二简" w:cs="汉仪书宋二简" w:hAnsi="汉仪书宋二简" w:hint="eastAsia"/>
          <w:kern w:val="0"/>
        </w:rPr>
        <w:t>或者</w:t>
      </w:r>
      <w:r>
        <w:rPr>
          <w:rFonts w:ascii="汉仪中黑简" w:cs="汉仪书宋二简" w:eastAsia="汉仪中黑简" w:hAnsi="汉仪书宋二简" w:hint="eastAsia"/>
          <w:color w:val="ff0000"/>
          <w:kern w:val="0"/>
        </w:rPr>
        <w:t>航空器</w:t>
      </w:r>
      <w:r>
        <w:rPr>
          <w:rFonts w:ascii="汉仪书宋二简" w:cs="汉仪书宋二简" w:hAnsi="汉仪书宋二简" w:hint="eastAsia"/>
          <w:kern w:val="0"/>
        </w:rPr>
        <w:t>内犯罪的，适用中国刑法。</w:t>
      </w:r>
    </w:p>
    <w:p w14:paraId="3B501E84">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包括在我国登记的船舶、航空器，和悬挂了中华人民共和国国旗、国徽等表明中国标志的船舶、航空器，以及事实上属于中国国家、法人或者国民所有的船舶、航空器。钻井平台可以扩张解释到船舶中去，飞艇、热气球等属于航空器。</w:t>
      </w:r>
    </w:p>
    <w:p w14:paraId="0BAF88B2">
      <w:pPr>
        <w:pStyle w:val="style0"/>
        <w:snapToGrid w:val="false"/>
        <w:spacing w:lineRule="exact" w:line="400"/>
        <w:ind w:firstLine="420"/>
        <w:rPr>
          <w:rFonts w:ascii="汉仪书宋二简" w:cs="汉仪书宋二简" w:hAnsi="汉仪书宋二简" w:hint="eastAsia"/>
          <w:kern w:val="0"/>
        </w:rPr>
      </w:pPr>
      <w:r>
        <w:rPr>
          <w:rFonts w:ascii="宋体" w:cs="Times New Roman" w:hAnsi="宋体" w:hint="eastAsia"/>
        </w:rPr>
        <w:t>但是，</w:t>
      </w:r>
      <w:r>
        <w:rPr>
          <w:rFonts w:ascii="汉仪中黑简" w:cs="汉仪书宋二简" w:eastAsia="汉仪中黑简" w:hAnsi="汉仪书宋二简" w:hint="eastAsia"/>
          <w:color w:val="ff0000"/>
          <w:kern w:val="0"/>
        </w:rPr>
        <w:t>国际列车和国际汽车，不能解释进“船舶或者航空器”</w:t>
      </w:r>
      <w:r>
        <w:rPr>
          <w:rFonts w:ascii="汉仪书宋二简" w:cs="汉仪书宋二简" w:hAnsi="汉仪书宋二简" w:hint="eastAsia"/>
          <w:kern w:val="0"/>
        </w:rPr>
        <w:t>。</w:t>
      </w:r>
    </w:p>
    <w:p w14:paraId="681BC6DD">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hint="eastAsia"/>
          <w:kern w:val="0"/>
        </w:rPr>
        <w:t>（4）“在中国领域内犯罪”</w:t>
      </w:r>
      <w:r>
        <w:rPr>
          <w:rFonts w:ascii="汉仪书宋二简" w:cs="汉仪书宋二简" w:hAnsi="汉仪书宋二简" w:hint="eastAsia"/>
          <w:kern w:val="0"/>
        </w:rPr>
        <w:t>（犯罪地的确定）：</w:t>
      </w:r>
      <w:r>
        <w:rPr>
          <w:rFonts w:ascii="汉仪中黑简" w:cs="汉仪书宋二简" w:eastAsia="汉仪中黑简" w:hAnsi="汉仪书宋二简" w:hint="eastAsia"/>
          <w:color w:val="ff0000"/>
          <w:kern w:val="0"/>
        </w:rPr>
        <w:t>行为或者结果有一项</w:t>
      </w:r>
      <w:r>
        <w:rPr>
          <w:rFonts w:ascii="汉仪书宋二简" w:cs="汉仪书宋二简" w:hAnsi="汉仪书宋二简" w:hint="eastAsia"/>
          <w:kern w:val="0"/>
        </w:rPr>
        <w:t>发生在中国领域</w:t>
      </w:r>
      <w:r>
        <w:rPr>
          <w:rFonts w:ascii="汉仪书宋二简" w:cs="汉仪书宋二简" w:hAnsi="汉仪书宋二简" w:hint="eastAsia"/>
          <w:kern w:val="0"/>
        </w:rPr>
        <w:t>内的，都适用中国刑法。</w:t>
      </w:r>
      <w:r>
        <w:rPr>
          <w:rFonts w:ascii="汉仪中黑简" w:cs="汉仪书宋二简" w:eastAsia="汉仪中黑简" w:hAnsi="汉仪书宋二简" w:hint="eastAsia"/>
          <w:color w:val="ff0000"/>
          <w:kern w:val="0"/>
        </w:rPr>
        <w:t>行为的一部分</w:t>
      </w:r>
      <w:r>
        <w:rPr>
          <w:rFonts w:ascii="汉仪书宋二简" w:cs="汉仪书宋二简" w:hAnsi="汉仪书宋二简" w:hint="eastAsia"/>
          <w:kern w:val="0"/>
        </w:rPr>
        <w:t>（如预备阶段、实行阶段行为）或</w:t>
      </w:r>
      <w:r>
        <w:rPr>
          <w:rFonts w:ascii="汉仪中黑简" w:cs="汉仪书宋二简" w:eastAsia="汉仪中黑简" w:hAnsi="汉仪书宋二简" w:hint="eastAsia"/>
          <w:color w:val="ff0000"/>
          <w:kern w:val="0"/>
        </w:rPr>
        <w:t>结果的一部分</w:t>
      </w:r>
      <w:r>
        <w:rPr>
          <w:rFonts w:ascii="汉仪书宋二简" w:cs="汉仪书宋二简" w:hAnsi="汉仪书宋二简" w:hint="eastAsia"/>
          <w:kern w:val="0"/>
        </w:rPr>
        <w:t>发生在我国领域内；共同犯罪中的</w:t>
      </w:r>
      <w:r>
        <w:rPr>
          <w:rFonts w:ascii="汉仪中黑简" w:cs="汉仪书宋二简" w:eastAsia="汉仪中黑简" w:hAnsi="汉仪书宋二简" w:hint="eastAsia"/>
          <w:color w:val="ff0000"/>
          <w:kern w:val="0"/>
        </w:rPr>
        <w:t>任一共犯行为</w:t>
      </w:r>
      <w:r>
        <w:rPr>
          <w:rFonts w:ascii="汉仪书宋二简" w:cs="汉仪书宋二简" w:hAnsi="汉仪书宋二简" w:hint="eastAsia"/>
          <w:kern w:val="0"/>
        </w:rPr>
        <w:t>或者共同犯罪的</w:t>
      </w:r>
      <w:r>
        <w:rPr>
          <w:rFonts w:ascii="汉仪中黑简" w:cs="汉仪书宋二简" w:eastAsia="汉仪中黑简" w:hAnsi="汉仪书宋二简" w:hint="eastAsia"/>
          <w:color w:val="ff0000"/>
          <w:kern w:val="0"/>
        </w:rPr>
        <w:t>结果有一部分</w:t>
      </w:r>
      <w:r>
        <w:rPr>
          <w:rFonts w:ascii="汉仪书宋二简" w:cs="汉仪书宋二简" w:hAnsi="汉仪书宋二简" w:hint="eastAsia"/>
          <w:kern w:val="0"/>
        </w:rPr>
        <w:t>发生在我国领域内，都适用中国刑法对全案进行管辖。</w:t>
      </w:r>
    </w:p>
    <w:p w14:paraId="0CA900F4">
      <w:pPr>
        <w:pStyle w:val="style4"/>
        <w:spacing w:lineRule="exact" w:line="400"/>
        <w:ind w:firstLine="252" w:firstLineChars="120"/>
        <w:rPr>
          <w:sz w:val="21"/>
          <w:szCs w:val="21"/>
        </w:rPr>
      </w:pPr>
      <w:r>
        <w:rPr>
          <w:rFonts w:hint="eastAsia"/>
          <w:sz w:val="21"/>
          <w:szCs w:val="21"/>
        </w:rPr>
        <w:t>（二）对国外犯（领域外）的适用原则</w:t>
      </w:r>
    </w:p>
    <w:p w14:paraId="4A963CFF">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kern w:val="0"/>
        </w:rPr>
        <w:t>2</w:t>
      </w:r>
      <w:r>
        <w:rPr>
          <w:rFonts w:ascii="汉仪中黑简" w:cs="汉仪书宋二简" w:eastAsia="汉仪中黑简" w:hAnsi="汉仪书宋二简" w:hint="eastAsia"/>
          <w:kern w:val="0"/>
        </w:rPr>
        <w:t>．属人管辖：</w:t>
      </w:r>
      <w:r>
        <w:rPr>
          <w:rFonts w:ascii="汉仪书宋二简" w:cs="汉仪书宋二简" w:hAnsi="汉仪书宋二简" w:hint="eastAsia"/>
          <w:kern w:val="0"/>
        </w:rPr>
        <w:t>对于我国公民</w:t>
      </w:r>
      <w:r>
        <w:rPr>
          <w:rFonts w:ascii="汉仪中黑简" w:cs="汉仪书宋二简" w:eastAsia="汉仪中黑简" w:hAnsi="汉仪书宋二简" w:hint="eastAsia"/>
          <w:color w:val="ff0000"/>
          <w:kern w:val="0"/>
        </w:rPr>
        <w:t>（行为人）</w:t>
      </w:r>
      <w:r>
        <w:rPr>
          <w:rFonts w:ascii="汉仪书宋二简" w:cs="汉仪书宋二简" w:hAnsi="汉仪书宋二简" w:hint="eastAsia"/>
          <w:kern w:val="0"/>
        </w:rPr>
        <w:t>在我国领域外犯罪，适用我国刑法。</w:t>
      </w:r>
    </w:p>
    <w:p w14:paraId="00AEF0DC">
      <w:pPr>
        <w:pStyle w:val="style0"/>
        <w:spacing w:lineRule="exact" w:line="400"/>
        <w:ind w:firstLine="420"/>
        <w:jc w:val="left"/>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564"/>
        <w:gridCol w:w="1053"/>
        <w:gridCol w:w="1569"/>
        <w:gridCol w:w="1181"/>
        <w:gridCol w:w="1183"/>
        <w:gridCol w:w="1955"/>
      </w:tblGrid>
      <w:tr w14:paraId="5C1A5BF4">
        <w:trPr>
          <w:trHeight w:val="70" w:hRule="atLeast"/>
          <w:jc w:val="center"/>
        </w:trPr>
        <w:tc>
          <w:tcPr>
            <w:tcW w:w="1564" w:type="dxa"/>
            <w:tcBorders/>
            <w:vAlign w:val="center"/>
          </w:tcPr>
          <w:p w14:paraId="525AE2D1">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普通公民（民）</w:t>
            </w:r>
          </w:p>
        </w:tc>
        <w:tc>
          <w:tcPr>
            <w:tcW w:w="1053" w:type="dxa"/>
            <w:vMerge w:val="restart"/>
            <w:tcBorders/>
            <w:vAlign w:val="center"/>
          </w:tcPr>
          <w:p w14:paraId="03BC3CEE">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均应适用我国刑法</w:t>
            </w:r>
          </w:p>
        </w:tc>
        <w:tc>
          <w:tcPr>
            <w:tcW w:w="1569" w:type="dxa"/>
            <w:tcBorders/>
            <w:vAlign w:val="center"/>
          </w:tcPr>
          <w:p w14:paraId="677A1C99">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法定最高刑3年以下有期徒刑</w:t>
            </w:r>
          </w:p>
        </w:tc>
        <w:tc>
          <w:tcPr>
            <w:tcW w:w="1181" w:type="dxa"/>
            <w:tcBorders/>
            <w:vAlign w:val="center"/>
          </w:tcPr>
          <w:p w14:paraId="52A804E1">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“可以”不予追究</w:t>
            </w:r>
          </w:p>
        </w:tc>
        <w:tc>
          <w:tcPr>
            <w:tcW w:w="1183" w:type="dxa"/>
            <w:tcBorders/>
            <w:vAlign w:val="center"/>
          </w:tcPr>
          <w:p w14:paraId="12D009C7">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反义解释：也可以追究</w:t>
            </w:r>
          </w:p>
        </w:tc>
        <w:tc>
          <w:tcPr>
            <w:tcW w:w="1955" w:type="dxa"/>
            <w:vMerge w:val="restart"/>
            <w:tcBorders/>
            <w:vAlign w:val="center"/>
          </w:tcPr>
          <w:p w14:paraId="5213C932">
            <w:pPr>
              <w:pStyle w:val="style0"/>
              <w:snapToGrid w:val="false"/>
              <w:spacing w:before="31" w:beforeLines="10" w:after="62" w:afterLines="20" w:lineRule="exact" w:line="400"/>
              <w:ind w:firstLine="0" w:firstLineChars="0"/>
              <w:rPr>
                <w:rFonts w:ascii="汉仪书宋一简" w:cs="Times New Roman" w:eastAsia="汉仪书宋一简" w:hAnsi="楷体" w:hint="eastAsia"/>
                <w:b/>
              </w:rPr>
            </w:pPr>
            <w:r>
              <w:rPr>
                <w:rFonts w:ascii="汉仪书宋一简" w:cs="Times New Roman" w:eastAsia="汉仪书宋一简" w:hAnsi="楷体" w:hint="eastAsia"/>
                <w:b/>
              </w:rPr>
              <w:t>注意：虽未规定“双重犯罪”要件，但仍需“犯本法规定之罪”，适用法益保护原则</w:t>
            </w:r>
          </w:p>
        </w:tc>
      </w:tr>
      <w:tr w14:paraId="69EC2546">
        <w:tblPrEx/>
        <w:trPr>
          <w:trHeight w:val="70" w:hRule="atLeast"/>
          <w:jc w:val="center"/>
        </w:trPr>
        <w:tc>
          <w:tcPr>
            <w:tcW w:w="1564" w:type="dxa"/>
            <w:tcBorders/>
            <w:vAlign w:val="center"/>
          </w:tcPr>
          <w:p w14:paraId="7A4682D8">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国家工作人员和军人（官、军）</w:t>
            </w:r>
          </w:p>
        </w:tc>
        <w:tc>
          <w:tcPr>
            <w:tcW w:w="1053" w:type="dxa"/>
            <w:vMerge w:val="continue"/>
            <w:tcBorders/>
            <w:vAlign w:val="center"/>
          </w:tcPr>
          <w:p w14:paraId="7E168530">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p>
        </w:tc>
        <w:tc>
          <w:tcPr>
            <w:tcW w:w="1569" w:type="dxa"/>
            <w:tcBorders/>
            <w:vAlign w:val="center"/>
          </w:tcPr>
          <w:p w14:paraId="410071DB">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无论应处何刑罚</w:t>
            </w:r>
          </w:p>
        </w:tc>
        <w:tc>
          <w:tcPr>
            <w:tcW w:w="2364" w:type="dxa"/>
            <w:gridSpan w:val="2"/>
            <w:tcBorders/>
            <w:vAlign w:val="center"/>
          </w:tcPr>
          <w:p w14:paraId="491CBC4B">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r>
              <w:rPr>
                <w:rFonts w:ascii="汉仪书宋一简" w:cs="Times New Roman" w:eastAsia="汉仪书宋一简" w:hAnsi="楷体" w:hint="eastAsia"/>
              </w:rPr>
              <w:t>均需追究</w:t>
            </w:r>
          </w:p>
        </w:tc>
        <w:tc>
          <w:tcPr>
            <w:tcW w:w="1955" w:type="dxa"/>
            <w:vMerge w:val="continue"/>
            <w:tcBorders/>
            <w:vAlign w:val="center"/>
          </w:tcPr>
          <w:p w14:paraId="6E706C00">
            <w:pPr>
              <w:pStyle w:val="style0"/>
              <w:snapToGrid w:val="false"/>
              <w:spacing w:before="31" w:beforeLines="10" w:after="62" w:afterLines="20" w:lineRule="exact" w:line="400"/>
              <w:ind w:firstLine="0" w:firstLineChars="0"/>
              <w:rPr>
                <w:rFonts w:ascii="汉仪书宋一简" w:cs="Times New Roman" w:eastAsia="汉仪书宋一简" w:hAnsi="楷体" w:hint="eastAsia"/>
              </w:rPr>
            </w:pPr>
          </w:p>
        </w:tc>
      </w:tr>
    </w:tbl>
    <w:p w14:paraId="235ED037">
      <w:pPr>
        <w:pStyle w:val="style0"/>
        <w:snapToGrid w:val="false"/>
        <w:spacing w:lineRule="exact" w:line="400"/>
        <w:ind w:firstLine="420"/>
        <w:rPr>
          <w:rFonts w:ascii="汉仪中黑简" w:cs="汉仪书宋二简" w:eastAsia="汉仪中黑简" w:hAnsi="汉仪书宋二简" w:hint="eastAsia"/>
          <w:kern w:val="0"/>
        </w:rPr>
      </w:pPr>
    </w:p>
    <w:p w14:paraId="07668309">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kern w:val="0"/>
        </w:rPr>
        <w:t>3</w:t>
      </w:r>
      <w:r>
        <w:rPr>
          <w:rFonts w:ascii="汉仪中黑简" w:cs="汉仪书宋二简" w:eastAsia="汉仪中黑简" w:hAnsi="汉仪书宋二简" w:hint="eastAsia"/>
          <w:kern w:val="0"/>
        </w:rPr>
        <w:t>．保护管辖：</w:t>
      </w:r>
      <w:r>
        <w:rPr>
          <w:rFonts w:ascii="汉仪书宋二简" w:cs="汉仪书宋二简" w:hAnsi="汉仪书宋二简" w:hint="eastAsia"/>
          <w:kern w:val="0"/>
        </w:rPr>
        <w:t>对于外国人在我国领域外实施的侵犯我国国家或公民权益</w:t>
      </w:r>
      <w:r>
        <w:rPr>
          <w:rFonts w:ascii="汉仪中黑简" w:cs="汉仪书宋二简" w:eastAsia="汉仪中黑简" w:hAnsi="汉仪书宋二简" w:hint="eastAsia"/>
          <w:color w:val="ff0000"/>
          <w:kern w:val="0"/>
        </w:rPr>
        <w:t>（被害人）</w:t>
      </w:r>
      <w:r>
        <w:rPr>
          <w:rFonts w:ascii="汉仪书宋二简" w:cs="汉仪书宋二简" w:hAnsi="汉仪书宋二简" w:hint="eastAsia"/>
          <w:kern w:val="0"/>
        </w:rPr>
        <w:t>的重罪行为，适用我国刑法。</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556BD3F8">
        <w:trPr>
          <w:jc w:val="center"/>
        </w:trPr>
        <w:tc>
          <w:tcPr>
            <w:tcW w:w="8302" w:type="dxa"/>
            <w:tcBorders/>
            <w:vAlign w:val="center"/>
          </w:tcPr>
          <w:p w14:paraId="02BD9477">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w:t>
            </w:r>
            <w:r>
              <w:rPr>
                <w:rFonts w:ascii="汉仪中黑简" w:eastAsia="汉仪中黑简" w:hint="eastAsia"/>
              </w:rPr>
              <w:t>侵害我国利益：</w:t>
            </w:r>
            <w:r>
              <w:rPr>
                <w:rFonts w:ascii="汉仪书宋一简" w:eastAsia="汉仪书宋一简" w:hint="eastAsia"/>
              </w:rPr>
              <w:t>所犯之罪必须侵犯了我国</w:t>
            </w:r>
            <w:r>
              <w:rPr>
                <w:rFonts w:ascii="汉仪中黑简" w:eastAsia="汉仪中黑简" w:hint="eastAsia"/>
                <w:color w:val="ff0000"/>
              </w:rPr>
              <w:t>国家或者公民</w:t>
            </w:r>
            <w:r>
              <w:rPr>
                <w:rFonts w:ascii="汉仪书宋一简" w:eastAsia="汉仪书宋一简" w:hint="eastAsia"/>
              </w:rPr>
              <w:t>的利益</w:t>
            </w:r>
            <w:r>
              <w:rPr>
                <w:rFonts w:ascii="汉仪书宋一简" w:cs="Times New Roman" w:eastAsia="汉仪书宋一简" w:hAnsi="Calibri" w:hint="eastAsia"/>
              </w:rPr>
              <w:t>；</w:t>
            </w:r>
          </w:p>
          <w:p w14:paraId="3DF54271">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w:t>
            </w:r>
            <w:r>
              <w:rPr>
                <w:rFonts w:ascii="汉仪中黑简" w:eastAsia="汉仪中黑简" w:hint="eastAsia"/>
              </w:rPr>
              <w:t>3年以上（重罪）：</w:t>
            </w:r>
            <w:r>
              <w:rPr>
                <w:rFonts w:ascii="汉仪书宋一简" w:eastAsia="汉仪书宋一简" w:hint="eastAsia"/>
              </w:rPr>
              <w:t>法定最低刑为</w:t>
            </w:r>
            <w:r>
              <w:rPr>
                <w:rFonts w:ascii="汉仪中黑简" w:eastAsia="汉仪中黑简" w:hint="eastAsia"/>
                <w:color w:val="ff0000"/>
              </w:rPr>
              <w:t>3年以上</w:t>
            </w:r>
            <w:r>
              <w:rPr>
                <w:rFonts w:ascii="汉仪书宋一简" w:eastAsia="汉仪书宋一简" w:hint="eastAsia"/>
              </w:rPr>
              <w:t>有期徒刑</w:t>
            </w:r>
            <w:r>
              <w:rPr>
                <w:rFonts w:ascii="汉仪书宋一简" w:cs="Times New Roman" w:eastAsia="汉仪书宋一简" w:hAnsi="Calibri" w:hint="eastAsia"/>
              </w:rPr>
              <w:t>；</w:t>
            </w:r>
          </w:p>
          <w:p w14:paraId="0502BF26">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w:t>
            </w:r>
            <w:r>
              <w:rPr>
                <w:rFonts w:ascii="汉仪中黑简" w:eastAsia="汉仪中黑简" w:hint="eastAsia"/>
              </w:rPr>
              <w:t>双重犯罪：</w:t>
            </w:r>
            <w:r>
              <w:rPr>
                <w:rFonts w:ascii="汉仪书宋一简" w:eastAsia="汉仪书宋一简" w:hint="eastAsia"/>
              </w:rPr>
              <w:t>所犯之罪按照犯罪地的法律也受处罚。所实施的行为，</w:t>
            </w:r>
            <w:r>
              <w:rPr>
                <w:rFonts w:ascii="汉仪中黑简" w:eastAsia="汉仪中黑简" w:hint="eastAsia"/>
                <w:color w:val="ff0000"/>
              </w:rPr>
              <w:t>按犯罪地的法律不认为是犯罪</w:t>
            </w:r>
            <w:r>
              <w:rPr>
                <w:rFonts w:ascii="汉仪书宋一简" w:eastAsia="汉仪书宋一简" w:hint="eastAsia"/>
              </w:rPr>
              <w:t>的，</w:t>
            </w:r>
            <w:r>
              <w:rPr>
                <w:rFonts w:ascii="汉仪中黑简" w:eastAsia="汉仪中黑简" w:hint="eastAsia"/>
                <w:color w:val="ff0000"/>
              </w:rPr>
              <w:t>不适用我国刑法</w:t>
            </w:r>
            <w:r>
              <w:rPr>
                <w:rFonts w:ascii="汉仪书宋一简" w:eastAsia="汉仪书宋一简" w:hint="eastAsia"/>
              </w:rPr>
              <w:t>。但如果犯罪地没有法律，当然可适用我国刑法，例如，外国人在南极杀害了中国人，也适用中国刑法。</w:t>
            </w:r>
          </w:p>
        </w:tc>
      </w:tr>
    </w:tbl>
    <w:p w14:paraId="24AFAFA8">
      <w:pPr>
        <w:pStyle w:val="style0"/>
        <w:spacing w:lineRule="exact" w:line="400"/>
        <w:ind w:firstLine="420"/>
        <w:jc w:val="left"/>
        <w:rPr>
          <w:rFonts w:ascii="汉仪书宋二简" w:cs="汉仪书宋二简" w:hAnsi="汉仪书宋二简" w:hint="eastAsia"/>
          <w:kern w:val="0"/>
        </w:rPr>
      </w:pPr>
    </w:p>
    <w:p w14:paraId="02F27C5A">
      <w:pPr>
        <w:pStyle w:val="style0"/>
        <w:snapToGrid w:val="false"/>
        <w:spacing w:lineRule="exact" w:line="400"/>
        <w:ind w:firstLine="420"/>
        <w:rPr>
          <w:rFonts w:ascii="汉仪书宋二简" w:cs="汉仪书宋二简" w:hAnsi="汉仪书宋二简" w:hint="eastAsia"/>
          <w:kern w:val="0"/>
        </w:rPr>
      </w:pPr>
      <w:r>
        <w:rPr>
          <w:rFonts w:ascii="汉仪中黑简" w:cs="汉仪书宋二简" w:eastAsia="汉仪中黑简" w:hAnsi="汉仪书宋二简" w:hint="eastAsia"/>
          <w:kern w:val="0"/>
        </w:rPr>
        <w:t>4．普遍管辖：</w:t>
      </w:r>
      <w:r>
        <w:rPr>
          <w:rFonts w:ascii="汉仪书宋二简" w:cs="汉仪书宋二简" w:hAnsi="汉仪书宋二简" w:hint="eastAsia"/>
          <w:kern w:val="0"/>
        </w:rPr>
        <w:t>对于国际公约或者条约所规定的犯罪</w:t>
      </w:r>
      <w:r>
        <w:rPr>
          <w:rFonts w:ascii="汉仪中黑简" w:cs="汉仪书宋二简" w:eastAsia="汉仪中黑简" w:hAnsi="汉仪书宋二简" w:hint="eastAsia"/>
          <w:color w:val="ff0000"/>
          <w:kern w:val="0"/>
        </w:rPr>
        <w:t>（国际犯罪）</w:t>
      </w:r>
      <w:r>
        <w:rPr>
          <w:rFonts w:ascii="汉仪书宋二简" w:cs="汉仪书宋二简" w:hAnsi="汉仪书宋二简" w:hint="eastAsia"/>
          <w:kern w:val="0"/>
        </w:rPr>
        <w:t>，不管犯罪人的国籍、犯罪地、侵害对象，缔约国或参加国可行使刑事管辖权。</w:t>
      </w:r>
    </w:p>
    <w:p w14:paraId="2B9944A4">
      <w:pPr>
        <w:pStyle w:val="style0"/>
        <w:snapToGrid w:val="false"/>
        <w:spacing w:lineRule="exact" w:line="400"/>
        <w:ind w:firstLine="420"/>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46942FC0">
        <w:trPr>
          <w:jc w:val="center"/>
        </w:trPr>
        <w:tc>
          <w:tcPr>
            <w:tcW w:w="8302" w:type="dxa"/>
            <w:tcBorders/>
            <w:vAlign w:val="center"/>
          </w:tcPr>
          <w:p w14:paraId="31EB070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（1）对象：我国缔结和参加的</w:t>
            </w:r>
            <w:r>
              <w:rPr>
                <w:rFonts w:ascii="汉仪中黑简" w:eastAsia="汉仪中黑简" w:hint="eastAsia"/>
                <w:color w:val="ff0000"/>
              </w:rPr>
              <w:t>国际公约规定的犯罪</w:t>
            </w:r>
            <w:r>
              <w:rPr>
                <w:rFonts w:ascii="汉仪书宋一简" w:eastAsia="汉仪书宋一简" w:hint="eastAsia"/>
              </w:rPr>
              <w:t>（危害人类社会共同利益的犯罪）。通常有海盗犯罪、毒品犯罪、劫机（劫持民用航空器罪）犯罪、恐怖主义；酷刑、反人类、战争罪、灭种罪等。</w:t>
            </w:r>
          </w:p>
          <w:p w14:paraId="207A1C12">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（2）后果：立即逮捕</w:t>
            </w:r>
            <w:r>
              <w:rPr>
                <w:rFonts w:ascii="汉仪中黑简" w:eastAsia="汉仪中黑简" w:hint="eastAsia"/>
                <w:color w:val="ff0000"/>
              </w:rPr>
              <w:t>；或起诉或引渡</w:t>
            </w:r>
            <w:r>
              <w:rPr>
                <w:rFonts w:ascii="汉仪书宋一简" w:eastAsia="汉仪书宋一简" w:hint="eastAsia"/>
              </w:rPr>
              <w:t>。</w:t>
            </w:r>
          </w:p>
          <w:p w14:paraId="0793A7A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（3）我国定罪量刑的</w:t>
            </w:r>
            <w:r>
              <w:rPr>
                <w:rFonts w:ascii="汉仪中黑简" w:eastAsia="汉仪中黑简" w:hint="eastAsia"/>
                <w:color w:val="ff0000"/>
              </w:rPr>
              <w:t>法律根据</w:t>
            </w:r>
            <w:r>
              <w:rPr>
                <w:rFonts w:ascii="汉仪书宋一简" w:eastAsia="汉仪书宋一简" w:hint="eastAsia"/>
              </w:rPr>
              <w:t>：是</w:t>
            </w:r>
            <w:r>
              <w:rPr>
                <w:rFonts w:ascii="汉仪中黑简" w:eastAsia="汉仪中黑简" w:hint="eastAsia"/>
                <w:color w:val="ff0000"/>
              </w:rPr>
              <w:t>国内刑法（“本法”）</w:t>
            </w:r>
            <w:r>
              <w:rPr>
                <w:rFonts w:ascii="汉仪书宋一简" w:eastAsia="汉仪书宋一简" w:hint="eastAsia"/>
              </w:rPr>
              <w:t>，而非国际条约。</w:t>
            </w:r>
          </w:p>
        </w:tc>
      </w:tr>
    </w:tbl>
    <w:p w14:paraId="3DF8B06B">
      <w:pPr>
        <w:pStyle w:val="style0"/>
        <w:spacing w:lineRule="exact" w:line="400"/>
        <w:ind w:firstLine="420"/>
        <w:jc w:val="left"/>
        <w:rPr>
          <w:rFonts w:ascii="汉仪书宋二简" w:cs="汉仪书宋二简" w:hAnsi="汉仪书宋二简" w:hint="eastAsia"/>
          <w:kern w:val="0"/>
        </w:rPr>
      </w:pPr>
    </w:p>
    <w:p w14:paraId="0894C048">
      <w:pPr>
        <w:pStyle w:val="style4"/>
        <w:spacing w:lineRule="exact" w:line="400"/>
        <w:ind w:firstLine="252" w:firstLineChars="120"/>
        <w:rPr>
          <w:rFonts w:ascii="汉仪书宋二简" w:cs="汉仪书宋二简" w:eastAsia="汉仪书宋二简" w:hAnsi="汉仪书宋二简" w:hint="eastAsia"/>
          <w:bCs w:val="false"/>
          <w:kern w:val="0"/>
          <w:sz w:val="21"/>
          <w:szCs w:val="21"/>
        </w:rPr>
      </w:pPr>
      <w:r>
        <w:rPr>
          <w:rFonts w:hint="eastAsia"/>
          <w:sz w:val="21"/>
          <w:szCs w:val="21"/>
        </w:rPr>
        <w:t>（三）对外国刑事判决的消极承认</w:t>
      </w:r>
      <w:r>
        <w:rPr>
          <w:rFonts w:ascii="汉仪书宋二简" w:cs="汉仪书宋二简" w:eastAsia="汉仪书宋二简" w:hAnsi="汉仪书宋二简" w:hint="eastAsia"/>
          <w:bCs w:val="false"/>
          <w:kern w:val="0"/>
          <w:sz w:val="21"/>
          <w:szCs w:val="21"/>
        </w:rPr>
        <w:t>（管辖权冲突与保留）</w:t>
      </w:r>
    </w:p>
    <w:p w14:paraId="4DA1419A">
      <w:pPr>
        <w:pStyle w:val="style0"/>
        <w:snapToGrid w:val="false"/>
        <w:spacing w:lineRule="exact" w:line="400"/>
        <w:ind w:firstLine="420"/>
        <w:rPr>
          <w:rFonts w:ascii="楷体" w:cs="Times New Roman" w:eastAsia="楷体" w:hAnsi="楷体" w:hint="eastAsia"/>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65CC9A82">
        <w:trPr>
          <w:jc w:val="center"/>
        </w:trPr>
        <w:tc>
          <w:tcPr>
            <w:tcW w:w="8317" w:type="dxa"/>
            <w:tcBorders/>
            <w:vAlign w:val="center"/>
          </w:tcPr>
          <w:p w14:paraId="3E5E9AAB">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（1）保留追诉权：</w:t>
            </w:r>
            <w:r>
              <w:rPr>
                <w:rFonts w:ascii="汉仪中黑简" w:eastAsia="汉仪中黑简" w:hint="eastAsia"/>
                <w:color w:val="ff0000"/>
              </w:rPr>
              <w:t>仍然可以依照本法追究</w:t>
            </w:r>
            <w:r>
              <w:rPr>
                <w:rFonts w:ascii="汉仪书宋一简" w:cs="Times New Roman" w:eastAsia="汉仪书宋一简" w:hAnsi="Calibri" w:hint="eastAsia"/>
              </w:rPr>
              <w:t>。亦即“消极承认”，不适用一事不再理原则。</w:t>
            </w:r>
          </w:p>
          <w:p w14:paraId="4E607746">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（2）从宽事由：在外国已受处罚，</w:t>
            </w:r>
            <w:r>
              <w:rPr>
                <w:rFonts w:ascii="汉仪中黑简" w:eastAsia="汉仪中黑简" w:hint="eastAsia"/>
                <w:color w:val="ff0000"/>
              </w:rPr>
              <w:t>可以免除或者减轻</w:t>
            </w:r>
            <w:r>
              <w:rPr>
                <w:rFonts w:ascii="汉仪书宋一简" w:cs="Times New Roman" w:eastAsia="汉仪书宋一简" w:hAnsi="Calibri" w:hint="eastAsia"/>
              </w:rPr>
              <w:t>处罚。</w:t>
            </w:r>
          </w:p>
        </w:tc>
      </w:tr>
    </w:tbl>
    <w:p w14:paraId="75506482">
      <w:pPr>
        <w:pStyle w:val="style0"/>
        <w:spacing w:lineRule="exact" w:line="400"/>
        <w:ind w:firstLine="0" w:firstLineChars="0"/>
        <w:rPr>
          <w:rFonts w:ascii="汉仪书宋二简" w:cs="汉仪书宋二简" w:hAnsi="汉仪书宋二简" w:hint="eastAsia"/>
          <w:kern w:val="0"/>
        </w:rPr>
      </w:pPr>
    </w:p>
    <w:p w14:paraId="282CD606">
      <w:pPr>
        <w:pStyle w:val="style3"/>
        <w:spacing w:lineRule="exact" w:line="400"/>
        <w:rPr>
          <w:rFonts w:ascii="汉仪书宋二简" w:cs="汉仪书宋二简" w:eastAsia="汉仪书宋二简" w:hAnsi="汉仪书宋二简" w:hint="eastAsia"/>
          <w:kern w:val="0"/>
          <w:sz w:val="21"/>
        </w:rPr>
      </w:pPr>
      <w:r>
        <w:rPr>
          <w:rFonts w:hint="eastAsia"/>
          <w:sz w:val="21"/>
        </w:rPr>
        <w:t>二、刑法的时间效力</w:t>
      </w:r>
      <w:r>
        <w:rPr>
          <w:rFonts w:ascii="汉仪书宋二简" w:cs="汉仪书宋二简" w:eastAsia="汉仪书宋二简" w:hAnsi="汉仪书宋二简" w:hint="eastAsia"/>
          <w:kern w:val="0"/>
          <w:sz w:val="21"/>
        </w:rPr>
        <w:t>（溯及力：从旧兼从轻）</w:t>
      </w:r>
    </w:p>
    <w:p w14:paraId="5B1B7553">
      <w:pPr>
        <w:pStyle w:val="style4"/>
        <w:spacing w:lineRule="exact" w:line="400"/>
        <w:ind w:firstLine="252" w:firstLineChars="120"/>
        <w:rPr>
          <w:sz w:val="21"/>
          <w:szCs w:val="21"/>
        </w:rPr>
      </w:pPr>
      <w:r>
        <w:rPr>
          <w:rFonts w:hint="eastAsia"/>
          <w:sz w:val="21"/>
          <w:szCs w:val="21"/>
        </w:rPr>
        <w:t>（一）从旧兼从轻的含义和适用方法</w:t>
      </w:r>
    </w:p>
    <w:p w14:paraId="4770E67D">
      <w:pPr>
        <w:pStyle w:val="style0"/>
        <w:spacing w:lineRule="exact" w:line="400"/>
        <w:ind w:firstLine="420"/>
        <w:rPr>
          <w:rFonts w:hint="eastAsia"/>
        </w:rPr>
      </w:pPr>
      <w:r>
        <w:rPr>
          <w:rFonts w:eastAsia="宋体"/>
          <w:noProof/>
        </w:rPr>
        <mc:AlternateContent>
          <mc:Choice Requires="wpg">
            <w:drawing>
              <wp:anchor distT="0" distB="0" distL="0" distR="0" simplePos="false" relativeHeight="2" behindDoc="false" locked="false" layoutInCell="true" allowOverlap="true">
                <wp:simplePos x="0" y="0"/>
                <wp:positionH relativeFrom="column">
                  <wp:posOffset>-868680</wp:posOffset>
                </wp:positionH>
                <wp:positionV relativeFrom="paragraph">
                  <wp:posOffset>309245</wp:posOffset>
                </wp:positionV>
                <wp:extent cx="6965802" cy="1831506"/>
                <wp:effectExtent l="0" t="0" r="0" b="0"/>
                <wp:wrapNone/>
                <wp:docPr id="1026" name="组合 19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65802" cy="1831506"/>
                          <a:chOff x="943" y="57067"/>
                          <a:chExt cx="11625" cy="3113"/>
                        </a:xfrm>
                      </wpg:grpSpPr>
                      <wps:wsp>
                        <wps:cNvSpPr/>
                        <wps:spPr>
                          <a:xfrm rot="0">
                            <a:off x="1183" y="59268"/>
                            <a:ext cx="11042" cy="0"/>
                          </a:xfrm>
                          <a:prstGeom prst="straightConnector1"/>
                          <a:ln cmpd="sng" cap="flat" w="12700">
                            <a:solidFill>
                              <a:srgbClr val="000000"/>
                            </a:solidFill>
                            <a:prstDash val="solid"/>
                            <a:miter/>
                            <a:headEnd len="med" w="med" type="none"/>
                            <a:tailEnd len="med" w="med" type="arrow"/>
                          </a:ln>
                        </wps:spPr>
                        <wps:bodyPr>
                          <a:prstTxWarp prst="textNoShape"/>
                        </wps:bodyPr>
                      </wps:wsp>
                      <wps:wsp>
                        <wps:cNvSpPr/>
                        <wps:spPr>
                          <a:xfrm rot="0">
                            <a:off x="1391" y="59696"/>
                            <a:ext cx="2584" cy="484"/>
                          </a:xfrm>
                          <a:prstGeom prst="rect"/>
                          <a:ln>
                            <a:noFill/>
                          </a:ln>
                        </wps:spPr>
                        <wps:txbx id="1028">
                          <w:txbxContent>
                            <w:p w14:paraId="3A41508F">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中黑简" w:cs="汉仪书宋二简" w:eastAsia="汉仪中黑简" w:hAnsi="汉仪书宋二简" w:hint="eastAsia"/>
                                  <w:color w:val="000000"/>
                                  <w:szCs w:val="24"/>
                                </w:rPr>
                                <w:t>1979年刑</w:t>
                              </w:r>
                              <w:r>
                                <w:rPr>
                                  <w:rFonts w:ascii="汉仪书宋二简" w:cs="汉仪书宋二简" w:eastAsia="汉仪中黑简" w:hAnsi="汉仪书宋二简" w:hint="eastAsia"/>
                                  <w:color w:val="000000"/>
                                  <w:szCs w:val="24"/>
                                </w:rPr>
                                <w:t>法有效期</w:t>
                              </w:r>
                            </w:p>
                          </w:txbxContent>
                        </wps:txbx>
                        <wps:bodyPr wrap="square" upright="true">
                          <a:prstTxWarp prst="textNoShape"/>
                        </wps:bodyPr>
                      </wps:wsp>
                      <wps:wsp>
                        <wps:cNvSpPr/>
                        <wps:spPr>
                          <a:xfrm rot="0">
                            <a:off x="6103" y="59696"/>
                            <a:ext cx="2584" cy="484"/>
                          </a:xfrm>
                          <a:prstGeom prst="rect"/>
                          <a:ln>
                            <a:noFill/>
                          </a:ln>
                        </wps:spPr>
                        <wps:txbx id="1029">
                          <w:txbxContent>
                            <w:p w14:paraId="2EFCFA89">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中黑简" w:cs="汉仪书宋二简" w:eastAsia="汉仪中黑简" w:hAnsi="汉仪书宋二简" w:hint="eastAsia"/>
                                  <w:bCs/>
                                  <w:color w:val="000000"/>
                                  <w:szCs w:val="24"/>
                                </w:rPr>
                                <w:t>1997年</w:t>
                              </w:r>
                              <w:r>
                                <w:rPr>
                                  <w:rFonts w:ascii="汉仪书宋二简" w:cs="汉仪书宋二简" w:eastAsia="汉仪中黑简" w:hAnsi="汉仪书宋二简" w:hint="eastAsia"/>
                                  <w:color w:val="000000"/>
                                  <w:szCs w:val="24"/>
                                </w:rPr>
                                <w:t>刑法有效期</w:t>
                              </w:r>
                            </w:p>
                          </w:txbxContent>
                        </wps:txbx>
                        <wps:bodyPr wrap="square" upright="true">
                          <a:prstTxWarp prst="textNoShape"/>
                        </wps:bodyPr>
                      </wps:wsp>
                      <wps:wsp>
                        <wps:cNvSpPr/>
                        <wps:spPr>
                          <a:xfrm rot="0">
                            <a:off x="1402" y="57067"/>
                            <a:ext cx="2584" cy="888"/>
                          </a:xfrm>
                          <a:prstGeom prst="rect"/>
                          <a:ln>
                            <a:noFill/>
                          </a:ln>
                        </wps:spPr>
                        <wps:txbx id="1030">
                          <w:txbxContent>
                            <w:p w14:paraId="17A392F4">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rPr>
                                <w:t>行为时法</w:t>
                              </w:r>
                            </w:p>
                            <w:p w14:paraId="79495801">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rPr>
                                <w:t>（旧法）</w:t>
                              </w:r>
                            </w:p>
                          </w:txbxContent>
                        </wps:txbx>
                        <wps:bodyPr wrap="square" upright="true">
                          <a:prstTxWarp prst="textNoShape"/>
                        </wps:bodyPr>
                      </wps:wsp>
                      <wps:wsp>
                        <wps:cNvSpPr/>
                        <wps:spPr>
                          <a:xfrm rot="0">
                            <a:off x="4762" y="57067"/>
                            <a:ext cx="2584" cy="888"/>
                          </a:xfrm>
                          <a:prstGeom prst="rect"/>
                          <a:ln>
                            <a:noFill/>
                          </a:ln>
                        </wps:spPr>
                        <wps:txbx id="1031">
                          <w:txbxContent>
                            <w:p w14:paraId="69BFA225">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szCs w:val="24"/>
                                </w:rPr>
                                <w:t>审判时法</w:t>
                              </w:r>
                            </w:p>
                            <w:p w14:paraId="77BC4CB1">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szCs w:val="24"/>
                                </w:rPr>
                                <w:t>（新法）</w:t>
                              </w:r>
                            </w:p>
                          </w:txbxContent>
                        </wps:txbx>
                        <wps:bodyPr wrap="square" upright="true">
                          <a:prstTxWarp prst="textNoShape"/>
                        </wps:bodyPr>
                      </wps:wsp>
                      <wps:wsp>
                        <wps:cNvSpPr/>
                        <wps:spPr>
                          <a:xfrm rot="0">
                            <a:off x="4192" y="58302"/>
                            <a:ext cx="1960" cy="888"/>
                          </a:xfrm>
                          <a:prstGeom prst="rect"/>
                          <a:ln>
                            <a:noFill/>
                          </a:ln>
                        </wps:spPr>
                        <wps:txbx id="1032">
                          <w:txbxContent>
                            <w:p w14:paraId="0D4E6EEA">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2011年5月1日</w:t>
                              </w:r>
                            </w:p>
                            <w:p w14:paraId="1501AC2D">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（修八）</w:t>
                              </w:r>
                            </w:p>
                          </w:txbxContent>
                        </wps:txbx>
                        <wps:bodyPr wrap="square" upright="true">
                          <a:prstTxWarp prst="textNoShape"/>
                        </wps:bodyPr>
                      </wps:wsp>
                      <wps:wsp>
                        <wps:cNvSpPr/>
                        <wps:spPr>
                          <a:xfrm rot="0">
                            <a:off x="943" y="57927"/>
                            <a:ext cx="1729" cy="888"/>
                          </a:xfrm>
                          <a:prstGeom prst="rect"/>
                          <a:ln>
                            <a:noFill/>
                          </a:ln>
                        </wps:spPr>
                        <wps:txbx id="1033">
                          <w:txbxContent>
                            <w:p w14:paraId="62D8831D">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1980年1月1日</w:t>
                              </w:r>
                            </w:p>
                            <w:p w14:paraId="272AE972">
                              <w:pPr>
                                <w:pStyle w:val="style0"/>
                                <w:spacing w:lineRule="auto" w:line="240"/>
                                <w:ind w:firstLine="0" w:firstLineChars="0"/>
                                <w:jc w:val="center"/>
                                <w:rPr>
                                  <w:rFonts w:ascii="汉仪书宋二简" w:cs="汉仪书宋二简" w:hAnsi="汉仪书宋二简" w:hint="eastAsia"/>
                                  <w:color w:val="000000"/>
                                  <w:sz w:val="18"/>
                                  <w:szCs w:val="18"/>
                                </w:rPr>
                              </w:pPr>
                              <w:r>
                                <w:rPr>
                                  <w:rFonts w:ascii="汉仪书宋二简" w:cs="汉仪书宋二简" w:hAnsi="汉仪书宋二简" w:hint="eastAsia"/>
                                  <w:color w:val="000000"/>
                                  <w:sz w:val="18"/>
                                  <w:szCs w:val="18"/>
                                </w:rPr>
                                <w:t>旧刑法典</w:t>
                              </w:r>
                            </w:p>
                          </w:txbxContent>
                        </wps:txbx>
                        <wps:bodyPr wrap="square" upright="true">
                          <a:prstTxWarp prst="textNoShape"/>
                        </wps:bodyPr>
                      </wps:wsp>
                      <wps:wsp>
                        <wps:cNvSpPr/>
                        <wps:spPr>
                          <a:xfrm rot="0">
                            <a:off x="9052" y="58372"/>
                            <a:ext cx="2045" cy="836"/>
                          </a:xfrm>
                          <a:prstGeom prst="rect"/>
                          <a:ln>
                            <a:noFill/>
                          </a:ln>
                        </wps:spPr>
                        <wps:txbx id="1034">
                          <w:txbxContent>
                            <w:p w14:paraId="29719274">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2021年3月1日</w:t>
                              </w:r>
                            </w:p>
                            <w:p w14:paraId="050C4143">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w:t>
                              </w:r>
                              <w:r>
                                <w:rPr>
                                  <w:rFonts w:ascii="汉仪书宋二简" w:cs="汉仪书宋二简" w:hAnsi="汉仪书宋二简" w:hint="eastAsia"/>
                                  <w:color w:val="000000"/>
                                  <w:spacing w:val="-6"/>
                                  <w:sz w:val="18"/>
                                  <w:szCs w:val="18"/>
                                </w:rPr>
                                <w:t>修十一</w:t>
                              </w:r>
                              <w:r>
                                <w:rPr>
                                  <w:rFonts w:ascii="汉仪书宋二简" w:cs="汉仪书宋二简" w:hAnsi="汉仪书宋二简" w:hint="eastAsia"/>
                                  <w:color w:val="000000"/>
                                  <w:spacing w:val="-6"/>
                                  <w:sz w:val="18"/>
                                  <w:szCs w:val="18"/>
                                </w:rPr>
                                <w:t>)</w:t>
                              </w:r>
                            </w:p>
                            <w:p w14:paraId="42306801">
                              <w:pPr>
                                <w:pStyle w:val="style0"/>
                                <w:spacing w:lineRule="auto" w:line="240"/>
                                <w:ind w:firstLine="0" w:firstLineChars="0"/>
                                <w:jc w:val="center"/>
                                <w:rPr>
                                  <w:rFonts w:ascii="汉仪书宋二简" w:cs="汉仪书宋二简" w:hAnsi="汉仪书宋二简" w:hint="eastAsia"/>
                                  <w:color w:val="000000"/>
                                  <w:spacing w:val="-6"/>
                                  <w:sz w:val="18"/>
                                  <w:szCs w:val="18"/>
                                </w:rPr>
                              </w:pPr>
                            </w:p>
                          </w:txbxContent>
                        </wps:txbx>
                        <wps:bodyPr wrap="square" upright="true">
                          <a:prstTxWarp prst="textNoShape"/>
                        </wps:bodyPr>
                      </wps:wsp>
                      <wps:wsp>
                        <wps:cNvSpPr/>
                        <wps:spPr>
                          <a:xfrm rot="0">
                            <a:off x="2527" y="57927"/>
                            <a:ext cx="1935" cy="888"/>
                          </a:xfrm>
                          <a:prstGeom prst="rect"/>
                          <a:ln>
                            <a:noFill/>
                          </a:ln>
                        </wps:spPr>
                        <wps:txbx id="1035">
                          <w:txbxContent>
                            <w:p w14:paraId="282FF4BB">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1997年10月1日</w:t>
                              </w:r>
                            </w:p>
                            <w:p w14:paraId="52CC6D5E">
                              <w:pPr>
                                <w:pStyle w:val="style0"/>
                                <w:spacing w:lineRule="auto" w:line="240"/>
                                <w:ind w:firstLine="0" w:firstLineChars="0"/>
                                <w:jc w:val="center"/>
                                <w:rPr>
                                  <w:rFonts w:ascii="汉仪书宋二简" w:cs="汉仪书宋二简" w:hAnsi="汉仪书宋二简" w:hint="eastAsia"/>
                                  <w:color w:val="000000"/>
                                  <w:sz w:val="18"/>
                                  <w:szCs w:val="18"/>
                                </w:rPr>
                              </w:pPr>
                              <w:r>
                                <w:rPr>
                                  <w:rFonts w:ascii="汉仪书宋二简" w:cs="汉仪书宋二简" w:hAnsi="汉仪书宋二简" w:hint="eastAsia"/>
                                  <w:color w:val="000000"/>
                                  <w:sz w:val="18"/>
                                  <w:szCs w:val="18"/>
                                </w:rPr>
                                <w:t>新刑法典</w:t>
                              </w:r>
                            </w:p>
                          </w:txbxContent>
                        </wps:txbx>
                        <wps:bodyPr wrap="square" upright="true">
                          <a:prstTxWarp prst="textNoShape"/>
                        </wps:bodyPr>
                      </wps:wsp>
                      <wps:wsp>
                        <wps:cNvSpPr/>
                        <wps:spPr>
                          <a:xfrm rot="0">
                            <a:off x="7542" y="58302"/>
                            <a:ext cx="1849" cy="888"/>
                          </a:xfrm>
                          <a:prstGeom prst="rect"/>
                          <a:ln>
                            <a:noFill/>
                          </a:ln>
                        </wps:spPr>
                        <wps:txbx id="1036">
                          <w:txbxContent>
                            <w:p w14:paraId="382D8407">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2017年11月4日</w:t>
                              </w:r>
                            </w:p>
                            <w:p w14:paraId="452ED1D7">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（修十）</w:t>
                              </w:r>
                            </w:p>
                          </w:txbxContent>
                        </wps:txbx>
                        <wps:bodyPr wrap="square" upright="true">
                          <a:prstTxWarp prst="textNoShape"/>
                        </wps:bodyPr>
                      </wps:wsp>
                      <wps:wsp>
                        <wps:cNvSpPr/>
                        <wps:spPr>
                          <a:xfrm rot="0">
                            <a:off x="6013" y="58302"/>
                            <a:ext cx="1684" cy="888"/>
                          </a:xfrm>
                          <a:prstGeom prst="rect"/>
                          <a:ln>
                            <a:noFill/>
                          </a:ln>
                        </wps:spPr>
                        <wps:txbx id="1037">
                          <w:txbxContent>
                            <w:p w14:paraId="7C9B3648">
                              <w:pPr>
                                <w:pStyle w:val="style0"/>
                                <w:spacing w:lineRule="auto" w:line="240"/>
                                <w:ind w:firstLine="0" w:firstLineChars="0"/>
                                <w:jc w:val="center"/>
                                <w:rPr>
                                  <w:rFonts w:ascii="汉仪书宋二简" w:cs="汉仪书宋二简" w:hAnsi="汉仪书宋二简" w:hint="eastAsia"/>
                                  <w:color w:val="000000"/>
                                  <w:spacing w:val="-16"/>
                                  <w:sz w:val="18"/>
                                  <w:szCs w:val="18"/>
                                </w:rPr>
                              </w:pPr>
                              <w:r>
                                <w:rPr>
                                  <w:rFonts w:ascii="汉仪书宋二简" w:cs="汉仪书宋二简" w:hAnsi="汉仪书宋二简" w:hint="eastAsia"/>
                                  <w:color w:val="000000"/>
                                  <w:spacing w:val="-16"/>
                                  <w:sz w:val="18"/>
                                  <w:szCs w:val="18"/>
                                </w:rPr>
                                <w:t>2015年11月1日</w:t>
                              </w:r>
                            </w:p>
                            <w:p w14:paraId="697E5866">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（修九）</w:t>
                              </w:r>
                            </w:p>
                          </w:txbxContent>
                        </wps:txbx>
                        <wps:bodyPr wrap="square" upright="true">
                          <a:prstTxWarp prst="textNoShape"/>
                        </wps:bodyPr>
                      </wps:wsp>
                      <wps:wsp>
                        <wps:cNvSpPr/>
                        <wps:spPr>
                          <a:xfrm rot="0">
                            <a:off x="1852"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2669"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0">
                            <a:off x="3500"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5195"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6785"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8465"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10092"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4310"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0">
                            <a:off x="5915"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0">
                            <a:off x="7595"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16200000">
                            <a:off x="2555" y="58727"/>
                            <a:ext cx="249" cy="1655"/>
                          </a:xfrm>
                          <a:prstGeom prst="leftBrace">
                            <a:avLst>
                              <a:gd name="adj1" fmla="val 33156"/>
                              <a:gd name="adj2" fmla="val 50000"/>
                            </a:avLst>
                          </a:prstGeom>
                          <a:ln cmpd="sng" cap="flat" w="12700">
                            <a:solidFill>
                              <a:srgbClr val="000000"/>
                            </a:solidFill>
                            <a:prstDash val="solid"/>
                            <a:miter/>
                            <a:headEnd len="med" w="med" type="none"/>
                            <a:tailEnd len="med" w="med" type="none"/>
                          </a:ln>
                        </wps:spPr>
                        <wps:bodyPr>
                          <a:prstTxWarp prst="textNoShape"/>
                        </wps:bodyPr>
                      </wps:wsp>
                      <wps:wsp>
                        <wps:cNvSpPr/>
                        <wps:spPr>
                          <a:xfrm rot="16200000">
                            <a:off x="7356" y="55597"/>
                            <a:ext cx="229" cy="7894"/>
                          </a:xfrm>
                          <a:prstGeom prst="leftBrace">
                            <a:avLst>
                              <a:gd name="adj1" fmla="val 33111"/>
                              <a:gd name="adj2" fmla="val 50000"/>
                            </a:avLst>
                          </a:prstGeom>
                          <a:ln cmpd="sng" cap="flat" w="12700">
                            <a:solidFill>
                              <a:srgbClr val="000000"/>
                            </a:solidFill>
                            <a:prstDash val="solid"/>
                            <a:miter/>
                            <a:headEnd len="med" w="med" type="none"/>
                            <a:tailEnd len="med" w="med" type="none"/>
                          </a:ln>
                        </wps:spPr>
                        <wps:bodyPr>
                          <a:prstTxWarp prst="textNoShape"/>
                        </wps:bodyPr>
                      </wps:wsp>
                      <wps:wsp>
                        <wps:cNvSpPr/>
                        <wps:spPr>
                          <a:xfrm rot="0">
                            <a:off x="11212" y="59366"/>
                            <a:ext cx="452" cy="293"/>
                          </a:xfrm>
                          <a:prstGeom prst="rect"/>
                          <a:solidFill>
                            <a:srgbClr val="ffffff"/>
                          </a:solidFill>
                          <a:ln>
                            <a:noFill/>
                          </a:ln>
                        </wps:spPr>
                        <wps:bodyPr>
                          <a:prstTxWarp prst="textNoShape"/>
                        </wps:bodyPr>
                      </wps:wsp>
                      <wps:wsp>
                        <wps:cNvSpPr/>
                        <wps:spPr>
                          <a:xfrm rot="0">
                            <a:off x="9271"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0">
                            <a:off x="11622" y="59171"/>
                            <a:ext cx="0" cy="195"/>
                          </a:xfrm>
                          <a:prstGeom prst="line"/>
                          <a:ln cmpd="sng" cap="flat" w="12700">
                            <a:solidFill>
                              <a:srgbClr val="000000"/>
                            </a:solidFill>
                            <a:prstDash val="solid"/>
                            <a:miter/>
                            <a:headEnd len="med" w="med" type="none"/>
                            <a:tailEnd len="med" w="med" type="none"/>
                          </a:ln>
                        </wps:spPr>
                        <wps:bodyPr>
                          <a:prstTxWarp prst="textNoShape"/>
                        </wps:bodyPr>
                      </wps:wsp>
                      <wps:wsp>
                        <wps:cNvSpPr/>
                        <wps:spPr>
                          <a:xfrm rot="0">
                            <a:off x="10968" y="59208"/>
                            <a:ext cx="120" cy="120"/>
                          </a:xfrm>
                          <a:prstGeom prst="ellipse"/>
                          <a:ln cmpd="sng" cap="flat" w="12700">
                            <a:solidFill>
                              <a:srgbClr val="000000"/>
                            </a:solidFill>
                            <a:prstDash val="solid"/>
                            <a:miter/>
                            <a:headEnd len="med" w="med" type="none"/>
                            <a:tailEnd len="med" w="med" type="none"/>
                          </a:ln>
                        </wps:spPr>
                        <wps:bodyPr>
                          <a:prstTxWarp prst="textNoShape"/>
                        </wps:bodyPr>
                      </wps:wsp>
                      <wps:wsp>
                        <wps:cNvSpPr/>
                        <wps:spPr>
                          <a:xfrm rot="0">
                            <a:off x="10766" y="58372"/>
                            <a:ext cx="1802" cy="836"/>
                          </a:xfrm>
                          <a:prstGeom prst="rect"/>
                          <a:ln>
                            <a:noFill/>
                          </a:ln>
                        </wps:spPr>
                        <wps:txbx id="1054">
                          <w:txbxContent>
                            <w:p w14:paraId="65340E23">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color w:val="000000"/>
                                  <w:spacing w:val="-6"/>
                                  <w:sz w:val="18"/>
                                  <w:szCs w:val="18"/>
                                </w:rPr>
                                <w:t>2024</w:t>
                              </w:r>
                              <w:r>
                                <w:rPr>
                                  <w:rFonts w:ascii="汉仪书宋二简" w:cs="汉仪书宋二简" w:hAnsi="汉仪书宋二简" w:hint="eastAsia"/>
                                  <w:color w:val="000000"/>
                                  <w:spacing w:val="-6"/>
                                  <w:sz w:val="18"/>
                                  <w:szCs w:val="18"/>
                                </w:rPr>
                                <w:t>年</w:t>
                              </w:r>
                              <w:r>
                                <w:rPr>
                                  <w:rFonts w:ascii="汉仪书宋二简" w:cs="汉仪书宋二简" w:hAnsi="汉仪书宋二简"/>
                                  <w:color w:val="000000"/>
                                  <w:spacing w:val="-6"/>
                                  <w:sz w:val="18"/>
                                  <w:szCs w:val="18"/>
                                </w:rPr>
                                <w:t>3月1日</w:t>
                              </w:r>
                            </w:p>
                            <w:p w14:paraId="190F3DFE">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(修十二)</w:t>
                              </w:r>
                            </w:p>
                            <w:p w14:paraId="78C9F49D">
                              <w:pPr>
                                <w:pStyle w:val="style0"/>
                                <w:spacing w:lineRule="auto" w:line="240"/>
                                <w:ind w:firstLine="0" w:firstLineChars="0"/>
                                <w:jc w:val="center"/>
                                <w:rPr>
                                  <w:rFonts w:ascii="汉仪书宋二简" w:cs="汉仪书宋二简" w:hAnsi="汉仪书宋二简" w:hint="eastAsia"/>
                                  <w:color w:val="000000"/>
                                  <w:spacing w:val="-6"/>
                                  <w:sz w:val="18"/>
                                  <w:szCs w:val="18"/>
                                </w:rPr>
                              </w:pPr>
                            </w:p>
                          </w:txbxContent>
                        </wps:txbx>
                        <wps:bodyPr wrap="square" upright="true">
                          <a:prstTxWarp prst="textNoShape"/>
                        </wps:bodyPr>
                      </wps:wsp>
                    </wpg:wgp>
                  </a:graphicData>
                </a:graphic>
                <wp14:sizeRelH relativeFrom="margin">
                  <wp14:pctWidth>0</wp14:pctWidth>
                </wp14:sizeRelH>
                <wp14:sizeRelV relativeFrom="margin">
                  <wp14:pctHeight>0</wp14:pctHeight>
                </wp14:sizeRelV>
              </wp:anchor>
            </w:drawing>
          </mc:Choice>
          <mc:Fallback>
            <w:pict>
              <v:group id="1026" filled="f" stroked="f" style="position:absolute;margin-left:-68.4pt;margin-top:24.35pt;width:548.49pt;height:144.21pt;z-index:2;mso-position-horizontal-relative:text;mso-position-vertical-relative:text;mso-width-percent:0;mso-height-percent:0;mso-width-relative:margin;mso-height-relative:margin;mso-wrap-distance-left:0.0pt;mso-wrap-distance-right:0.0pt;visibility:visible;" coordsize="11625,3113" coordorigin="943,57067">
                <v:shapetype id="_x0000_t32" coordsize="21600,21600" o:spt="32" o:oned="t" path="m,l21600,21600e">
                  <v:path arrowok="t" fillok="f" o:connecttype="none"/>
                  <o:lock v:ext="edit" shapetype="t"/>
                </v:shapetype>
                <v:shape id="1027" type="#_x0000_t32" filled="f" style="position:absolute;left:1183;top:59268;width:11042;height:0;z-index:2;mso-position-horizontal-relative:page;mso-position-vertical-relative:page;mso-width-relative:page;mso-height-relative:page;visibility:visible;">
                  <v:stroke endarrow="open" joinstyle="miter" weight="1.0pt"/>
                  <v:fill/>
                </v:shape>
                <v:rect id="1028" filled="f" stroked="f" style="position:absolute;left:1391;top:59696;width:2584;height:484;z-index:3;mso-position-horizontal-relative:page;mso-position-vertical-relative:page;mso-width-relative:page;mso-height-relative:page;visibility:visible;">
                  <v:stroke on="f" weight="0.5pt"/>
                  <v:fill/>
                  <v:textbox>
                    <w:txbxContent>
                      <w:p w14:paraId="3A41508F">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中黑简" w:cs="汉仪书宋二简" w:eastAsia="汉仪中黑简" w:hAnsi="汉仪书宋二简" w:hint="eastAsia"/>
                            <w:color w:val="000000"/>
                            <w:szCs w:val="24"/>
                          </w:rPr>
                          <w:t>1979年刑</w:t>
                        </w:r>
                        <w:r>
                          <w:rPr>
                            <w:rFonts w:ascii="汉仪书宋二简" w:cs="汉仪书宋二简" w:eastAsia="汉仪中黑简" w:hAnsi="汉仪书宋二简" w:hint="eastAsia"/>
                            <w:color w:val="000000"/>
                            <w:szCs w:val="24"/>
                          </w:rPr>
                          <w:t>法有效期</w:t>
                        </w:r>
                      </w:p>
                    </w:txbxContent>
                  </v:textbox>
                </v:rect>
                <v:rect id="1029" filled="f" stroked="f" style="position:absolute;left:6103;top:59696;width:2584;height:484;z-index:4;mso-position-horizontal-relative:page;mso-position-vertical-relative:page;mso-width-relative:page;mso-height-relative:page;visibility:visible;">
                  <v:stroke on="f" weight="0.5pt"/>
                  <v:fill/>
                  <v:textbox>
                    <w:txbxContent>
                      <w:p w14:paraId="2EFCFA89">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中黑简" w:cs="汉仪书宋二简" w:eastAsia="汉仪中黑简" w:hAnsi="汉仪书宋二简" w:hint="eastAsia"/>
                            <w:bCs/>
                            <w:color w:val="000000"/>
                            <w:szCs w:val="24"/>
                          </w:rPr>
                          <w:t>1997年</w:t>
                        </w:r>
                        <w:r>
                          <w:rPr>
                            <w:rFonts w:ascii="汉仪书宋二简" w:cs="汉仪书宋二简" w:eastAsia="汉仪中黑简" w:hAnsi="汉仪书宋二简" w:hint="eastAsia"/>
                            <w:color w:val="000000"/>
                            <w:szCs w:val="24"/>
                          </w:rPr>
                          <w:t>刑法有效期</w:t>
                        </w:r>
                      </w:p>
                    </w:txbxContent>
                  </v:textbox>
                </v:rect>
                <v:rect id="1030" filled="f" stroked="f" style="position:absolute;left:1402;top:57067;width:2584;height:888;z-index:5;mso-position-horizontal-relative:page;mso-position-vertical-relative:page;mso-width-relative:page;mso-height-relative:page;visibility:visible;">
                  <v:stroke on="f" weight="0.5pt"/>
                  <v:fill/>
                  <v:textbox>
                    <w:txbxContent>
                      <w:p w14:paraId="17A392F4">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rPr>
                          <w:t>行为时法</w:t>
                        </w:r>
                      </w:p>
                      <w:p w14:paraId="79495801">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rPr>
                          <w:t>（旧法）</w:t>
                        </w:r>
                      </w:p>
                    </w:txbxContent>
                  </v:textbox>
                </v:rect>
                <v:rect id="1031" filled="f" stroked="f" style="position:absolute;left:4762;top:57067;width:2584;height:888;z-index:6;mso-position-horizontal-relative:page;mso-position-vertical-relative:page;mso-width-relative:page;mso-height-relative:page;visibility:visible;">
                  <v:stroke on="f" weight="0.5pt"/>
                  <v:fill/>
                  <v:textbox>
                    <w:txbxContent>
                      <w:p w14:paraId="69BFA225">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szCs w:val="24"/>
                          </w:rPr>
                          <w:t>审判时法</w:t>
                        </w:r>
                      </w:p>
                      <w:p w14:paraId="77BC4CB1">
                        <w:pPr>
                          <w:pStyle w:val="style0"/>
                          <w:spacing w:lineRule="auto" w:line="240"/>
                          <w:ind w:firstLine="0" w:firstLineChars="0"/>
                          <w:jc w:val="center"/>
                          <w:rPr>
                            <w:rFonts w:ascii="汉仪书宋二简" w:cs="汉仪书宋二简" w:eastAsia="汉仪中黑简" w:hAnsi="汉仪书宋二简" w:hint="eastAsia"/>
                            <w:color w:val="000000"/>
                            <w:szCs w:val="24"/>
                          </w:rPr>
                        </w:pPr>
                        <w:r>
                          <w:rPr>
                            <w:rFonts w:ascii="汉仪书宋二简" w:cs="汉仪书宋二简" w:eastAsia="汉仪中黑简" w:hAnsi="汉仪书宋二简" w:hint="eastAsia"/>
                            <w:color w:val="000000"/>
                            <w:szCs w:val="24"/>
                          </w:rPr>
                          <w:t>（新法）</w:t>
                        </w:r>
                      </w:p>
                    </w:txbxContent>
                  </v:textbox>
                </v:rect>
                <v:rect id="1032" filled="f" stroked="f" style="position:absolute;left:4192;top:58302;width:1960;height:888;z-index:7;mso-position-horizontal-relative:page;mso-position-vertical-relative:page;mso-width-relative:page;mso-height-relative:page;visibility:visible;">
                  <v:stroke on="f" weight="0.5pt"/>
                  <v:fill/>
                  <v:textbox>
                    <w:txbxContent>
                      <w:p w14:paraId="0D4E6EEA">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2011年5月1日</w:t>
                        </w:r>
                      </w:p>
                      <w:p w14:paraId="1501AC2D">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（修八）</w:t>
                        </w:r>
                      </w:p>
                    </w:txbxContent>
                  </v:textbox>
                </v:rect>
                <v:rect id="1033" filled="f" stroked="f" style="position:absolute;left:943;top:57927;width:1729;height:888;z-index:8;mso-position-horizontal-relative:page;mso-position-vertical-relative:page;mso-width-relative:page;mso-height-relative:page;visibility:visible;">
                  <v:stroke on="f" weight="0.5pt"/>
                  <v:fill/>
                  <v:textbox>
                    <w:txbxContent>
                      <w:p w14:paraId="62D8831D">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1980年1月1日</w:t>
                        </w:r>
                      </w:p>
                      <w:p w14:paraId="272AE972">
                        <w:pPr>
                          <w:pStyle w:val="style0"/>
                          <w:spacing w:lineRule="auto" w:line="240"/>
                          <w:ind w:firstLine="0" w:firstLineChars="0"/>
                          <w:jc w:val="center"/>
                          <w:rPr>
                            <w:rFonts w:ascii="汉仪书宋二简" w:cs="汉仪书宋二简" w:hAnsi="汉仪书宋二简" w:hint="eastAsia"/>
                            <w:color w:val="000000"/>
                            <w:sz w:val="18"/>
                            <w:szCs w:val="18"/>
                          </w:rPr>
                        </w:pPr>
                        <w:r>
                          <w:rPr>
                            <w:rFonts w:ascii="汉仪书宋二简" w:cs="汉仪书宋二简" w:hAnsi="汉仪书宋二简" w:hint="eastAsia"/>
                            <w:color w:val="000000"/>
                            <w:sz w:val="18"/>
                            <w:szCs w:val="18"/>
                          </w:rPr>
                          <w:t>旧刑法典</w:t>
                        </w:r>
                      </w:p>
                    </w:txbxContent>
                  </v:textbox>
                </v:rect>
                <v:rect id="1034" filled="f" stroked="f" style="position:absolute;left:9052;top:58372;width:2045;height:836;z-index:9;mso-position-horizontal-relative:page;mso-position-vertical-relative:page;mso-width-relative:page;mso-height-relative:page;visibility:visible;">
                  <v:stroke on="f" weight="0.5pt"/>
                  <v:fill/>
                  <v:textbox>
                    <w:txbxContent>
                      <w:p w14:paraId="29719274">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2021年3月1日</w:t>
                        </w:r>
                      </w:p>
                      <w:p w14:paraId="050C4143">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w:t>
                        </w:r>
                        <w:r>
                          <w:rPr>
                            <w:rFonts w:ascii="汉仪书宋二简" w:cs="汉仪书宋二简" w:hAnsi="汉仪书宋二简" w:hint="eastAsia"/>
                            <w:color w:val="000000"/>
                            <w:spacing w:val="-6"/>
                            <w:sz w:val="18"/>
                            <w:szCs w:val="18"/>
                          </w:rPr>
                          <w:t>修十一</w:t>
                        </w:r>
                        <w:r>
                          <w:rPr>
                            <w:rFonts w:ascii="汉仪书宋二简" w:cs="汉仪书宋二简" w:hAnsi="汉仪书宋二简" w:hint="eastAsia"/>
                            <w:color w:val="000000"/>
                            <w:spacing w:val="-6"/>
                            <w:sz w:val="18"/>
                            <w:szCs w:val="18"/>
                          </w:rPr>
                          <w:t>)</w:t>
                        </w:r>
                      </w:p>
                      <w:p w14:paraId="42306801">
                        <w:pPr>
                          <w:pStyle w:val="style0"/>
                          <w:spacing w:lineRule="auto" w:line="240"/>
                          <w:ind w:firstLine="0" w:firstLineChars="0"/>
                          <w:jc w:val="center"/>
                          <w:rPr>
                            <w:rFonts w:ascii="汉仪书宋二简" w:cs="汉仪书宋二简" w:hAnsi="汉仪书宋二简" w:hint="eastAsia"/>
                            <w:color w:val="000000"/>
                            <w:spacing w:val="-6"/>
                            <w:sz w:val="18"/>
                            <w:szCs w:val="18"/>
                          </w:rPr>
                        </w:pPr>
                      </w:p>
                    </w:txbxContent>
                  </v:textbox>
                </v:rect>
                <v:rect id="1035" filled="f" stroked="f" style="position:absolute;left:2527;top:57927;width:1935;height:888;z-index:10;mso-position-horizontal-relative:page;mso-position-vertical-relative:page;mso-width-relative:page;mso-height-relative:page;visibility:visible;">
                  <v:stroke on="f" weight="0.5pt"/>
                  <v:fill/>
                  <v:textbox>
                    <w:txbxContent>
                      <w:p w14:paraId="282FF4BB">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1997年10月1日</w:t>
                        </w:r>
                      </w:p>
                      <w:p w14:paraId="52CC6D5E">
                        <w:pPr>
                          <w:pStyle w:val="style0"/>
                          <w:spacing w:lineRule="auto" w:line="240"/>
                          <w:ind w:firstLine="0" w:firstLineChars="0"/>
                          <w:jc w:val="center"/>
                          <w:rPr>
                            <w:rFonts w:ascii="汉仪书宋二简" w:cs="汉仪书宋二简" w:hAnsi="汉仪书宋二简" w:hint="eastAsia"/>
                            <w:color w:val="000000"/>
                            <w:sz w:val="18"/>
                            <w:szCs w:val="18"/>
                          </w:rPr>
                        </w:pPr>
                        <w:r>
                          <w:rPr>
                            <w:rFonts w:ascii="汉仪书宋二简" w:cs="汉仪书宋二简" w:hAnsi="汉仪书宋二简" w:hint="eastAsia"/>
                            <w:color w:val="000000"/>
                            <w:sz w:val="18"/>
                            <w:szCs w:val="18"/>
                          </w:rPr>
                          <w:t>新刑法典</w:t>
                        </w:r>
                      </w:p>
                    </w:txbxContent>
                  </v:textbox>
                </v:rect>
                <v:rect id="1036" filled="f" stroked="f" style="position:absolute;left:7542;top:58302;width:1849;height:888;z-index:11;mso-position-horizontal-relative:page;mso-position-vertical-relative:page;mso-width-relative:page;mso-height-relative:page;visibility:visible;">
                  <v:stroke on="f" weight="0.5pt"/>
                  <v:fill/>
                  <v:textbox>
                    <w:txbxContent>
                      <w:p w14:paraId="382D8407">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2017年11月4日</w:t>
                        </w:r>
                      </w:p>
                      <w:p w14:paraId="452ED1D7">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（修十）</w:t>
                        </w:r>
                      </w:p>
                    </w:txbxContent>
                  </v:textbox>
                </v:rect>
                <v:rect id="1037" filled="f" stroked="f" style="position:absolute;left:6013;top:58302;width:1684;height:888;z-index:12;mso-position-horizontal-relative:page;mso-position-vertical-relative:page;mso-width-relative:page;mso-height-relative:page;visibility:visible;">
                  <v:stroke on="f" weight="0.5pt"/>
                  <v:fill/>
                  <v:textbox>
                    <w:txbxContent>
                      <w:p w14:paraId="7C9B3648">
                        <w:pPr>
                          <w:pStyle w:val="style0"/>
                          <w:spacing w:lineRule="auto" w:line="240"/>
                          <w:ind w:firstLine="0" w:firstLineChars="0"/>
                          <w:jc w:val="center"/>
                          <w:rPr>
                            <w:rFonts w:ascii="汉仪书宋二简" w:cs="汉仪书宋二简" w:hAnsi="汉仪书宋二简" w:hint="eastAsia"/>
                            <w:color w:val="000000"/>
                            <w:spacing w:val="-16"/>
                            <w:sz w:val="18"/>
                            <w:szCs w:val="18"/>
                          </w:rPr>
                        </w:pPr>
                        <w:r>
                          <w:rPr>
                            <w:rFonts w:ascii="汉仪书宋二简" w:cs="汉仪书宋二简" w:hAnsi="汉仪书宋二简" w:hint="eastAsia"/>
                            <w:color w:val="000000"/>
                            <w:spacing w:val="-16"/>
                            <w:sz w:val="18"/>
                            <w:szCs w:val="18"/>
                          </w:rPr>
                          <w:t>2015年11月1日</w:t>
                        </w:r>
                      </w:p>
                      <w:p w14:paraId="697E5866">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（修九）</w:t>
                        </w:r>
                      </w:p>
                    </w:txbxContent>
                  </v:textbox>
                </v:rect>
                <v:line id="1038" filled="f" stroked="t" from="1852.0pt,59171.0pt" to="1852.0pt,59366.0pt" style="position:absolute;z-index:13;mso-position-horizontal-relative:page;mso-position-vertical-relative:page;mso-width-relative:page;mso-height-relative:page;visibility:visible;">
                  <v:stroke joinstyle="miter" weight="1.0pt"/>
                  <v:fill/>
                </v:line>
                <v:oval id="1039" filled="f" stroked="t" style="position:absolute;left:2669;top:59208;width:120;height:120;z-index:14;mso-position-horizontal-relative:page;mso-position-vertical-relative:page;mso-width-relative:page;mso-height-relative:page;visibility:visible;">
                  <v:stroke joinstyle="miter" weight="1.0pt"/>
                  <v:fill/>
                </v:oval>
                <v:line id="1040" filled="f" stroked="t" from="3500.0pt,59171.0pt" to="3500.0pt,59366.0pt" style="position:absolute;z-index:15;mso-position-horizontal-relative:page;mso-position-vertical-relative:page;mso-width-relative:page;mso-height-relative:page;visibility:visible;">
                  <v:stroke joinstyle="miter" weight="1.0pt"/>
                  <v:fill/>
                </v:line>
                <v:line id="1041" filled="f" stroked="t" from="5195.0pt,59171.0pt" to="5195.0pt,59366.0pt" style="position:absolute;z-index:16;mso-position-horizontal-relative:page;mso-position-vertical-relative:page;mso-width-relative:page;mso-height-relative:page;visibility:visible;">
                  <v:stroke joinstyle="miter" weight="1.0pt"/>
                  <v:fill/>
                </v:line>
                <v:line id="1042" filled="f" stroked="t" from="6785.0pt,59171.0pt" to="6785.0pt,59366.0pt" style="position:absolute;z-index:17;mso-position-horizontal-relative:page;mso-position-vertical-relative:page;mso-width-relative:page;mso-height-relative:page;visibility:visible;">
                  <v:stroke joinstyle="miter" weight="1.0pt"/>
                  <v:fill/>
                </v:line>
                <v:line id="1043" filled="f" stroked="t" from="8465.0pt,59171.0pt" to="8465.0pt,59366.0pt" style="position:absolute;z-index:18;mso-position-horizontal-relative:page;mso-position-vertical-relative:page;mso-width-relative:page;mso-height-relative:page;visibility:visible;">
                  <v:stroke joinstyle="miter" weight="1.0pt"/>
                  <v:fill/>
                </v:line>
                <v:line id="1044" filled="f" stroked="t" from="10092.0pt,59171.0pt" to="10092.0pt,59366.0pt" style="position:absolute;z-index:19;mso-position-horizontal-relative:page;mso-position-vertical-relative:page;mso-width-relative:page;mso-height-relative:page;visibility:visible;">
                  <v:stroke joinstyle="miter" weight="1.0pt"/>
                  <v:fill/>
                </v:line>
                <v:oval id="1045" filled="f" stroked="t" style="position:absolute;left:4310;top:59208;width:120;height:120;z-index:20;mso-position-horizontal-relative:page;mso-position-vertical-relative:page;mso-width-relative:page;mso-height-relative:page;visibility:visible;">
                  <v:stroke joinstyle="miter" weight="1.0pt"/>
                  <v:fill/>
                </v:oval>
                <v:oval id="1046" filled="f" stroked="t" style="position:absolute;left:5915;top:59208;width:120;height:120;z-index:21;mso-position-horizontal-relative:page;mso-position-vertical-relative:page;mso-width-relative:page;mso-height-relative:page;visibility:visible;">
                  <v:stroke joinstyle="miter" weight="1.0pt"/>
                  <v:fill/>
                </v:oval>
                <v:oval id="1047" filled="f" stroked="t" style="position:absolute;left:7595;top:59208;width:120;height:120;z-index:22;mso-position-horizontal-relative:page;mso-position-vertical-relative:page;mso-width-relative:page;mso-height-relative:page;visibility:visible;">
                  <v:stroke joinstyle="miter" weight="1.0pt"/>
                  <v:fill/>
                </v:oval>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1048" type="#_x0000_t87" adj="1077,10800," style="position:absolute;left:2555;top:58727;width:249;height:1655;z-index:23;mso-position-horizontal-relative:page;mso-position-vertical-relative:page;mso-width-relative:page;mso-height-relative:page;visibility:visible;rotation:-5898240fd;">
                  <v:stroke joinstyle="miter" weight="1.0pt"/>
                  <v:fill/>
                </v:shape>
                <v:shape id="1049" type="#_x0000_t87" adj="207,10800," style="position:absolute;left:7356;top:55597;width:229;height:7894;z-index:24;mso-position-horizontal-relative:page;mso-position-vertical-relative:page;mso-width-relative:page;mso-height-relative:page;visibility:visible;rotation:-5898240fd;">
                  <v:stroke joinstyle="miter" weight="1.0pt"/>
                  <v:fill/>
                </v:shape>
                <v:rect id="1050" fillcolor="white" stroked="f" style="position:absolute;left:11212;top:59366;width:452;height:293;z-index:25;mso-position-horizontal-relative:page;mso-position-vertical-relative:page;mso-width-relative:page;mso-height-relative:page;visibility:visible;">
                  <v:stroke on="f" weight="1.0pt"/>
                  <v:fill/>
                </v:rect>
                <v:oval id="1051" filled="f" stroked="t" style="position:absolute;left:9271;top:59208;width:120;height:120;z-index:26;mso-position-horizontal-relative:page;mso-position-vertical-relative:page;mso-width-relative:page;mso-height-relative:page;visibility:visible;">
                  <v:stroke joinstyle="miter" weight="1.0pt"/>
                  <v:fill/>
                </v:oval>
                <v:line id="1052" filled="f" stroked="t" from="11622.0pt,59171.0pt" to="11622.0pt,59366.0pt" style="position:absolute;z-index:27;mso-position-horizontal-relative:page;mso-position-vertical-relative:page;mso-width-relative:page;mso-height-relative:page;visibility:visible;">
                  <v:stroke joinstyle="miter" weight="1.0pt"/>
                  <v:fill/>
                </v:line>
                <v:oval id="1053" filled="f" stroked="t" style="position:absolute;left:10968;top:59208;width:120;height:120;z-index:28;mso-position-horizontal-relative:page;mso-position-vertical-relative:page;mso-width-relative:page;mso-height-relative:page;visibility:visible;">
                  <v:stroke joinstyle="miter" weight="1.0pt"/>
                  <v:fill/>
                </v:oval>
                <v:rect id="1054" filled="f" stroked="f" style="position:absolute;left:10766;top:58372;width:1802;height:836;z-index:29;mso-position-horizontal-relative:page;mso-position-vertical-relative:page;mso-width-relative:page;mso-height-relative:page;visibility:visible;">
                  <v:stroke on="f" weight="0.5pt"/>
                  <v:fill/>
                  <v:textbox>
                    <w:txbxContent>
                      <w:p w14:paraId="65340E23">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color w:val="000000"/>
                            <w:spacing w:val="-6"/>
                            <w:sz w:val="18"/>
                            <w:szCs w:val="18"/>
                          </w:rPr>
                          <w:t>2024</w:t>
                        </w:r>
                        <w:r>
                          <w:rPr>
                            <w:rFonts w:ascii="汉仪书宋二简" w:cs="汉仪书宋二简" w:hAnsi="汉仪书宋二简" w:hint="eastAsia"/>
                            <w:color w:val="000000"/>
                            <w:spacing w:val="-6"/>
                            <w:sz w:val="18"/>
                            <w:szCs w:val="18"/>
                          </w:rPr>
                          <w:t>年</w:t>
                        </w:r>
                        <w:r>
                          <w:rPr>
                            <w:rFonts w:ascii="汉仪书宋二简" w:cs="汉仪书宋二简" w:hAnsi="汉仪书宋二简"/>
                            <w:color w:val="000000"/>
                            <w:spacing w:val="-6"/>
                            <w:sz w:val="18"/>
                            <w:szCs w:val="18"/>
                          </w:rPr>
                          <w:t>3月1日</w:t>
                        </w:r>
                      </w:p>
                      <w:p w14:paraId="190F3DFE">
                        <w:pPr>
                          <w:pStyle w:val="style0"/>
                          <w:spacing w:lineRule="auto" w:line="240"/>
                          <w:ind w:firstLine="0" w:firstLineChars="0"/>
                          <w:jc w:val="center"/>
                          <w:rPr>
                            <w:rFonts w:ascii="汉仪书宋二简" w:cs="汉仪书宋二简" w:hAnsi="汉仪书宋二简" w:hint="eastAsia"/>
                            <w:color w:val="000000"/>
                            <w:spacing w:val="-6"/>
                            <w:sz w:val="18"/>
                            <w:szCs w:val="18"/>
                          </w:rPr>
                        </w:pPr>
                        <w:r>
                          <w:rPr>
                            <w:rFonts w:ascii="汉仪书宋二简" w:cs="汉仪书宋二简" w:hAnsi="汉仪书宋二简" w:hint="eastAsia"/>
                            <w:color w:val="000000"/>
                            <w:spacing w:val="-6"/>
                            <w:sz w:val="18"/>
                            <w:szCs w:val="18"/>
                          </w:rPr>
                          <w:t>(修十二)</w:t>
                        </w:r>
                      </w:p>
                      <w:p w14:paraId="78C9F49D">
                        <w:pPr>
                          <w:pStyle w:val="style0"/>
                          <w:spacing w:lineRule="auto" w:line="240"/>
                          <w:ind w:firstLine="0" w:firstLineChars="0"/>
                          <w:jc w:val="center"/>
                          <w:rPr>
                            <w:rFonts w:ascii="汉仪书宋二简" w:cs="汉仪书宋二简" w:hAnsi="汉仪书宋二简" w:hint="eastAsia"/>
                            <w:color w:val="000000"/>
                            <w:spacing w:val="-6"/>
                            <w:sz w:val="18"/>
                            <w:szCs w:val="18"/>
                          </w:rPr>
                        </w:pPr>
                      </w:p>
                    </w:txbxContent>
                  </v:textbox>
                </v:rect>
                <v:fill/>
              </v:group>
            </w:pict>
          </mc:Fallback>
        </mc:AlternateContent>
      </w:r>
    </w:p>
    <w:p w14:paraId="5147347B">
      <w:pPr>
        <w:pStyle w:val="style0"/>
        <w:spacing w:lineRule="exact" w:line="400"/>
        <w:ind w:firstLine="420"/>
        <w:rPr>
          <w:rFonts w:hint="eastAsia"/>
        </w:rPr>
      </w:pPr>
    </w:p>
    <w:p w14:paraId="33B5422E">
      <w:pPr>
        <w:pStyle w:val="style0"/>
        <w:spacing w:lineRule="exact" w:line="400"/>
        <w:ind w:firstLine="420"/>
        <w:rPr>
          <w:rFonts w:hint="eastAsia"/>
        </w:rPr>
      </w:pPr>
    </w:p>
    <w:p w14:paraId="4BB89CFA">
      <w:pPr>
        <w:pStyle w:val="style0"/>
        <w:spacing w:lineRule="exact" w:line="400"/>
        <w:ind w:firstLine="420"/>
        <w:rPr>
          <w:rFonts w:hint="eastAsia"/>
        </w:rPr>
      </w:pPr>
    </w:p>
    <w:p w14:paraId="046AFA7E">
      <w:pPr>
        <w:pStyle w:val="style0"/>
        <w:spacing w:lineRule="exact" w:line="400"/>
        <w:ind w:firstLine="420"/>
        <w:rPr>
          <w:rFonts w:hint="eastAsia"/>
        </w:rPr>
      </w:pPr>
    </w:p>
    <w:p w14:paraId="171854D2">
      <w:pPr>
        <w:pStyle w:val="style0"/>
        <w:spacing w:lineRule="exact" w:line="400"/>
        <w:ind w:firstLine="420"/>
        <w:rPr>
          <w:rFonts w:hint="eastAsia"/>
        </w:rPr>
      </w:pPr>
    </w:p>
    <w:p w14:paraId="1B7AB3BD">
      <w:pPr>
        <w:pStyle w:val="style0"/>
        <w:spacing w:lineRule="exact" w:line="400"/>
        <w:ind w:firstLine="420"/>
        <w:rPr>
          <w:rFonts w:hint="eastAsia"/>
        </w:rPr>
      </w:pPr>
    </w:p>
    <w:p w14:paraId="4D4E1D05">
      <w:pPr>
        <w:pStyle w:val="style0"/>
        <w:spacing w:lineRule="exact" w:line="400"/>
        <w:ind w:firstLine="420"/>
        <w:rPr>
          <w:rFonts w:hint="eastAsia"/>
        </w:rPr>
      </w:pPr>
    </w:p>
    <w:p w14:paraId="48BC2DF8">
      <w:pPr>
        <w:pStyle w:val="style0"/>
        <w:spacing w:lineRule="exact" w:line="400"/>
        <w:ind w:firstLine="420"/>
        <w:rPr>
          <w:rFonts w:hint="eastAsia"/>
        </w:rPr>
      </w:pPr>
    </w:p>
    <w:p w14:paraId="763C652C">
      <w:pPr>
        <w:pStyle w:val="style0"/>
        <w:spacing w:lineRule="exact" w:line="400"/>
        <w:ind w:firstLine="420"/>
        <w:rPr>
          <w:rFonts w:hint="eastAsia"/>
        </w:rPr>
      </w:pPr>
    </w:p>
    <w:p w14:paraId="06024046">
      <w:pPr>
        <w:pStyle w:val="style0"/>
        <w:spacing w:lineRule="exact" w:line="400"/>
        <w:ind w:firstLine="420"/>
        <w:jc w:val="left"/>
        <w:rPr>
          <w:rFonts w:ascii="汉仪书宋二简" w:cs="汉仪书宋二简" w:hAnsi="汉仪书宋二简" w:hint="eastAsia"/>
          <w:kern w:val="0"/>
        </w:rPr>
      </w:pPr>
      <w:r>
        <w:rPr>
          <w:rFonts w:ascii="汉仪中黑简" w:cs="汉仪书宋二简" w:eastAsia="汉仪中黑简" w:hAnsi="汉仪书宋二简" w:hint="eastAsia"/>
          <w:kern w:val="0"/>
        </w:rPr>
        <w:t>1．“从旧兼从轻”适用于</w:t>
      </w:r>
      <w:r>
        <w:rPr>
          <w:rFonts w:ascii="汉仪中黑简" w:cs="汉仪书宋二简" w:eastAsia="汉仪中黑简" w:hAnsi="汉仪书宋二简" w:hint="eastAsia"/>
          <w:color w:val="ff0000"/>
          <w:kern w:val="0"/>
        </w:rPr>
        <w:t>未决案</w:t>
      </w:r>
      <w:r>
        <w:rPr>
          <w:rFonts w:ascii="汉仪中黑简" w:cs="汉仪书宋二简" w:eastAsia="汉仪中黑简" w:hAnsi="汉仪书宋二简" w:hint="eastAsia"/>
          <w:kern w:val="0"/>
        </w:rPr>
        <w:t>（未作出生效判决的案件）。</w:t>
      </w:r>
      <w:r>
        <w:rPr>
          <w:rFonts w:ascii="汉仪书宋二简" w:cs="汉仪书宋二简" w:hAnsi="汉仪书宋二简" w:hint="eastAsia"/>
          <w:kern w:val="0"/>
        </w:rPr>
        <w:t>对于正在审理或者判决未生效的案件，适用“从旧兼从轻”原则。</w:t>
      </w:r>
    </w:p>
    <w:p w14:paraId="1F687780">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2．“旧法”、“新法”的含义。</w:t>
      </w:r>
    </w:p>
    <w:p w14:paraId="05BD3A94">
      <w:pPr>
        <w:pStyle w:val="style0"/>
        <w:spacing w:lineRule="exact" w:line="400"/>
        <w:ind w:firstLine="420"/>
        <w:jc w:val="left"/>
        <w:rPr>
          <w:rFonts w:ascii="汉仪书宋二简" w:cs="汉仪书宋二简" w:hAnsi="汉仪书宋二简" w:hint="eastAsia"/>
          <w:kern w:val="0"/>
        </w:rPr>
      </w:pPr>
      <w:r>
        <w:rPr>
          <w:rFonts w:ascii="汉仪中黑简" w:cs="汉仪书宋二简" w:eastAsia="汉仪中黑简" w:hAnsi="汉仪书宋二简" w:hint="eastAsia"/>
          <w:color w:val="ff0000"/>
          <w:kern w:val="0"/>
        </w:rPr>
        <w:t>（1）“旧法”指行为时有效的刑法</w:t>
      </w:r>
      <w:r>
        <w:rPr>
          <w:rFonts w:ascii="汉仪书宋二简" w:cs="汉仪书宋二简" w:hAnsi="汉仪书宋二简" w:hint="eastAsia"/>
          <w:kern w:val="0"/>
        </w:rPr>
        <w:t>（不是专指1979年刑法），“新法”指审判时有效的刑法。</w:t>
      </w:r>
    </w:p>
    <w:p w14:paraId="477CE169">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（2）数行为组成一个制度（如累犯、数罪并罚）的，以最后一次犯罪行为时有效的刑法为行为时法（“旧法”）。</w:t>
      </w:r>
    </w:p>
    <w:p w14:paraId="1CE041FA">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hint="eastAsia"/>
          <w:kern w:val="0"/>
        </w:rPr>
        <w:t>（3）对跨越修订刑法施行日期的</w:t>
      </w:r>
      <w:r>
        <w:rPr>
          <w:rFonts w:ascii="汉仪中黑简" w:cs="汉仪书宋二简" w:eastAsia="汉仪中黑简" w:hAnsi="汉仪书宋二简" w:hint="eastAsia"/>
          <w:color w:val="ff0000"/>
          <w:kern w:val="0"/>
        </w:rPr>
        <w:t>继续犯罪、连续犯罪</w:t>
      </w:r>
      <w:r>
        <w:rPr>
          <w:rFonts w:ascii="汉仪书宋二简" w:cs="汉仪书宋二简" w:hAnsi="汉仪书宋二简" w:hint="eastAsia"/>
          <w:kern w:val="0"/>
        </w:rPr>
        <w:t>以及其他同种数罪的，适用</w:t>
      </w:r>
      <w:r>
        <w:rPr>
          <w:rFonts w:ascii="汉仪中黑简" w:cs="汉仪书宋二简" w:eastAsia="汉仪中黑简" w:hAnsi="汉仪书宋二简" w:hint="eastAsia"/>
          <w:color w:val="ff0000"/>
          <w:kern w:val="0"/>
        </w:rPr>
        <w:t>行为终了时</w:t>
      </w:r>
      <w:r>
        <w:rPr>
          <w:rFonts w:ascii="汉仪书宋二简" w:cs="汉仪书宋二简" w:hAnsi="汉仪书宋二简" w:hint="eastAsia"/>
          <w:kern w:val="0"/>
        </w:rPr>
        <w:t>、最后一次犯罪行为时的法。如果之前刑法是轻法，则可酌情从轻。</w:t>
      </w:r>
    </w:p>
    <w:p w14:paraId="624FDC93">
      <w:pPr>
        <w:pStyle w:val="style0"/>
        <w:spacing w:lineRule="exact" w:line="400"/>
        <w:ind w:firstLine="422"/>
        <w:jc w:val="left"/>
        <w:rPr>
          <w:rFonts w:ascii="汉仪书宋二简" w:cs="汉仪书宋二简" w:hAnsi="汉仪书宋二简" w:hint="eastAsia"/>
          <w:kern w:val="0"/>
        </w:rPr>
      </w:pPr>
      <w:r>
        <w:rPr>
          <w:rFonts w:ascii="汉仪书宋二简" w:cs="汉仪书宋二简" w:hAnsi="汉仪书宋二简"/>
          <w:b/>
          <w:kern w:val="0"/>
        </w:rPr>
        <w:t>3</w:t>
      </w:r>
      <w:r>
        <w:rPr>
          <w:rFonts w:ascii="汉仪书宋二简" w:cs="汉仪书宋二简" w:hAnsi="汉仪书宋二简" w:hint="eastAsia"/>
          <w:b/>
          <w:kern w:val="0"/>
        </w:rPr>
        <w:t>．“从旧兼从轻”</w:t>
      </w:r>
      <w:r>
        <w:rPr>
          <w:rFonts w:ascii="汉仪书宋二简" w:cs="汉仪书宋二简" w:hAnsi="汉仪书宋二简" w:hint="eastAsia"/>
          <w:b/>
          <w:kern w:val="0"/>
        </w:rPr>
        <w:t>含义：</w:t>
      </w:r>
      <w:r>
        <w:rPr>
          <w:rFonts w:ascii="汉仪书宋二简" w:cs="汉仪书宋二简" w:hAnsi="汉仪书宋二简" w:hint="eastAsia"/>
          <w:kern w:val="0"/>
        </w:rPr>
        <w:t>对于一行为适用刑法时，原则上应当适用</w:t>
      </w:r>
      <w:r>
        <w:rPr>
          <w:rFonts w:ascii="汉仪中黑简" w:cs="汉仪书宋二简" w:eastAsia="汉仪中黑简" w:hAnsi="汉仪书宋二简" w:hint="eastAsia"/>
          <w:color w:val="ff0000"/>
          <w:kern w:val="0"/>
        </w:rPr>
        <w:t>行为时有效的刑法（旧法）</w:t>
      </w:r>
      <w:r>
        <w:rPr>
          <w:rFonts w:ascii="汉仪书宋二简" w:cs="汉仪书宋二简" w:hAnsi="汉仪书宋二简" w:hint="eastAsia"/>
          <w:kern w:val="0"/>
        </w:rPr>
        <w:t>；但是，当适用</w:t>
      </w:r>
      <w:r>
        <w:rPr>
          <w:rFonts w:ascii="汉仪中黑简" w:cs="汉仪书宋二简" w:eastAsia="汉仪中黑简" w:hAnsi="汉仪书宋二简" w:hint="eastAsia"/>
          <w:color w:val="ff0000"/>
          <w:kern w:val="0"/>
        </w:rPr>
        <w:t>审判时有效的刑法（新法）</w:t>
      </w:r>
      <w:r>
        <w:rPr>
          <w:rFonts w:ascii="汉仪书宋二简" w:cs="汉仪书宋二简" w:hAnsi="汉仪书宋二简" w:hint="eastAsia"/>
          <w:kern w:val="0"/>
        </w:rPr>
        <w:t>，对被告人更有利时（轻法），应当适用审判时有效的刑法（轻法）。</w:t>
      </w:r>
    </w:p>
    <w:p w14:paraId="2CCDDB8E">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kern w:val="0"/>
        </w:rPr>
        <w:t>4</w:t>
      </w:r>
      <w:r>
        <w:rPr>
          <w:rFonts w:ascii="汉仪书宋二简" w:cs="汉仪书宋二简" w:hAnsi="汉仪书宋二简" w:hint="eastAsia"/>
          <w:kern w:val="0"/>
        </w:rPr>
        <w:t>．重法、轻法的比较</w:t>
      </w:r>
      <w:r>
        <w:rPr>
          <w:rFonts w:ascii="汉仪书宋二简" w:cs="汉仪书宋二简" w:hAnsi="汉仪书宋二简"/>
          <w:kern w:val="0"/>
        </w:rPr>
        <w:t>：（1）</w:t>
      </w:r>
      <w:r>
        <w:rPr>
          <w:rFonts w:ascii="汉仪书宋二简" w:cs="汉仪书宋二简" w:hAnsi="汉仪书宋二简" w:hint="eastAsia"/>
          <w:kern w:val="0"/>
        </w:rPr>
        <w:t>认为行为无罪的法是轻法，认为行为有罪的法是重法。（2）都认为行为有罪，有不同档法定刑幅度的，比较该行为对应的特定的法定刑档次；</w:t>
      </w:r>
      <w:r>
        <w:rPr>
          <w:rFonts w:ascii="汉仪中黑简" w:cs="汉仪书宋二简" w:eastAsia="汉仪中黑简" w:hAnsi="汉仪书宋二简" w:hint="eastAsia"/>
          <w:color w:val="ff0000"/>
          <w:kern w:val="0"/>
        </w:rPr>
        <w:t>法定刑最高刑高者为重法</w:t>
      </w:r>
      <w:r>
        <w:rPr>
          <w:rFonts w:ascii="汉仪书宋二简" w:cs="汉仪书宋二简" w:hAnsi="汉仪书宋二简" w:hint="eastAsia"/>
          <w:kern w:val="0"/>
        </w:rPr>
        <w:t>。（3）如法定最高刑相同，则法定刑最低刑高者为重法（《最高人民法院关于适用刑法第十二条几个问题的解释》）。</w:t>
      </w:r>
    </w:p>
    <w:p w14:paraId="706C9C7E">
      <w:pPr>
        <w:pStyle w:val="style0"/>
        <w:spacing w:lineRule="exact" w:line="400"/>
        <w:ind w:firstLine="420"/>
        <w:jc w:val="left"/>
        <w:rPr>
          <w:rFonts w:ascii="汉仪中黑简" w:cs="汉仪书宋二简" w:eastAsia="汉仪中黑简" w:hAnsi="汉仪书宋二简" w:hint="eastAsia"/>
          <w:kern w:val="0"/>
        </w:rPr>
      </w:pPr>
      <w:r>
        <w:rPr>
          <w:rFonts w:ascii="汉仪书宋二简" w:cs="汉仪书宋二简" w:hAnsi="汉仪书宋二简"/>
          <w:kern w:val="0"/>
        </w:rPr>
        <w:t>5</w:t>
      </w:r>
      <w:r>
        <w:rPr>
          <w:rFonts w:ascii="汉仪书宋二简" w:cs="汉仪书宋二简" w:hAnsi="汉仪书宋二简" w:hint="eastAsia"/>
          <w:kern w:val="0"/>
        </w:rPr>
        <w:t>．</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205FD0CE">
        <w:trPr>
          <w:jc w:val="center"/>
        </w:trPr>
        <w:tc>
          <w:tcPr>
            <w:tcW w:w="8380" w:type="dxa"/>
            <w:tcBorders/>
            <w:vAlign w:val="center"/>
          </w:tcPr>
          <w:p w14:paraId="11BC79AC">
            <w:pPr>
              <w:pStyle w:val="style0"/>
              <w:snapToGrid w:val="false"/>
              <w:spacing w:before="31" w:beforeLines="10" w:after="62" w:afterLines="20" w:lineRule="exact" w:line="400"/>
              <w:ind w:firstLine="0" w:firstLineChars="0"/>
              <w:rPr>
                <w:rFonts w:ascii="汉仪中黑简" w:eastAsia="汉仪中黑简" w:hint="eastAsia"/>
              </w:rPr>
            </w:pPr>
            <w:r>
              <w:rPr>
                <w:rFonts w:ascii="汉仪中黑简" w:eastAsia="汉仪中黑简" w:hint="eastAsia"/>
              </w:rPr>
              <w:t>适用“从旧兼从轻”原则的一般步骤</w:t>
            </w:r>
          </w:p>
          <w:p w14:paraId="0694848B">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第一步，判断案件依“旧法”（行为之时的刑法）如何定罪量刑；</w:t>
            </w:r>
          </w:p>
          <w:p w14:paraId="0AAD7FCC">
            <w:pPr>
              <w:pStyle w:val="style0"/>
              <w:snapToGrid w:val="false"/>
              <w:spacing w:before="31" w:beforeLines="10" w:after="62" w:afterLines="20" w:lineRule="exact" w:line="400"/>
              <w:ind w:firstLine="0" w:firstLineChars="0"/>
              <w:rPr>
                <w:rFonts w:ascii="汉仪书宋一简" w:eastAsia="汉仪书宋一简" w:hint="eastAsia"/>
              </w:rPr>
            </w:pPr>
            <w:r>
              <w:rPr>
                <w:rFonts w:ascii="汉仪书宋一简" w:eastAsia="汉仪书宋一简" w:hint="eastAsia"/>
              </w:rPr>
              <w:t>第二步，判断案件依“新法”（审判之时的刑法）如何定罪量刑；</w:t>
            </w:r>
          </w:p>
          <w:p w14:paraId="3D0C6A89">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eastAsia="汉仪书宋一简" w:hint="eastAsia"/>
              </w:rPr>
              <w:t>第三步，比较两种结果的轻重。谁轻就适用谁，结果一样适用旧法。</w:t>
            </w:r>
          </w:p>
        </w:tc>
      </w:tr>
    </w:tbl>
    <w:p w14:paraId="16DA29CF">
      <w:pPr>
        <w:pStyle w:val="style0"/>
        <w:spacing w:lineRule="exact" w:line="400"/>
        <w:ind w:firstLine="420"/>
        <w:jc w:val="left"/>
        <w:rPr>
          <w:rFonts w:ascii="汉仪书宋二简" w:cs="汉仪书宋二简" w:hAnsi="汉仪书宋二简" w:hint="eastAsia"/>
          <w:kern w:val="0"/>
        </w:rPr>
      </w:pPr>
    </w:p>
    <w:p w14:paraId="4A829BCD">
      <w:pPr>
        <w:pStyle w:val="style4"/>
        <w:spacing w:lineRule="exact" w:line="400"/>
        <w:ind w:firstLine="252" w:firstLineChars="120"/>
        <w:rPr>
          <w:sz w:val="21"/>
          <w:szCs w:val="21"/>
        </w:rPr>
      </w:pPr>
      <w:r>
        <w:rPr>
          <w:rFonts w:hint="eastAsia"/>
          <w:sz w:val="21"/>
          <w:szCs w:val="21"/>
        </w:rPr>
        <w:t>（二）刑法修正案的时间效力</w:t>
      </w:r>
    </w:p>
    <w:p w14:paraId="0F9FEAC2">
      <w:pPr>
        <w:pStyle w:val="style0"/>
        <w:spacing w:lineRule="exact" w:line="400"/>
        <w:ind w:firstLine="422"/>
        <w:jc w:val="left"/>
        <w:rPr>
          <w:rFonts w:ascii="汉仪书宋二简" w:cs="汉仪书宋二简" w:hAnsi="汉仪书宋二简" w:hint="eastAsia"/>
          <w:kern w:val="0"/>
        </w:rPr>
      </w:pPr>
      <w:r>
        <w:rPr>
          <w:rFonts w:ascii="汉仪书宋二简" w:cs="汉仪书宋二简" w:hAnsi="汉仪书宋二简" w:hint="eastAsia"/>
          <w:b/>
          <w:kern w:val="0"/>
        </w:rPr>
        <w:t>刑法修正案属于刑法。</w:t>
      </w:r>
      <w:r>
        <w:rPr>
          <w:rFonts w:ascii="汉仪书宋二简" w:cs="汉仪书宋二简" w:hAnsi="汉仪书宋二简" w:hint="eastAsia"/>
          <w:kern w:val="0"/>
        </w:rPr>
        <w:t>原则上按前述“从旧兼从轻”的一般步骤按三步判断：先看行为时（修正前）刑法如何定罪量刑，再看审判时（修正后）刑法如何定罪量刑，最后比较轻重。</w:t>
      </w:r>
    </w:p>
    <w:p w14:paraId="04FDBB71">
      <w:pPr>
        <w:pStyle w:val="style0"/>
        <w:spacing w:lineRule="exact" w:line="400"/>
        <w:ind w:firstLine="420"/>
        <w:jc w:val="left"/>
        <w:rPr>
          <w:rFonts w:ascii="汉仪书宋二简" w:cs="汉仪书宋二简" w:hAnsi="汉仪书宋二简" w:hint="eastAsia"/>
          <w:kern w:val="0"/>
        </w:rPr>
      </w:pPr>
    </w:p>
    <w:p w14:paraId="150CA2EA">
      <w:pPr>
        <w:pStyle w:val="style3"/>
        <w:spacing w:lineRule="exact" w:line="400"/>
        <w:rPr>
          <w:rFonts w:hint="eastAsia"/>
          <w:b/>
          <w:spacing w:val="-4"/>
          <w:sz w:val="21"/>
        </w:rPr>
      </w:pPr>
      <w:r>
        <w:rPr>
          <w:rFonts w:hint="eastAsia"/>
          <w:b/>
          <w:spacing w:val="-4"/>
          <w:sz w:val="21"/>
        </w:rPr>
        <w:t>三、司法解释、立法解释的效力</w:t>
      </w:r>
    </w:p>
    <w:p w14:paraId="20D29BB7">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1．有权解释的效力，与被解释的刑法条款同步。</w:t>
      </w:r>
      <w:r>
        <w:rPr>
          <w:rFonts w:ascii="汉仪书宋二简" w:cs="汉仪书宋二简" w:hAnsi="汉仪书宋二简" w:hint="eastAsia"/>
          <w:b/>
          <w:kern w:val="0"/>
        </w:rPr>
        <w:t>立法解释、司法解释不是刑法本身，而是对刑法的解释，自规定生效之日起施行，效力及被解释的刑法条款生效之时。</w:t>
      </w:r>
    </w:p>
    <w:p w14:paraId="4AAC7181">
      <w:pPr>
        <w:pStyle w:val="style0"/>
        <w:snapToGrid w:val="false"/>
        <w:spacing w:lineRule="exact" w:line="400"/>
        <w:ind w:firstLine="420"/>
        <w:rPr>
          <w:rFonts w:ascii="汉仪中黑简" w:cs="汉仪书宋二简" w:eastAsia="汉仪中黑简" w:hAnsi="汉仪书宋二简" w:hint="eastAsia"/>
          <w:color w:val="ff0000"/>
          <w:kern w:val="0"/>
        </w:rPr>
      </w:pPr>
      <w:r>
        <w:rPr>
          <w:rFonts w:ascii="汉仪中黑简" w:cs="汉仪书宋二简" w:eastAsia="汉仪中黑简" w:hAnsi="汉仪书宋二简" w:hint="eastAsia"/>
          <w:kern w:val="0"/>
        </w:rPr>
        <w:t>2．行为时无旧解释的，直接</w:t>
      </w:r>
      <w:r>
        <w:rPr>
          <w:rFonts w:ascii="汉仪中黑简" w:cs="汉仪书宋二简" w:eastAsia="汉仪中黑简" w:hAnsi="汉仪书宋二简" w:hint="eastAsia"/>
          <w:color w:val="ff0000"/>
          <w:kern w:val="0"/>
        </w:rPr>
        <w:t>适用新解释，可溯及既往。对于司法解释实施前发生的行为，行为时没有相关司法解释，司法解释施行后尚未处理或者正在处理的案件（未决案），依照新司法解释的规定办理。</w:t>
      </w:r>
    </w:p>
    <w:p w14:paraId="548B3A47">
      <w:pPr>
        <w:pStyle w:val="style0"/>
        <w:spacing w:lineRule="exact" w:line="400"/>
        <w:ind w:firstLine="422"/>
        <w:rPr>
          <w:rFonts w:ascii="汉仪书宋二简" w:cs="汉仪书宋二简" w:hAnsi="汉仪书宋二简" w:hint="eastAsia"/>
          <w:b/>
          <w:kern w:val="0"/>
        </w:rPr>
      </w:pPr>
      <w:r>
        <w:rPr>
          <w:rFonts w:ascii="汉仪中黑简" w:cs="汉仪书宋二简" w:eastAsia="汉仪中黑简" w:hAnsi="汉仪书宋二简" w:hint="eastAsia"/>
          <w:b/>
          <w:kern w:val="0"/>
        </w:rPr>
        <w:t>3．行为时有旧解释的，从旧兼从轻。</w:t>
      </w:r>
      <w:r>
        <w:rPr>
          <w:rFonts w:ascii="汉仪书宋二简" w:cs="汉仪书宋二简" w:hAnsi="汉仪书宋二简" w:hint="eastAsia"/>
          <w:b/>
          <w:kern w:val="0"/>
        </w:rPr>
        <w:t>对于新的司法解释实施前发生的行为，行为时已有相关司法解释，依照行为时的司法解释办理，但适用新的司法解释对犯罪嫌疑人、被告人有利的，适用新的司法解释。</w:t>
      </w:r>
    </w:p>
    <w:p w14:paraId="7C479C84">
      <w:pPr>
        <w:pStyle w:val="style0"/>
        <w:spacing w:lineRule="exact" w:line="400"/>
        <w:ind w:firstLine="420"/>
        <w:rPr>
          <w:rFonts w:ascii="汉仪书宋二简" w:cs="汉仪书宋二简" w:hAnsi="汉仪书宋二简" w:hint="eastAsia"/>
          <w:kern w:val="0"/>
        </w:rPr>
      </w:pPr>
      <w:r>
        <w:rPr>
          <w:rFonts w:ascii="汉仪书宋二简" w:cs="汉仪书宋二简" w:hAnsi="汉仪书宋二简" w:hint="eastAsia"/>
          <w:kern w:val="0"/>
        </w:rPr>
        <w:t>4．已决案（二审已终审、再审、一审上诉期满）不再变动。</w:t>
      </w:r>
    </w:p>
    <w:p w14:paraId="624C7547">
      <w:pPr>
        <w:pStyle w:val="style0"/>
        <w:spacing w:lineRule="exact" w:line="400"/>
        <w:ind w:firstLine="420"/>
        <w:jc w:val="left"/>
        <w:rPr>
          <w:rFonts w:ascii="汉仪书宋二简" w:cs="汉仪书宋二简" w:hAnsi="汉仪书宋二简" w:hint="eastAsia"/>
          <w:kern w:val="0"/>
        </w:rPr>
      </w:pPr>
    </w:p>
    <w:p w14:paraId="2A3C126A">
      <w:pPr>
        <w:pStyle w:val="style0"/>
        <w:spacing w:lineRule="exact" w:line="400"/>
        <w:ind w:firstLine="0" w:firstLineChars="0"/>
        <w:rPr>
          <w:rFonts w:hint="eastAsia"/>
        </w:rPr>
      </w:pPr>
    </w:p>
    <w:bookmarkStart w:id="22" w:name="_Toc188371420"/>
    <w:p w14:paraId="5D9B3C61">
      <w:pPr>
        <w:pStyle w:val="style1"/>
        <w:spacing w:before="0" w:lineRule="exact" w:line="400"/>
        <w:rPr>
          <w:rFonts w:hint="eastAsia"/>
          <w:b/>
          <w:color w:val="auto"/>
          <w:sz w:val="21"/>
          <w:szCs w:val="21"/>
        </w:rPr>
      </w:pPr>
      <w:r>
        <w:rPr>
          <w:rFonts w:hint="eastAsia"/>
          <w:b/>
          <w:color w:val="auto"/>
          <w:sz w:val="21"/>
          <w:szCs w:val="21"/>
        </w:rPr>
        <w:t>考点55</w:t>
      </w:r>
      <w:r>
        <w:rPr>
          <w:b/>
          <w:color w:val="auto"/>
          <w:sz w:val="21"/>
          <w:szCs w:val="21"/>
        </w:rPr>
        <w:t xml:space="preserve"> </w:t>
      </w:r>
      <w:r>
        <w:rPr>
          <w:rFonts w:hint="eastAsia"/>
          <w:b/>
          <w:color w:val="auto"/>
          <w:sz w:val="21"/>
          <w:szCs w:val="21"/>
        </w:rPr>
        <w:t xml:space="preserve"> 刑法解释</w:t>
      </w:r>
      <w:bookmarkEnd w:id="22"/>
    </w:p>
    <w:p w14:paraId="27684735">
      <w:pPr>
        <w:pStyle w:val="style0"/>
        <w:spacing w:lineRule="exact" w:line="400"/>
        <w:ind w:firstLine="0" w:firstLineChars="0"/>
        <w:rPr>
          <w:rFonts w:ascii="汉仪书宋二简" w:cs="汉仪书宋二简" w:hAnsi="汉仪书宋二简" w:hint="eastAsia"/>
          <w:kern w:val="0"/>
        </w:rPr>
      </w:pPr>
    </w:p>
    <w:p w14:paraId="66807A4B">
      <w:pPr>
        <w:pStyle w:val="style3"/>
        <w:spacing w:lineRule="exact" w:line="400"/>
        <w:rPr>
          <w:rFonts w:hint="eastAsia"/>
          <w:sz w:val="21"/>
        </w:rPr>
      </w:pPr>
      <w:r>
        <w:rPr>
          <w:rFonts w:hint="eastAsia"/>
          <w:sz w:val="21"/>
        </w:rPr>
        <w:t>一</w:t>
      </w:r>
      <w:r>
        <w:rPr>
          <w:sz w:val="21"/>
        </w:rPr>
        <w:t>、</w:t>
      </w:r>
      <w:r>
        <w:rPr>
          <w:rFonts w:hint="eastAsia"/>
          <w:sz w:val="21"/>
        </w:rPr>
        <w:t>有权解释（</w:t>
      </w:r>
      <w:r>
        <w:rPr>
          <w:rFonts w:hint="eastAsia"/>
          <w:color w:val="ff0000"/>
          <w:sz w:val="21"/>
        </w:rPr>
        <w:t>立法解释</w:t>
      </w:r>
      <w:r>
        <w:rPr>
          <w:rFonts w:hint="eastAsia"/>
          <w:sz w:val="21"/>
        </w:rPr>
        <w:t>、</w:t>
      </w:r>
      <w:r>
        <w:rPr>
          <w:rFonts w:hint="eastAsia"/>
          <w:color w:val="ff0000"/>
          <w:sz w:val="21"/>
        </w:rPr>
        <w:t>司法解释</w:t>
      </w:r>
      <w:r>
        <w:rPr>
          <w:rFonts w:hint="eastAsia"/>
          <w:sz w:val="21"/>
        </w:rPr>
        <w:t>）与</w:t>
      </w:r>
      <w:r>
        <w:rPr>
          <w:rFonts w:hint="eastAsia"/>
          <w:color w:val="ff0000"/>
          <w:sz w:val="21"/>
        </w:rPr>
        <w:t>学理解释</w:t>
      </w:r>
    </w:p>
    <w:p w14:paraId="69E0785E">
      <w:pPr>
        <w:pStyle w:val="style0"/>
        <w:spacing w:lineRule="exact" w:line="400"/>
        <w:ind w:firstLine="420"/>
        <w:jc w:val="left"/>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680"/>
        <w:gridCol w:w="1125"/>
        <w:gridCol w:w="3650"/>
        <w:gridCol w:w="2050"/>
      </w:tblGrid>
      <w:tr w14:paraId="0D192AC7">
        <w:trPr>
          <w:jc w:val="center"/>
        </w:trPr>
        <w:tc>
          <w:tcPr>
            <w:tcW w:w="1696" w:type="dxa"/>
            <w:vMerge w:val="restart"/>
            <w:tcBorders/>
            <w:vAlign w:val="center"/>
          </w:tcPr>
          <w:p w14:paraId="6376A848">
            <w:pPr>
              <w:pStyle w:val="style0"/>
              <w:snapToGrid w:val="false"/>
              <w:spacing w:before="31" w:beforeLines="10" w:after="62" w:afterLines="20" w:lineRule="exact" w:line="400"/>
              <w:ind w:firstLine="0" w:firstLineChars="0"/>
              <w:jc w:val="center"/>
              <w:rPr>
                <w:rFonts w:ascii="汉仪书宋一简" w:cs="Times New Roman" w:eastAsia="汉仪书宋一简" w:hAnsi="Calibri"/>
              </w:rPr>
            </w:pPr>
            <w:r>
              <w:rPr>
                <w:rFonts w:ascii="汉仪书宋一简" w:cs="Times New Roman" w:eastAsia="汉仪书宋一简" w:hAnsi="Calibri" w:hint="eastAsia"/>
              </w:rPr>
              <w:t>有权解释</w:t>
            </w:r>
          </w:p>
          <w:p w14:paraId="5A22AED7">
            <w:pPr>
              <w:pStyle w:val="style0"/>
              <w:snapToGrid w:val="false"/>
              <w:spacing w:before="31" w:beforeLines="10" w:after="62" w:afterLines="20" w:lineRule="exact" w:line="400"/>
              <w:ind w:firstLine="0" w:firstLineChars="0"/>
              <w:jc w:val="center"/>
              <w:rPr>
                <w:rFonts w:ascii="汉仪书宋一简" w:cs="Times New Roman" w:eastAsia="汉仪书宋一简" w:hAnsi="Calibri"/>
              </w:rPr>
            </w:pPr>
            <w:r>
              <w:rPr>
                <w:rFonts w:ascii="汉仪书宋一简" w:cs="Times New Roman" w:eastAsia="汉仪书宋一简" w:hAnsi="Calibri" w:hint="eastAsia"/>
              </w:rPr>
              <w:t>（正式解释）</w:t>
            </w:r>
          </w:p>
        </w:tc>
        <w:tc>
          <w:tcPr>
            <w:tcW w:w="1134" w:type="dxa"/>
            <w:tcBorders/>
            <w:vAlign w:val="center"/>
          </w:tcPr>
          <w:p w14:paraId="7F9A6264">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立法解释</w:t>
            </w:r>
          </w:p>
        </w:tc>
        <w:tc>
          <w:tcPr>
            <w:tcW w:w="3686" w:type="dxa"/>
            <w:tcBorders/>
            <w:vAlign w:val="center"/>
          </w:tcPr>
          <w:p w14:paraId="60BD92EF">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立法机关（通常是全国人大常委会）</w:t>
            </w:r>
          </w:p>
        </w:tc>
        <w:tc>
          <w:tcPr>
            <w:tcW w:w="2069" w:type="dxa"/>
            <w:vMerge w:val="restart"/>
            <w:tcBorders/>
            <w:vAlign w:val="center"/>
          </w:tcPr>
          <w:p w14:paraId="63BAB75C">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立法解释效力高于司法解释；同级解释效力相同</w:t>
            </w:r>
          </w:p>
        </w:tc>
      </w:tr>
      <w:tr w14:paraId="3F18B25B">
        <w:tblPrEx/>
        <w:trPr>
          <w:jc w:val="center"/>
        </w:trPr>
        <w:tc>
          <w:tcPr>
            <w:tcW w:w="1696" w:type="dxa"/>
            <w:vMerge w:val="continue"/>
            <w:tcBorders/>
            <w:vAlign w:val="center"/>
          </w:tcPr>
          <w:p w14:paraId="198ACC6B">
            <w:pPr>
              <w:pStyle w:val="style0"/>
              <w:snapToGrid w:val="false"/>
              <w:spacing w:before="31" w:beforeLines="10" w:after="62" w:afterLines="20" w:lineRule="exact" w:line="400"/>
              <w:ind w:firstLine="0" w:firstLineChars="0"/>
              <w:jc w:val="center"/>
              <w:rPr>
                <w:rFonts w:ascii="汉仪书宋一简" w:cs="Times New Roman" w:eastAsia="汉仪书宋一简" w:hAnsi="Calibri"/>
              </w:rPr>
            </w:pPr>
          </w:p>
        </w:tc>
        <w:tc>
          <w:tcPr>
            <w:tcW w:w="1134" w:type="dxa"/>
            <w:tcBorders/>
            <w:vAlign w:val="center"/>
          </w:tcPr>
          <w:p w14:paraId="7CD0DA37">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司法解释</w:t>
            </w:r>
          </w:p>
        </w:tc>
        <w:tc>
          <w:tcPr>
            <w:tcW w:w="3686" w:type="dxa"/>
            <w:tcBorders/>
            <w:vAlign w:val="center"/>
          </w:tcPr>
          <w:p w14:paraId="73507CC5">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司法机关（最高人民法院、最高人民检察院）</w:t>
            </w:r>
          </w:p>
        </w:tc>
        <w:tc>
          <w:tcPr>
            <w:tcW w:w="2069" w:type="dxa"/>
            <w:vMerge w:val="continue"/>
            <w:tcBorders/>
            <w:vAlign w:val="center"/>
          </w:tcPr>
          <w:p w14:paraId="71CF7717">
            <w:pPr>
              <w:pStyle w:val="style0"/>
              <w:snapToGrid w:val="false"/>
              <w:spacing w:before="31" w:beforeLines="10" w:after="62" w:afterLines="20" w:lineRule="exact" w:line="400"/>
              <w:ind w:firstLine="0" w:firstLineChars="0"/>
              <w:rPr>
                <w:rFonts w:ascii="汉仪书宋一简" w:cs="Times New Roman" w:eastAsia="汉仪书宋一简" w:hAnsi="Calibri"/>
              </w:rPr>
            </w:pPr>
          </w:p>
        </w:tc>
      </w:tr>
      <w:tr w14:paraId="4D1017A5">
        <w:tblPrEx/>
        <w:trPr>
          <w:jc w:val="center"/>
        </w:trPr>
        <w:tc>
          <w:tcPr>
            <w:tcW w:w="1696" w:type="dxa"/>
            <w:tcBorders/>
            <w:vAlign w:val="center"/>
          </w:tcPr>
          <w:p w14:paraId="317F106C">
            <w:pPr>
              <w:pStyle w:val="style0"/>
              <w:snapToGrid w:val="false"/>
              <w:spacing w:before="31" w:beforeLines="10" w:after="62" w:afterLines="20" w:lineRule="exact" w:line="400"/>
              <w:ind w:firstLine="0" w:firstLineChars="0"/>
              <w:jc w:val="center"/>
              <w:rPr>
                <w:rFonts w:ascii="汉仪书宋一简" w:cs="Times New Roman" w:eastAsia="汉仪书宋一简" w:hAnsi="Calibri"/>
              </w:rPr>
            </w:pPr>
            <w:r>
              <w:rPr>
                <w:rFonts w:ascii="汉仪书宋一简" w:cs="Times New Roman" w:eastAsia="汉仪书宋一简" w:hAnsi="Calibri" w:hint="eastAsia"/>
              </w:rPr>
              <w:t>学理解释</w:t>
            </w:r>
          </w:p>
          <w:p w14:paraId="72A5BE06">
            <w:pPr>
              <w:pStyle w:val="style0"/>
              <w:snapToGrid w:val="false"/>
              <w:spacing w:before="31" w:beforeLines="10" w:after="62" w:afterLines="20" w:lineRule="exact" w:line="400"/>
              <w:ind w:firstLine="0" w:firstLineChars="0"/>
              <w:jc w:val="center"/>
              <w:rPr>
                <w:rFonts w:ascii="汉仪书宋一简" w:cs="Times New Roman" w:eastAsia="汉仪书宋一简" w:hAnsi="Calibri"/>
              </w:rPr>
            </w:pPr>
            <w:r>
              <w:rPr>
                <w:rFonts w:ascii="汉仪书宋一简" w:cs="Times New Roman" w:eastAsia="汉仪书宋一简" w:hAnsi="Calibri" w:hint="eastAsia"/>
              </w:rPr>
              <w:t>（非正式解释）</w:t>
            </w:r>
          </w:p>
        </w:tc>
        <w:tc>
          <w:tcPr>
            <w:tcW w:w="4820" w:type="dxa"/>
            <w:gridSpan w:val="2"/>
            <w:tcBorders/>
            <w:vAlign w:val="center"/>
          </w:tcPr>
          <w:p w14:paraId="5B77CE42">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未经国家授权的机关、团体、社会组织、学术机构以及公民个人</w:t>
            </w:r>
          </w:p>
        </w:tc>
        <w:tc>
          <w:tcPr>
            <w:tcW w:w="2069" w:type="dxa"/>
            <w:tcBorders/>
            <w:vAlign w:val="center"/>
          </w:tcPr>
          <w:p w14:paraId="1E30B157">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没有法律效力</w:t>
            </w:r>
          </w:p>
        </w:tc>
      </w:tr>
    </w:tbl>
    <w:p w14:paraId="7D67E1E4">
      <w:pPr>
        <w:pStyle w:val="style0"/>
        <w:spacing w:lineRule="exact" w:line="400"/>
        <w:ind w:firstLine="420"/>
        <w:jc w:val="left"/>
        <w:rPr>
          <w:rFonts w:ascii="汉仪书宋二简" w:cs="汉仪书宋二简" w:hAnsi="汉仪书宋二简" w:hint="eastAsia"/>
          <w:kern w:val="0"/>
        </w:rPr>
      </w:pPr>
    </w:p>
    <w:p w14:paraId="1551D693">
      <w:pPr>
        <w:pStyle w:val="style3"/>
        <w:spacing w:lineRule="exact" w:line="400"/>
        <w:rPr>
          <w:rFonts w:hint="eastAsia"/>
          <w:sz w:val="21"/>
        </w:rPr>
      </w:pPr>
      <w:r>
        <w:rPr>
          <w:rFonts w:hint="eastAsia"/>
          <w:sz w:val="21"/>
        </w:rPr>
        <w:t>二、刑法解释方法（</w:t>
      </w:r>
      <w:r>
        <w:rPr>
          <w:rFonts w:hint="eastAsia"/>
          <w:color w:val="ff0000"/>
          <w:sz w:val="21"/>
        </w:rPr>
        <w:t>解释理由</w:t>
      </w:r>
      <w:r>
        <w:rPr>
          <w:rFonts w:hint="eastAsia"/>
          <w:sz w:val="21"/>
        </w:rPr>
        <w:t>【解释依据】</w:t>
      </w:r>
      <w:r>
        <w:rPr>
          <w:rFonts w:ascii="汉仪大宋简" w:hint="eastAsia"/>
          <w:sz w:val="21"/>
        </w:rPr>
        <w:t>+</w:t>
      </w:r>
      <w:r>
        <w:rPr>
          <w:rFonts w:hint="eastAsia"/>
          <w:color w:val="ff0000"/>
          <w:sz w:val="21"/>
        </w:rPr>
        <w:t>解释结论大小</w:t>
      </w:r>
      <w:r>
        <w:rPr>
          <w:rFonts w:hint="eastAsia"/>
          <w:sz w:val="21"/>
        </w:rPr>
        <w:t>）</w:t>
      </w:r>
    </w:p>
    <w:p w14:paraId="7FA18ADB">
      <w:pPr>
        <w:pStyle w:val="style0"/>
        <w:spacing w:lineRule="exact" w:line="400"/>
        <w:ind w:firstLine="420"/>
        <w:jc w:val="left"/>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418"/>
        <w:gridCol w:w="421"/>
        <w:gridCol w:w="838"/>
        <w:gridCol w:w="1673"/>
        <w:gridCol w:w="1607"/>
        <w:gridCol w:w="3127"/>
        <w:gridCol w:w="421"/>
      </w:tblGrid>
      <w:tr w14:paraId="61B5CA3B">
        <w:trPr>
          <w:jc w:val="center"/>
        </w:trPr>
        <w:tc>
          <w:tcPr>
            <w:tcW w:w="418" w:type="dxa"/>
            <w:vMerge w:val="restart"/>
            <w:tcBorders/>
            <w:vAlign w:val="center"/>
          </w:tcPr>
          <w:p w14:paraId="7359025E">
            <w:pPr>
              <w:pStyle w:val="style0"/>
              <w:snapToGrid w:val="false"/>
              <w:spacing w:before="31" w:beforeLines="10" w:after="62" w:afterLines="20" w:lineRule="exact" w:line="400"/>
              <w:ind w:firstLine="0" w:firstLineChars="0"/>
              <w:rPr>
                <w:rFonts w:ascii="汉仪书宋一简" w:cs="Times New Roman" w:eastAsia="汉仪书宋一简" w:hAnsi="Calibri"/>
                <w:b/>
              </w:rPr>
            </w:pPr>
            <w:r>
              <w:rPr>
                <w:rFonts w:ascii="汉仪中黑简" w:eastAsia="汉仪中黑简" w:hint="eastAsia"/>
              </w:rPr>
              <w:t>解释</w:t>
            </w:r>
            <w:r>
              <w:rPr>
                <w:rFonts w:ascii="汉仪中黑简" w:eastAsia="汉仪中黑简" w:hint="eastAsia"/>
              </w:rPr>
              <w:t>理由</w:t>
            </w:r>
          </w:p>
        </w:tc>
        <w:tc>
          <w:tcPr>
            <w:tcW w:w="1259" w:type="dxa"/>
            <w:gridSpan w:val="2"/>
            <w:tcBorders/>
            <w:vAlign w:val="center"/>
          </w:tcPr>
          <w:p w14:paraId="38BCD872">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文理解释</w:t>
            </w:r>
          </w:p>
        </w:tc>
        <w:tc>
          <w:tcPr>
            <w:tcW w:w="3280" w:type="dxa"/>
            <w:gridSpan w:val="2"/>
            <w:tcBorders/>
            <w:vAlign w:val="center"/>
          </w:tcPr>
          <w:p w14:paraId="3FC8507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根据</w:t>
            </w:r>
            <w:r>
              <w:rPr>
                <w:rFonts w:ascii="汉仪中黑简" w:eastAsia="汉仪中黑简" w:hint="eastAsia"/>
                <w:color w:val="ff0000"/>
              </w:rPr>
              <w:t>用语含义</w:t>
            </w:r>
            <w:r>
              <w:rPr>
                <w:rFonts w:ascii="汉仪书宋一简" w:cs="Times New Roman" w:eastAsia="汉仪书宋一简" w:hAnsi="Calibri" w:hint="eastAsia"/>
              </w:rPr>
              <w:t>、语法等解释</w:t>
            </w:r>
          </w:p>
        </w:tc>
        <w:tc>
          <w:tcPr>
            <w:tcW w:w="3127" w:type="dxa"/>
            <w:tcBorders/>
            <w:vAlign w:val="center"/>
          </w:tcPr>
          <w:p w14:paraId="02C4219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盗伐</w:t>
            </w:r>
            <w:r>
              <w:rPr>
                <w:rFonts w:ascii="汉仪中黑简" w:eastAsia="汉仪中黑简" w:hint="eastAsia"/>
                <w:color w:val="ff0000"/>
              </w:rPr>
              <w:t>林木</w:t>
            </w:r>
            <w:r>
              <w:rPr>
                <w:rFonts w:ascii="汉仪书宋一简" w:cs="Times New Roman" w:eastAsia="汉仪书宋一简" w:hAnsi="Times New Roman" w:hint="eastAsia"/>
              </w:rPr>
              <w:t>罪：长在一片土地上的许多活的树木（词典）</w:t>
            </w:r>
          </w:p>
        </w:tc>
        <w:tc>
          <w:tcPr>
            <w:tcW w:w="421" w:type="dxa"/>
            <w:tcBorders/>
            <w:vAlign w:val="center"/>
          </w:tcPr>
          <w:p w14:paraId="3949DD26">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文理</w:t>
            </w:r>
          </w:p>
        </w:tc>
      </w:tr>
      <w:tr w14:paraId="6771C32A">
        <w:tblPrEx/>
        <w:trPr>
          <w:jc w:val="center"/>
        </w:trPr>
        <w:tc>
          <w:tcPr>
            <w:tcW w:w="418" w:type="dxa"/>
            <w:vMerge w:val="continue"/>
            <w:tcBorders/>
            <w:vAlign w:val="center"/>
          </w:tcPr>
          <w:p w14:paraId="161C189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4EE84CE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目的解释</w:t>
            </w:r>
          </w:p>
        </w:tc>
        <w:tc>
          <w:tcPr>
            <w:tcW w:w="3280" w:type="dxa"/>
            <w:gridSpan w:val="2"/>
            <w:tcBorders/>
            <w:vAlign w:val="center"/>
          </w:tcPr>
          <w:p w14:paraId="40DBBB12">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根据</w:t>
            </w:r>
            <w:r>
              <w:rPr>
                <w:rFonts w:ascii="汉仪中黑简" w:eastAsia="汉仪中黑简" w:hint="eastAsia"/>
                <w:color w:val="ff0000"/>
              </w:rPr>
              <w:t>条文目的</w:t>
            </w:r>
            <w:r>
              <w:rPr>
                <w:rFonts w:ascii="汉仪书宋一简" w:cs="Times New Roman" w:eastAsia="汉仪书宋一简" w:hAnsi="Calibri" w:hint="eastAsia"/>
              </w:rPr>
              <w:t>解释（如罪名法益）</w:t>
            </w:r>
          </w:p>
        </w:tc>
        <w:tc>
          <w:tcPr>
            <w:tcW w:w="3127" w:type="dxa"/>
            <w:tcBorders/>
            <w:vAlign w:val="center"/>
          </w:tcPr>
          <w:p w14:paraId="48A48A5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侵犯</w:t>
            </w:r>
            <w:r>
              <w:rPr>
                <w:rFonts w:ascii="汉仪中黑简" w:eastAsia="汉仪中黑简" w:hint="eastAsia"/>
                <w:color w:val="ff0000"/>
              </w:rPr>
              <w:t>“通信”</w:t>
            </w:r>
            <w:r>
              <w:rPr>
                <w:rFonts w:ascii="汉仪书宋一简" w:cs="Times New Roman" w:eastAsia="汉仪书宋一简" w:hAnsi="Times New Roman" w:hint="eastAsia"/>
              </w:rPr>
              <w:t>自由罪：不包括公文</w:t>
            </w:r>
          </w:p>
        </w:tc>
        <w:tc>
          <w:tcPr>
            <w:tcW w:w="421" w:type="dxa"/>
            <w:vMerge w:val="restart"/>
            <w:tcBorders/>
            <w:vAlign w:val="center"/>
          </w:tcPr>
          <w:p w14:paraId="6B5CF00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论理</w:t>
            </w:r>
          </w:p>
        </w:tc>
      </w:tr>
      <w:tr w14:paraId="3EE085D3">
        <w:tblPrEx/>
        <w:trPr>
          <w:jc w:val="center"/>
        </w:trPr>
        <w:tc>
          <w:tcPr>
            <w:tcW w:w="418" w:type="dxa"/>
            <w:vMerge w:val="continue"/>
            <w:tcBorders/>
            <w:vAlign w:val="center"/>
          </w:tcPr>
          <w:p w14:paraId="1259152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restart"/>
            <w:tcBorders/>
            <w:vAlign w:val="center"/>
          </w:tcPr>
          <w:p w14:paraId="7E8C318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eastAsia="汉仪书宋一简" w:hAnsi="Calibri" w:hint="eastAsia"/>
              </w:rPr>
              <w:t>逻辑解释</w:t>
            </w:r>
          </w:p>
        </w:tc>
        <w:tc>
          <w:tcPr>
            <w:tcW w:w="838" w:type="dxa"/>
            <w:tcBorders/>
            <w:vAlign w:val="center"/>
          </w:tcPr>
          <w:p w14:paraId="635618F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int="eastAsia"/>
              </w:rPr>
              <w:t>★</w:t>
            </w:r>
            <w:r>
              <w:rPr>
                <w:rFonts w:ascii="汉仪书宋一简" w:cs="Times New Roman" w:eastAsia="汉仪书宋一简" w:hAnsi="Calibri" w:hint="eastAsia"/>
              </w:rPr>
              <w:t>体系解释</w:t>
            </w:r>
          </w:p>
        </w:tc>
        <w:tc>
          <w:tcPr>
            <w:tcW w:w="3280" w:type="dxa"/>
            <w:gridSpan w:val="2"/>
            <w:tcBorders/>
            <w:vAlign w:val="center"/>
          </w:tcPr>
          <w:p w14:paraId="790953E2">
            <w:pPr>
              <w:pStyle w:val="style0"/>
              <w:snapToGrid w:val="false"/>
              <w:spacing w:before="31" w:beforeLines="10" w:after="62" w:afterLines="20" w:lineRule="exact" w:line="400"/>
              <w:ind w:firstLine="0" w:firstLineChars="0"/>
              <w:rPr>
                <w:rFonts w:ascii="汉仪中黑简" w:eastAsia="汉仪中黑简" w:hint="eastAsia"/>
                <w:color w:val="ff0000"/>
              </w:rPr>
            </w:pPr>
            <w:r>
              <w:rPr>
                <w:rFonts w:ascii="汉仪中黑简" w:eastAsia="汉仪中黑简" w:hint="eastAsia"/>
                <w:color w:val="ff0000"/>
              </w:rPr>
              <w:t>根据前后文解释：</w:t>
            </w:r>
          </w:p>
          <w:p w14:paraId="75E40B38">
            <w:pPr>
              <w:pStyle w:val="style0"/>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同类解释规则；</w:t>
            </w:r>
          </w:p>
          <w:p w14:paraId="488F68F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但并非对相同词语作相同含义解释</w:t>
            </w:r>
          </w:p>
        </w:tc>
        <w:tc>
          <w:tcPr>
            <w:tcW w:w="3127" w:type="dxa"/>
            <w:tcBorders/>
            <w:vAlign w:val="center"/>
          </w:tcPr>
          <w:p w14:paraId="40B9BA4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放火、决水、爆炸以及投放毒害性、放射性、传染病病原体等物质或者以</w:t>
            </w:r>
            <w:r>
              <w:rPr>
                <w:rFonts w:ascii="汉仪中黑简" w:eastAsia="汉仪中黑简" w:hint="eastAsia"/>
                <w:color w:val="ff0000"/>
              </w:rPr>
              <w:t>其他危险方法</w:t>
            </w:r>
            <w:r>
              <w:rPr>
                <w:rFonts w:ascii="汉仪书宋一简" w:cs="Times New Roman" w:eastAsia="汉仪书宋一简" w:hAnsi="Times New Roman" w:hint="eastAsia"/>
              </w:rPr>
              <w:t>：一次大规模死伤</w:t>
            </w:r>
          </w:p>
        </w:tc>
        <w:tc>
          <w:tcPr>
            <w:tcW w:w="421" w:type="dxa"/>
            <w:vMerge w:val="continue"/>
            <w:tcBorders/>
            <w:vAlign w:val="center"/>
          </w:tcPr>
          <w:p w14:paraId="302CB9CC">
            <w:pPr>
              <w:pStyle w:val="style0"/>
              <w:snapToGrid w:val="false"/>
              <w:spacing w:before="31" w:beforeLines="10" w:after="62" w:afterLines="20" w:lineRule="exact" w:line="400"/>
              <w:ind w:firstLine="0" w:firstLineChars="0"/>
              <w:rPr>
                <w:rFonts w:ascii="汉仪书宋一简" w:cs="Times New Roman" w:eastAsia="汉仪书宋一简" w:hAnsi="Calibri"/>
              </w:rPr>
            </w:pPr>
          </w:p>
        </w:tc>
      </w:tr>
      <w:tr w14:paraId="093CE27A">
        <w:tblPrEx/>
        <w:trPr>
          <w:trHeight w:val="615" w:hRule="atLeast"/>
          <w:jc w:val="center"/>
        </w:trPr>
        <w:tc>
          <w:tcPr>
            <w:tcW w:w="418" w:type="dxa"/>
            <w:vMerge w:val="continue"/>
            <w:tcBorders/>
            <w:vAlign w:val="center"/>
          </w:tcPr>
          <w:p w14:paraId="467ACAC4">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continue"/>
            <w:tcBorders/>
            <w:vAlign w:val="center"/>
          </w:tcPr>
          <w:p w14:paraId="6FC1963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838" w:type="dxa"/>
            <w:vMerge w:val="restart"/>
            <w:tcBorders/>
            <w:vAlign w:val="center"/>
          </w:tcPr>
          <w:p w14:paraId="70ADCEF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int="eastAsia"/>
              </w:rPr>
              <w:t>★</w:t>
            </w:r>
            <w:r>
              <w:rPr>
                <w:rFonts w:ascii="汉仪书宋一简" w:cs="Times New Roman" w:eastAsia="汉仪书宋一简" w:hAnsi="Calibri" w:hint="eastAsia"/>
              </w:rPr>
              <w:t>当然解释</w:t>
            </w:r>
          </w:p>
        </w:tc>
        <w:tc>
          <w:tcPr>
            <w:tcW w:w="3280" w:type="dxa"/>
            <w:gridSpan w:val="2"/>
            <w:tcBorders/>
            <w:vAlign w:val="center"/>
          </w:tcPr>
          <w:p w14:paraId="56E8EEA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将</w:t>
            </w:r>
            <w:r>
              <w:rPr>
                <w:rFonts w:ascii="汉仪书宋一简" w:cs="Times New Roman" w:eastAsia="汉仪书宋一简" w:hAnsi="Times New Roman" w:hint="eastAsia"/>
              </w:rPr>
              <w:t>“</w:t>
            </w:r>
            <w:r>
              <w:rPr>
                <w:rFonts w:ascii="汉仪书宋一简" w:cs="Times New Roman" w:eastAsia="汉仪书宋一简" w:hAnsi="Calibri" w:hint="eastAsia"/>
              </w:rPr>
              <w:t>种</w:t>
            </w:r>
            <w:r>
              <w:rPr>
                <w:rFonts w:ascii="汉仪书宋一简" w:cs="Times New Roman" w:eastAsia="汉仪书宋一简" w:hAnsi="Times New Roman" w:hint="eastAsia"/>
              </w:rPr>
              <w:t>”</w:t>
            </w:r>
            <w:r>
              <w:rPr>
                <w:rFonts w:ascii="汉仪书宋一简" w:cs="Times New Roman" w:eastAsia="汉仪书宋一简" w:hAnsi="Calibri" w:hint="eastAsia"/>
              </w:rPr>
              <w:t>的解释到</w:t>
            </w:r>
            <w:r>
              <w:rPr>
                <w:rFonts w:ascii="汉仪书宋一简" w:cs="Times New Roman" w:eastAsia="汉仪书宋一简" w:hAnsi="Times New Roman" w:hint="eastAsia"/>
              </w:rPr>
              <w:t>“</w:t>
            </w:r>
            <w:r>
              <w:rPr>
                <w:rFonts w:ascii="汉仪书宋一简" w:cs="Times New Roman" w:eastAsia="汉仪书宋一简" w:hAnsi="Calibri" w:hint="eastAsia"/>
              </w:rPr>
              <w:t>属</w:t>
            </w:r>
            <w:r>
              <w:rPr>
                <w:rFonts w:ascii="汉仪书宋一简" w:cs="Times New Roman" w:eastAsia="汉仪书宋一简" w:hAnsi="Times New Roman" w:hint="eastAsia"/>
              </w:rPr>
              <w:t>”</w:t>
            </w:r>
            <w:r>
              <w:rPr>
                <w:rFonts w:ascii="汉仪书宋一简" w:cs="Times New Roman" w:eastAsia="汉仪书宋一简" w:hAnsi="Calibri" w:hint="eastAsia"/>
              </w:rPr>
              <w:t>中去（</w:t>
            </w:r>
            <w:r>
              <w:rPr>
                <w:rFonts w:ascii="汉仪中黑简" w:eastAsia="汉仪中黑简" w:hint="eastAsia"/>
                <w:color w:val="ff0000"/>
              </w:rPr>
              <w:t>属种逻辑</w:t>
            </w:r>
            <w:r>
              <w:rPr>
                <w:rFonts w:ascii="汉仪书宋一简" w:cs="Times New Roman" w:eastAsia="汉仪书宋一简" w:hAnsi="Calibri" w:hint="eastAsia"/>
              </w:rPr>
              <w:t>）</w:t>
            </w:r>
          </w:p>
        </w:tc>
        <w:tc>
          <w:tcPr>
            <w:tcW w:w="3127" w:type="dxa"/>
            <w:tcBorders/>
            <w:vAlign w:val="center"/>
          </w:tcPr>
          <w:p w14:paraId="41188DA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故意杀</w:t>
            </w:r>
            <w:r>
              <w:rPr>
                <w:rFonts w:ascii="汉仪中黑简" w:eastAsia="汉仪中黑简" w:hint="eastAsia"/>
                <w:color w:val="ff0000"/>
              </w:rPr>
              <w:t>“人”</w:t>
            </w:r>
            <w:r>
              <w:rPr>
                <w:rFonts w:ascii="汉仪书宋一简" w:cs="Times New Roman" w:eastAsia="汉仪书宋一简" w:hAnsi="Times New Roman" w:hint="eastAsia"/>
              </w:rPr>
              <w:t>罪：男子</w:t>
            </w:r>
          </w:p>
        </w:tc>
        <w:tc>
          <w:tcPr>
            <w:tcW w:w="421" w:type="dxa"/>
            <w:vMerge w:val="continue"/>
            <w:tcBorders/>
            <w:vAlign w:val="center"/>
          </w:tcPr>
          <w:p w14:paraId="65FF2BB6">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708D4B34">
        <w:tblPrEx/>
        <w:trPr>
          <w:jc w:val="center"/>
        </w:trPr>
        <w:tc>
          <w:tcPr>
            <w:tcW w:w="418" w:type="dxa"/>
            <w:vMerge w:val="continue"/>
            <w:tcBorders/>
            <w:vAlign w:val="center"/>
          </w:tcPr>
          <w:p w14:paraId="7FC9115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continue"/>
            <w:tcBorders/>
            <w:vAlign w:val="center"/>
          </w:tcPr>
          <w:p w14:paraId="5FAC6C69">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838" w:type="dxa"/>
            <w:vMerge w:val="continue"/>
            <w:tcBorders/>
            <w:vAlign w:val="center"/>
          </w:tcPr>
          <w:p w14:paraId="74C7DE92">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3280" w:type="dxa"/>
            <w:gridSpan w:val="2"/>
            <w:tcBorders/>
            <w:vAlign w:val="center"/>
          </w:tcPr>
          <w:p w14:paraId="32B26C7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出罪举重以明轻（</w:t>
            </w:r>
            <w:r>
              <w:rPr>
                <w:rFonts w:ascii="汉仪中黑简" w:eastAsia="汉仪中黑简" w:hint="eastAsia"/>
                <w:color w:val="ff0000"/>
              </w:rPr>
              <w:t>轻重逻辑</w:t>
            </w:r>
            <w:r>
              <w:rPr>
                <w:rFonts w:ascii="汉仪书宋一简" w:cs="Times New Roman" w:eastAsia="汉仪书宋一简" w:hAnsi="Calibri" w:hint="eastAsia"/>
              </w:rPr>
              <w:t>）</w:t>
            </w:r>
          </w:p>
        </w:tc>
        <w:tc>
          <w:tcPr>
            <w:tcW w:w="3127" w:type="dxa"/>
            <w:tcBorders/>
            <w:vAlign w:val="center"/>
          </w:tcPr>
          <w:p w14:paraId="01F8F585">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中黑简" w:eastAsia="汉仪中黑简" w:hint="eastAsia"/>
                <w:color w:val="ff0000"/>
              </w:rPr>
              <w:t>“抢劫”</w:t>
            </w:r>
            <w:r>
              <w:rPr>
                <w:rFonts w:ascii="汉仪书宋一简" w:cs="Times New Roman" w:eastAsia="汉仪书宋一简" w:hAnsi="Times New Roman" w:hint="eastAsia"/>
              </w:rPr>
              <w:t>近亲属：抢夺近亲属</w:t>
            </w:r>
          </w:p>
        </w:tc>
        <w:tc>
          <w:tcPr>
            <w:tcW w:w="421" w:type="dxa"/>
            <w:vMerge w:val="continue"/>
            <w:tcBorders/>
            <w:vAlign w:val="center"/>
          </w:tcPr>
          <w:p w14:paraId="46EF9754">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4312A0B8">
        <w:tblPrEx/>
        <w:trPr>
          <w:jc w:val="center"/>
        </w:trPr>
        <w:tc>
          <w:tcPr>
            <w:tcW w:w="418" w:type="dxa"/>
            <w:vMerge w:val="continue"/>
            <w:tcBorders/>
            <w:vAlign w:val="center"/>
          </w:tcPr>
          <w:p w14:paraId="778B0AF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continue"/>
            <w:tcBorders/>
            <w:vAlign w:val="center"/>
          </w:tcPr>
          <w:p w14:paraId="2C318AE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838" w:type="dxa"/>
            <w:vMerge w:val="continue"/>
            <w:tcBorders/>
            <w:vAlign w:val="center"/>
          </w:tcPr>
          <w:p w14:paraId="03AB085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3280" w:type="dxa"/>
            <w:gridSpan w:val="2"/>
            <w:tcBorders/>
            <w:vAlign w:val="center"/>
          </w:tcPr>
          <w:p w14:paraId="536C3A4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入罪举轻以明重（</w:t>
            </w:r>
            <w:r>
              <w:rPr>
                <w:rFonts w:ascii="汉仪中黑简" w:eastAsia="汉仪中黑简" w:hint="eastAsia"/>
                <w:color w:val="ff0000"/>
              </w:rPr>
              <w:t>轻重逻辑</w:t>
            </w:r>
            <w:r>
              <w:rPr>
                <w:rFonts w:ascii="汉仪书宋一简" w:cs="Times New Roman" w:eastAsia="汉仪书宋一简" w:hAnsi="Calibri" w:hint="eastAsia"/>
              </w:rPr>
              <w:t>）；需禁止类推</w:t>
            </w:r>
          </w:p>
        </w:tc>
        <w:tc>
          <w:tcPr>
            <w:tcW w:w="3127" w:type="dxa"/>
            <w:tcBorders/>
            <w:vAlign w:val="center"/>
          </w:tcPr>
          <w:p w14:paraId="7A0406C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中黑简" w:eastAsia="汉仪中黑简" w:hint="eastAsia"/>
                <w:color w:val="ff0000"/>
              </w:rPr>
              <w:t>“抢夺”</w:t>
            </w:r>
            <w:r>
              <w:rPr>
                <w:rFonts w:ascii="汉仪书宋一简" w:cs="Times New Roman" w:eastAsia="汉仪书宋一简" w:hAnsi="Times New Roman" w:hint="eastAsia"/>
              </w:rPr>
              <w:t>国有档案罪：抢劫国有档案</w:t>
            </w:r>
          </w:p>
        </w:tc>
        <w:tc>
          <w:tcPr>
            <w:tcW w:w="421" w:type="dxa"/>
            <w:vMerge w:val="continue"/>
            <w:tcBorders/>
            <w:vAlign w:val="center"/>
          </w:tcPr>
          <w:p w14:paraId="078637A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36C81D11">
        <w:tblPrEx/>
        <w:trPr>
          <w:trHeight w:val="315" w:hRule="atLeast"/>
          <w:jc w:val="center"/>
        </w:trPr>
        <w:tc>
          <w:tcPr>
            <w:tcW w:w="418" w:type="dxa"/>
            <w:vMerge w:val="continue"/>
            <w:tcBorders/>
            <w:vAlign w:val="center"/>
          </w:tcPr>
          <w:p w14:paraId="3CAC878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continue"/>
            <w:tcBorders/>
            <w:vAlign w:val="center"/>
          </w:tcPr>
          <w:p w14:paraId="41D7902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838" w:type="dxa"/>
            <w:vMerge w:val="restart"/>
            <w:tcBorders/>
            <w:vAlign w:val="center"/>
          </w:tcPr>
          <w:p w14:paraId="05C2AAD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类推解释</w:t>
            </w:r>
          </w:p>
        </w:tc>
        <w:tc>
          <w:tcPr>
            <w:tcW w:w="1673" w:type="dxa"/>
            <w:vMerge w:val="restart"/>
            <w:tcBorders/>
            <w:vAlign w:val="center"/>
          </w:tcPr>
          <w:p w14:paraId="1820150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解释结论超出用语</w:t>
            </w:r>
            <w:r>
              <w:rPr>
                <w:rFonts w:ascii="汉仪中黑简" w:eastAsia="汉仪中黑简" w:hint="eastAsia"/>
                <w:color w:val="ff0000"/>
              </w:rPr>
              <w:t>最大文义</w:t>
            </w:r>
            <w:r>
              <w:rPr>
                <w:rFonts w:ascii="汉仪书宋一简" w:cs="Times New Roman" w:eastAsia="汉仪书宋一简" w:hAnsi="Calibri" w:hint="eastAsia"/>
              </w:rPr>
              <w:t>、国民预测可能性</w:t>
            </w:r>
          </w:p>
        </w:tc>
        <w:tc>
          <w:tcPr>
            <w:tcW w:w="1607" w:type="dxa"/>
            <w:tcBorders/>
            <w:vAlign w:val="center"/>
          </w:tcPr>
          <w:p w14:paraId="21D3861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禁止不利于被告人</w:t>
            </w:r>
          </w:p>
        </w:tc>
        <w:tc>
          <w:tcPr>
            <w:tcW w:w="3127" w:type="dxa"/>
            <w:tcBorders/>
            <w:vAlign w:val="center"/>
          </w:tcPr>
          <w:p w14:paraId="4ACCAE79">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拐卖</w:t>
            </w:r>
            <w:r>
              <w:rPr>
                <w:rFonts w:ascii="汉仪中黑简" w:eastAsia="汉仪中黑简" w:hint="eastAsia"/>
                <w:color w:val="ff0000"/>
              </w:rPr>
              <w:t>“妇女”</w:t>
            </w:r>
            <w:r>
              <w:rPr>
                <w:rFonts w:ascii="汉仪书宋一简" w:cs="Times New Roman" w:eastAsia="汉仪书宋一简" w:hAnsi="Times New Roman" w:hint="eastAsia"/>
              </w:rPr>
              <w:t>罪：拐卖男子</w:t>
            </w:r>
          </w:p>
        </w:tc>
        <w:tc>
          <w:tcPr>
            <w:tcW w:w="421" w:type="dxa"/>
            <w:vMerge w:val="continue"/>
            <w:tcBorders/>
            <w:vAlign w:val="center"/>
          </w:tcPr>
          <w:p w14:paraId="294E2AA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6113C3FD">
        <w:tblPrEx/>
        <w:trPr>
          <w:trHeight w:val="285" w:hRule="atLeast"/>
          <w:jc w:val="center"/>
        </w:trPr>
        <w:tc>
          <w:tcPr>
            <w:tcW w:w="418" w:type="dxa"/>
            <w:vMerge w:val="continue"/>
            <w:tcBorders/>
            <w:vAlign w:val="center"/>
          </w:tcPr>
          <w:p w14:paraId="360FF66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421" w:type="dxa"/>
            <w:vMerge w:val="continue"/>
            <w:tcBorders/>
            <w:vAlign w:val="center"/>
          </w:tcPr>
          <w:p w14:paraId="1D6DD15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838" w:type="dxa"/>
            <w:vMerge w:val="continue"/>
            <w:tcBorders/>
            <w:vAlign w:val="center"/>
          </w:tcPr>
          <w:p w14:paraId="19041E3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673" w:type="dxa"/>
            <w:vMerge w:val="continue"/>
            <w:tcBorders/>
            <w:vAlign w:val="center"/>
          </w:tcPr>
          <w:p w14:paraId="4E070AC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607" w:type="dxa"/>
            <w:tcBorders/>
            <w:vAlign w:val="center"/>
          </w:tcPr>
          <w:p w14:paraId="7F34567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允许有利于被告人</w:t>
            </w:r>
          </w:p>
        </w:tc>
        <w:tc>
          <w:tcPr>
            <w:tcW w:w="3127" w:type="dxa"/>
            <w:tcBorders/>
            <w:vAlign w:val="center"/>
          </w:tcPr>
          <w:p w14:paraId="15E70B7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因被勒索给予国家工作人员以财物，没有获得不正当利益，不是行贿（</w:t>
            </w:r>
            <w:r>
              <w:rPr>
                <w:rFonts w:ascii="汉仪中黑简" w:eastAsia="汉仪中黑简" w:hint="eastAsia"/>
                <w:color w:val="ff0000"/>
              </w:rPr>
              <w:t>行贿罪</w:t>
            </w:r>
            <w:r>
              <w:rPr>
                <w:rFonts w:ascii="汉仪书宋一简" w:cs="Times New Roman" w:eastAsia="汉仪书宋一简" w:hAnsi="Times New Roman" w:hint="eastAsia"/>
              </w:rPr>
              <w:t>的出罪条款）：</w:t>
            </w:r>
            <w:r>
              <w:rPr>
                <w:rFonts w:ascii="汉仪中黑简" w:eastAsia="汉仪中黑简" w:hint="eastAsia"/>
                <w:color w:val="ff0000"/>
              </w:rPr>
              <w:t>对非国家工作人员行贿</w:t>
            </w:r>
          </w:p>
        </w:tc>
        <w:tc>
          <w:tcPr>
            <w:tcW w:w="421" w:type="dxa"/>
            <w:vMerge w:val="continue"/>
            <w:tcBorders/>
            <w:vAlign w:val="center"/>
          </w:tcPr>
          <w:p w14:paraId="5BAEEF0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52EC890B">
        <w:tblPrEx/>
        <w:trPr>
          <w:trHeight w:val="70" w:hRule="atLeast"/>
          <w:jc w:val="center"/>
        </w:trPr>
        <w:tc>
          <w:tcPr>
            <w:tcW w:w="418" w:type="dxa"/>
            <w:vMerge w:val="continue"/>
            <w:tcBorders/>
            <w:vAlign w:val="center"/>
          </w:tcPr>
          <w:p w14:paraId="4E52BDD1">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5748CCE5">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比较解释</w:t>
            </w:r>
          </w:p>
        </w:tc>
        <w:tc>
          <w:tcPr>
            <w:tcW w:w="3280" w:type="dxa"/>
            <w:gridSpan w:val="2"/>
            <w:tcBorders/>
            <w:vAlign w:val="center"/>
          </w:tcPr>
          <w:p w14:paraId="1EE96275">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对比国外刑法解释我国刑法</w:t>
            </w:r>
          </w:p>
        </w:tc>
        <w:tc>
          <w:tcPr>
            <w:tcW w:w="3127" w:type="dxa"/>
            <w:tcBorders/>
            <w:vAlign w:val="center"/>
          </w:tcPr>
          <w:p w14:paraId="7A72E03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中国刑法侵占罪：日本刑法侵占罪</w:t>
            </w:r>
          </w:p>
        </w:tc>
        <w:tc>
          <w:tcPr>
            <w:tcW w:w="421" w:type="dxa"/>
            <w:vMerge w:val="continue"/>
            <w:tcBorders/>
            <w:vAlign w:val="center"/>
          </w:tcPr>
          <w:p w14:paraId="24119E24">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22E0B99D">
        <w:tblPrEx/>
        <w:trPr>
          <w:jc w:val="center"/>
        </w:trPr>
        <w:tc>
          <w:tcPr>
            <w:tcW w:w="418" w:type="dxa"/>
            <w:vMerge w:val="continue"/>
            <w:tcBorders/>
            <w:vAlign w:val="center"/>
          </w:tcPr>
          <w:p w14:paraId="57524D27">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0B66A91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历史解释</w:t>
            </w:r>
          </w:p>
        </w:tc>
        <w:tc>
          <w:tcPr>
            <w:tcW w:w="3280" w:type="dxa"/>
            <w:gridSpan w:val="2"/>
            <w:tcBorders/>
            <w:vAlign w:val="center"/>
          </w:tcPr>
          <w:p w14:paraId="7C7080C2">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按法条的历史沿革解释</w:t>
            </w:r>
          </w:p>
        </w:tc>
        <w:tc>
          <w:tcPr>
            <w:tcW w:w="3127" w:type="dxa"/>
            <w:tcBorders/>
            <w:vAlign w:val="center"/>
          </w:tcPr>
          <w:p w14:paraId="03088A4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现寻衅滋事罪：旧刑法流氓罪</w:t>
            </w:r>
          </w:p>
        </w:tc>
        <w:tc>
          <w:tcPr>
            <w:tcW w:w="421" w:type="dxa"/>
            <w:vMerge w:val="continue"/>
            <w:tcBorders/>
            <w:vAlign w:val="center"/>
          </w:tcPr>
          <w:p w14:paraId="79ADFD7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6023769A">
        <w:tblPrEx/>
        <w:trPr>
          <w:trHeight w:val="70" w:hRule="atLeast"/>
          <w:jc w:val="center"/>
        </w:trPr>
        <w:tc>
          <w:tcPr>
            <w:tcW w:w="418" w:type="dxa"/>
            <w:vMerge w:val="restart"/>
            <w:tcBorders/>
            <w:vAlign w:val="center"/>
          </w:tcPr>
          <w:p w14:paraId="223D7342">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中黑简" w:eastAsia="汉仪中黑简" w:hint="eastAsia"/>
              </w:rPr>
              <w:t>解释结论大小</w:t>
            </w:r>
          </w:p>
        </w:tc>
        <w:tc>
          <w:tcPr>
            <w:tcW w:w="1259" w:type="dxa"/>
            <w:gridSpan w:val="2"/>
            <w:tcBorders/>
            <w:vAlign w:val="center"/>
          </w:tcPr>
          <w:p w14:paraId="2A7B7FC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平义解释</w:t>
            </w:r>
          </w:p>
        </w:tc>
        <w:tc>
          <w:tcPr>
            <w:tcW w:w="3280" w:type="dxa"/>
            <w:gridSpan w:val="2"/>
            <w:tcBorders/>
            <w:vAlign w:val="center"/>
          </w:tcPr>
          <w:p w14:paraId="5EE2804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解释结论</w:t>
            </w:r>
            <w:r>
              <w:rPr>
                <w:rFonts w:ascii="汉仪中黑简" w:eastAsia="汉仪中黑简" w:hint="eastAsia"/>
                <w:color w:val="ff0000"/>
              </w:rPr>
              <w:t>等于一般文义</w:t>
            </w:r>
          </w:p>
        </w:tc>
        <w:tc>
          <w:tcPr>
            <w:tcW w:w="3127" w:type="dxa"/>
            <w:tcBorders/>
            <w:vAlign w:val="center"/>
          </w:tcPr>
          <w:p w14:paraId="325F6B4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盗窃</w:t>
            </w:r>
            <w:r>
              <w:rPr>
                <w:rFonts w:ascii="汉仪中黑简" w:eastAsia="汉仪中黑简" w:hint="eastAsia"/>
                <w:color w:val="ff0000"/>
              </w:rPr>
              <w:t>“公私财物”</w:t>
            </w:r>
            <w:r>
              <w:rPr>
                <w:rFonts w:ascii="汉仪书宋一简" w:cs="Times New Roman" w:eastAsia="汉仪书宋一简" w:hAnsi="Times New Roman" w:hint="eastAsia"/>
              </w:rPr>
              <w:t>：他人的财物</w:t>
            </w:r>
          </w:p>
        </w:tc>
        <w:tc>
          <w:tcPr>
            <w:tcW w:w="421" w:type="dxa"/>
            <w:tcBorders/>
            <w:vAlign w:val="center"/>
          </w:tcPr>
          <w:p w14:paraId="11A41E1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文理</w:t>
            </w:r>
          </w:p>
        </w:tc>
      </w:tr>
      <w:tr w14:paraId="0906DC3A">
        <w:tblPrEx/>
        <w:trPr>
          <w:jc w:val="center"/>
        </w:trPr>
        <w:tc>
          <w:tcPr>
            <w:tcW w:w="418" w:type="dxa"/>
            <w:vMerge w:val="continue"/>
            <w:tcBorders/>
            <w:vAlign w:val="center"/>
          </w:tcPr>
          <w:p w14:paraId="4B89E3C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03F3865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Calibri" w:hint="eastAsia"/>
              </w:rPr>
              <w:t>缩小解释</w:t>
            </w:r>
          </w:p>
        </w:tc>
        <w:tc>
          <w:tcPr>
            <w:tcW w:w="3280" w:type="dxa"/>
            <w:gridSpan w:val="2"/>
            <w:tcBorders/>
            <w:vAlign w:val="center"/>
          </w:tcPr>
          <w:p w14:paraId="30744FB4">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解释结论</w:t>
            </w:r>
            <w:r>
              <w:rPr>
                <w:rFonts w:ascii="汉仪中黑简" w:eastAsia="汉仪中黑简" w:hint="eastAsia"/>
                <w:color w:val="ff0000"/>
              </w:rPr>
              <w:t>小于一般含义</w:t>
            </w:r>
          </w:p>
        </w:tc>
        <w:tc>
          <w:tcPr>
            <w:tcW w:w="3127" w:type="dxa"/>
            <w:tcBorders/>
            <w:vAlign w:val="center"/>
          </w:tcPr>
          <w:p w14:paraId="79227F6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为境外非法提供</w:t>
            </w:r>
            <w:r>
              <w:rPr>
                <w:rFonts w:ascii="汉仪中黑简" w:eastAsia="汉仪中黑简" w:hint="eastAsia"/>
                <w:color w:val="ff0000"/>
              </w:rPr>
              <w:t>“情报”</w:t>
            </w:r>
            <w:r>
              <w:rPr>
                <w:rFonts w:ascii="汉仪书宋一简" w:cs="Times New Roman" w:eastAsia="汉仪书宋一简" w:hAnsi="Times New Roman" w:hint="eastAsia"/>
              </w:rPr>
              <w:t>罪：不应公开的国家事项</w:t>
            </w:r>
          </w:p>
        </w:tc>
        <w:tc>
          <w:tcPr>
            <w:tcW w:w="421" w:type="dxa"/>
            <w:vMerge w:val="restart"/>
            <w:tcBorders/>
            <w:vAlign w:val="center"/>
          </w:tcPr>
          <w:p w14:paraId="3B7EC2E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论理</w:t>
            </w:r>
          </w:p>
        </w:tc>
      </w:tr>
      <w:tr w14:paraId="5F950815">
        <w:tblPrEx/>
        <w:trPr>
          <w:jc w:val="center"/>
        </w:trPr>
        <w:tc>
          <w:tcPr>
            <w:tcW w:w="418" w:type="dxa"/>
            <w:vMerge w:val="continue"/>
            <w:tcBorders/>
            <w:vAlign w:val="center"/>
          </w:tcPr>
          <w:p w14:paraId="673B502B">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697F7D2D">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int="eastAsia"/>
              </w:rPr>
              <w:t>★</w:t>
            </w:r>
            <w:r>
              <w:rPr>
                <w:rFonts w:ascii="汉仪书宋一简" w:cs="Times New Roman" w:eastAsia="汉仪书宋一简" w:hAnsi="Times New Roman" w:hint="eastAsia"/>
              </w:rPr>
              <w:t>扩大解释</w:t>
            </w:r>
          </w:p>
        </w:tc>
        <w:tc>
          <w:tcPr>
            <w:tcW w:w="3280" w:type="dxa"/>
            <w:gridSpan w:val="2"/>
            <w:tcBorders/>
            <w:vAlign w:val="center"/>
          </w:tcPr>
          <w:p w14:paraId="5AF21557">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解释结论</w:t>
            </w:r>
            <w:r>
              <w:rPr>
                <w:rFonts w:ascii="汉仪中黑简" w:eastAsia="汉仪中黑简" w:hint="eastAsia"/>
                <w:color w:val="ff0000"/>
              </w:rPr>
              <w:t>大于一般文义</w:t>
            </w:r>
          </w:p>
        </w:tc>
        <w:tc>
          <w:tcPr>
            <w:tcW w:w="3127" w:type="dxa"/>
            <w:tcBorders/>
            <w:vAlign w:val="center"/>
          </w:tcPr>
          <w:p w14:paraId="14299D53">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中黑简" w:eastAsia="汉仪中黑简" w:hint="eastAsia"/>
                <w:color w:val="ff0000"/>
              </w:rPr>
              <w:t>“审判的时候”</w:t>
            </w:r>
            <w:r>
              <w:rPr>
                <w:rFonts w:ascii="汉仪书宋一简" w:cs="Times New Roman" w:eastAsia="汉仪书宋一简" w:hAnsi="Times New Roman" w:hint="eastAsia"/>
              </w:rPr>
              <w:t>怀孕的妇女：羁押</w:t>
            </w:r>
          </w:p>
        </w:tc>
        <w:tc>
          <w:tcPr>
            <w:tcW w:w="421" w:type="dxa"/>
            <w:vMerge w:val="continue"/>
            <w:tcBorders/>
            <w:vAlign w:val="center"/>
          </w:tcPr>
          <w:p w14:paraId="1B853027">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194F9534">
        <w:tblPrEx/>
        <w:trPr>
          <w:jc w:val="center"/>
        </w:trPr>
        <w:tc>
          <w:tcPr>
            <w:tcW w:w="418" w:type="dxa"/>
            <w:vMerge w:val="continue"/>
            <w:tcBorders/>
            <w:vAlign w:val="center"/>
          </w:tcPr>
          <w:p w14:paraId="7363E524">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5A5A9C46">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反对解释</w:t>
            </w:r>
          </w:p>
        </w:tc>
        <w:tc>
          <w:tcPr>
            <w:tcW w:w="3280" w:type="dxa"/>
            <w:gridSpan w:val="2"/>
            <w:tcBorders/>
            <w:vAlign w:val="center"/>
          </w:tcPr>
          <w:p w14:paraId="612A0F8E">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根据正面表述推导反面含义</w:t>
            </w:r>
          </w:p>
        </w:tc>
        <w:tc>
          <w:tcPr>
            <w:tcW w:w="3127" w:type="dxa"/>
            <w:tcBorders/>
            <w:vAlign w:val="center"/>
          </w:tcPr>
          <w:p w14:paraId="25A3AA88">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死缓</w:t>
            </w:r>
            <w:r>
              <w:rPr>
                <w:rFonts w:ascii="汉仪中黑简" w:eastAsia="汉仪中黑简" w:hint="eastAsia"/>
                <w:color w:val="ff0000"/>
              </w:rPr>
              <w:t>二年期满后减</w:t>
            </w:r>
            <w:r>
              <w:rPr>
                <w:rFonts w:ascii="汉仪书宋一简" w:cs="Times New Roman" w:eastAsia="汉仪书宋一简" w:hAnsi="Times New Roman" w:hint="eastAsia"/>
              </w:rPr>
              <w:t>：不满二年不减</w:t>
            </w:r>
          </w:p>
        </w:tc>
        <w:tc>
          <w:tcPr>
            <w:tcW w:w="421" w:type="dxa"/>
            <w:vMerge w:val="continue"/>
            <w:tcBorders/>
            <w:vAlign w:val="center"/>
          </w:tcPr>
          <w:p w14:paraId="12D1E51F">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r w14:paraId="7F18E355">
        <w:tblPrEx/>
        <w:trPr>
          <w:jc w:val="center"/>
        </w:trPr>
        <w:tc>
          <w:tcPr>
            <w:tcW w:w="418" w:type="dxa"/>
            <w:vMerge w:val="continue"/>
            <w:tcBorders/>
            <w:vAlign w:val="center"/>
          </w:tcPr>
          <w:p w14:paraId="1D1BB58C">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c>
          <w:tcPr>
            <w:tcW w:w="1259" w:type="dxa"/>
            <w:gridSpan w:val="2"/>
            <w:tcBorders/>
            <w:vAlign w:val="center"/>
          </w:tcPr>
          <w:p w14:paraId="4B10848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补正解释</w:t>
            </w:r>
          </w:p>
        </w:tc>
        <w:tc>
          <w:tcPr>
            <w:tcW w:w="3280" w:type="dxa"/>
            <w:gridSpan w:val="2"/>
            <w:tcBorders/>
            <w:vAlign w:val="center"/>
          </w:tcPr>
          <w:p w14:paraId="53B98350">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补正刑法表述文字的错误</w:t>
            </w:r>
          </w:p>
        </w:tc>
        <w:tc>
          <w:tcPr>
            <w:tcW w:w="3127" w:type="dxa"/>
            <w:tcBorders/>
            <w:vAlign w:val="center"/>
          </w:tcPr>
          <w:p w14:paraId="0EEF8475">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r>
              <w:rPr>
                <w:rFonts w:ascii="汉仪书宋一简" w:cs="Times New Roman" w:eastAsia="汉仪书宋一简" w:hAnsi="Times New Roman" w:hint="eastAsia"/>
              </w:rPr>
              <w:t>191条中“</w:t>
            </w:r>
            <w:r>
              <w:rPr>
                <w:rFonts w:ascii="汉仪中黑简" w:eastAsia="汉仪中黑简" w:hint="eastAsia"/>
                <w:color w:val="ff0000"/>
              </w:rPr>
              <w:t>没收</w:t>
            </w:r>
            <w:r>
              <w:rPr>
                <w:rFonts w:ascii="汉仪书宋一简" w:cs="Times New Roman" w:eastAsia="汉仪书宋一简" w:hAnsi="Times New Roman" w:hint="eastAsia"/>
              </w:rPr>
              <w:t>”洗钱罪所得：追缴</w:t>
            </w:r>
          </w:p>
        </w:tc>
        <w:tc>
          <w:tcPr>
            <w:tcW w:w="421" w:type="dxa"/>
            <w:vMerge w:val="continue"/>
            <w:tcBorders/>
            <w:vAlign w:val="center"/>
          </w:tcPr>
          <w:p w14:paraId="15B941AA">
            <w:pPr>
              <w:pStyle w:val="style0"/>
              <w:snapToGrid w:val="false"/>
              <w:spacing w:before="31" w:beforeLines="10" w:after="62" w:afterLines="20" w:lineRule="exact" w:line="400"/>
              <w:ind w:firstLine="0" w:firstLineChars="0"/>
              <w:rPr>
                <w:rFonts w:ascii="汉仪书宋一简" w:cs="Times New Roman" w:eastAsia="汉仪书宋一简" w:hAnsi="Times New Roman"/>
              </w:rPr>
            </w:pPr>
          </w:p>
        </w:tc>
      </w:tr>
    </w:tbl>
    <w:p w14:paraId="78D62624">
      <w:pPr>
        <w:pStyle w:val="style4"/>
        <w:spacing w:lineRule="exact" w:line="400"/>
        <w:ind w:firstLine="252" w:firstLineChars="120"/>
        <w:rPr>
          <w:sz w:val="21"/>
          <w:szCs w:val="21"/>
        </w:rPr>
      </w:pPr>
      <w:r>
        <w:rPr>
          <w:sz w:val="21"/>
          <w:szCs w:val="21"/>
        </w:rPr>
        <w:t>（</w:t>
      </w:r>
      <w:r>
        <w:rPr>
          <w:rFonts w:hint="eastAsia"/>
          <w:sz w:val="21"/>
          <w:szCs w:val="21"/>
        </w:rPr>
        <w:t>一</w:t>
      </w:r>
      <w:r>
        <w:rPr>
          <w:sz w:val="21"/>
          <w:szCs w:val="21"/>
        </w:rPr>
        <w:t>）</w:t>
      </w:r>
      <w:r>
        <w:rPr>
          <w:rFonts w:hint="eastAsia"/>
          <w:sz w:val="21"/>
          <w:szCs w:val="21"/>
        </w:rPr>
        <w:t>当然解释</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594"/>
        <w:gridCol w:w="2087"/>
        <w:gridCol w:w="4824"/>
      </w:tblGrid>
      <w:tr w14:paraId="1BFF864E">
        <w:trPr>
          <w:jc w:val="center"/>
        </w:trPr>
        <w:tc>
          <w:tcPr>
            <w:tcW w:w="1594" w:type="dxa"/>
            <w:tcBorders/>
            <w:vAlign w:val="center"/>
          </w:tcPr>
          <w:p w14:paraId="4A82336E">
            <w:pPr>
              <w:pStyle w:val="style0"/>
              <w:snapToGrid w:val="false"/>
              <w:spacing w:after="15" w:afterLines="5" w:lineRule="exact" w:line="400"/>
              <w:ind w:firstLine="0" w:firstLineChars="0"/>
              <w:rPr>
                <w:rFonts w:ascii="汉仪中黑简" w:eastAsia="汉仪中黑简" w:hint="eastAsia"/>
              </w:rPr>
            </w:pPr>
            <w:r>
              <w:rPr>
                <w:rFonts w:ascii="汉仪中黑简" w:eastAsia="汉仪中黑简" w:hint="eastAsia"/>
              </w:rPr>
              <w:t>种属当然逻辑</w:t>
            </w:r>
          </w:p>
        </w:tc>
        <w:tc>
          <w:tcPr>
            <w:tcW w:w="2087" w:type="dxa"/>
            <w:tcBorders/>
            <w:vAlign w:val="center"/>
          </w:tcPr>
          <w:p w14:paraId="7FFBE2A4">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将“种”（下位）解释进“属”（上位）中</w:t>
            </w:r>
          </w:p>
        </w:tc>
        <w:tc>
          <w:tcPr>
            <w:tcW w:w="4824" w:type="dxa"/>
            <w:tcBorders/>
            <w:vAlign w:val="center"/>
          </w:tcPr>
          <w:p w14:paraId="7D32AC0E">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将“婴儿”解释到“人”中去，当然正确</w:t>
            </w:r>
          </w:p>
        </w:tc>
      </w:tr>
      <w:tr w14:paraId="64F20483">
        <w:tblPrEx/>
        <w:trPr>
          <w:jc w:val="center"/>
        </w:trPr>
        <w:tc>
          <w:tcPr>
            <w:tcW w:w="1594" w:type="dxa"/>
            <w:vMerge w:val="restart"/>
            <w:tcBorders/>
            <w:vAlign w:val="center"/>
          </w:tcPr>
          <w:p w14:paraId="34D0237F">
            <w:pPr>
              <w:pStyle w:val="style0"/>
              <w:snapToGrid w:val="false"/>
              <w:spacing w:after="15" w:afterLines="5" w:lineRule="exact" w:line="400"/>
              <w:ind w:firstLine="0" w:firstLineChars="0"/>
              <w:rPr>
                <w:rFonts w:ascii="汉仪中黑简" w:eastAsia="汉仪中黑简" w:hint="eastAsia"/>
              </w:rPr>
            </w:pPr>
            <w:r>
              <w:rPr>
                <w:rFonts w:ascii="汉仪中黑简" w:eastAsia="汉仪中黑简" w:hint="eastAsia"/>
              </w:rPr>
              <w:t>轻重当然逻辑</w:t>
            </w:r>
          </w:p>
        </w:tc>
        <w:tc>
          <w:tcPr>
            <w:tcW w:w="2087" w:type="dxa"/>
            <w:tcBorders/>
            <w:vAlign w:val="center"/>
          </w:tcPr>
          <w:p w14:paraId="2FEE8BB7">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出罪时举重以明轻</w:t>
            </w:r>
          </w:p>
        </w:tc>
        <w:tc>
          <w:tcPr>
            <w:tcW w:w="4824" w:type="dxa"/>
            <w:tcBorders/>
            <w:vAlign w:val="center"/>
          </w:tcPr>
          <w:p w14:paraId="6D72B761">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结论一般正确。因刑法允许有利于被告人的类推解释</w:t>
            </w:r>
          </w:p>
        </w:tc>
      </w:tr>
      <w:tr w14:paraId="4EF43D52">
        <w:tblPrEx/>
        <w:trPr>
          <w:jc w:val="center"/>
        </w:trPr>
        <w:tc>
          <w:tcPr>
            <w:tcW w:w="1594" w:type="dxa"/>
            <w:vMerge w:val="continue"/>
            <w:tcBorders/>
            <w:vAlign w:val="center"/>
          </w:tcPr>
          <w:p w14:paraId="33A41498">
            <w:pPr>
              <w:pStyle w:val="style0"/>
              <w:snapToGrid w:val="false"/>
              <w:spacing w:before="31" w:beforeLines="10" w:after="62" w:afterLines="20" w:lineRule="exact" w:line="400"/>
              <w:ind w:firstLine="0" w:firstLineChars="0"/>
              <w:rPr>
                <w:rFonts w:ascii="汉仪书宋一简" w:cs="Times New Roman" w:eastAsia="汉仪书宋一简" w:hint="eastAsia"/>
              </w:rPr>
            </w:pPr>
          </w:p>
        </w:tc>
        <w:tc>
          <w:tcPr>
            <w:tcW w:w="2087" w:type="dxa"/>
            <w:tcBorders/>
            <w:vAlign w:val="center"/>
          </w:tcPr>
          <w:p w14:paraId="38B6E07D">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入罪时举轻以明重</w:t>
            </w:r>
          </w:p>
        </w:tc>
        <w:tc>
          <w:tcPr>
            <w:tcW w:w="4824" w:type="dxa"/>
            <w:tcBorders/>
            <w:vAlign w:val="center"/>
          </w:tcPr>
          <w:p w14:paraId="5ACEEA02">
            <w:pPr>
              <w:pStyle w:val="style0"/>
              <w:snapToGrid w:val="false"/>
              <w:spacing w:before="31" w:beforeLines="10" w:after="62" w:afterLines="20" w:lineRule="exact" w:line="400"/>
              <w:ind w:firstLine="0" w:firstLineChars="0"/>
              <w:rPr>
                <w:rFonts w:ascii="汉仪书宋一简" w:cs="Times New Roman" w:eastAsia="汉仪书宋一简" w:hint="eastAsia"/>
              </w:rPr>
            </w:pPr>
            <w:r>
              <w:rPr>
                <w:rFonts w:ascii="汉仪书宋一简" w:cs="Times New Roman" w:eastAsia="汉仪书宋一简" w:hint="eastAsia"/>
              </w:rPr>
              <w:t>要使结论正确。一要比较轻重，二要禁止类推（案件事实符合刑法规范规定，不属类推）</w:t>
            </w:r>
          </w:p>
        </w:tc>
      </w:tr>
    </w:tbl>
    <w:p w14:paraId="0AE15087">
      <w:pPr>
        <w:pStyle w:val="style0"/>
        <w:spacing w:lineRule="exact" w:line="400"/>
        <w:ind w:firstLine="420"/>
        <w:jc w:val="left"/>
        <w:rPr>
          <w:rFonts w:ascii="汉仪书宋二简" w:cs="汉仪书宋二简" w:hAnsi="汉仪书宋二简" w:hint="eastAsia"/>
          <w:kern w:val="0"/>
        </w:rPr>
      </w:pPr>
    </w:p>
    <w:p w14:paraId="00DB0770">
      <w:pPr>
        <w:pStyle w:val="style4"/>
        <w:spacing w:lineRule="exact" w:line="400"/>
        <w:ind w:firstLine="252" w:firstLineChars="120"/>
        <w:rPr>
          <w:rFonts w:ascii="汉仪书宋二简" w:cs="汉仪书宋二简" w:eastAsia="汉仪书宋二简" w:hAnsi="汉仪书宋二简" w:hint="eastAsia"/>
          <w:bCs w:val="false"/>
          <w:kern w:val="0"/>
          <w:sz w:val="21"/>
          <w:szCs w:val="21"/>
        </w:rPr>
      </w:pPr>
      <w:r>
        <w:rPr>
          <w:rFonts w:hint="eastAsia"/>
          <w:sz w:val="21"/>
          <w:szCs w:val="21"/>
        </w:rPr>
        <w:t>（二）解释结论大小：</w:t>
      </w:r>
      <w:r>
        <w:rPr>
          <w:rFonts w:ascii="汉仪书宋二简" w:cs="汉仪书宋二简" w:eastAsia="汉仪书宋二简" w:hAnsi="汉仪书宋二简" w:hint="eastAsia"/>
          <w:bCs w:val="false"/>
          <w:kern w:val="0"/>
          <w:sz w:val="21"/>
          <w:szCs w:val="21"/>
        </w:rPr>
        <w:t>平义解释、扩大解释、缩小解释、反面解释、补正解释等</w:t>
      </w:r>
    </w:p>
    <w:p w14:paraId="6DB91699">
      <w:pPr>
        <w:pStyle w:val="style0"/>
        <w:spacing w:lineRule="exact" w:line="400"/>
        <w:ind w:firstLine="420"/>
        <w:jc w:val="left"/>
        <w:rPr>
          <w:rFonts w:ascii="汉仪书宋二简" w:cs="汉仪书宋二简" w:hAnsi="汉仪书宋二简" w:hint="eastAsia"/>
          <w:kern w:val="0"/>
        </w:rPr>
      </w:pP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14:paraId="07F1CE9B">
        <w:trPr>
          <w:jc w:val="center"/>
        </w:trPr>
        <w:tc>
          <w:tcPr>
            <w:tcW w:w="8302" w:type="dxa"/>
            <w:tcBorders/>
            <w:vAlign w:val="center"/>
          </w:tcPr>
          <w:p w14:paraId="70A4CD49">
            <w:pPr>
              <w:pStyle w:val="style0"/>
              <w:adjustRightInd w:val="false"/>
              <w:snapToGrid w:val="false"/>
              <w:spacing w:before="31" w:beforeLines="10" w:after="62" w:afterLines="20" w:lineRule="exact" w:line="400"/>
              <w:ind w:firstLine="0" w:firstLineChars="0"/>
              <w:jc w:val="center"/>
              <w:rPr>
                <w:rFonts w:ascii="汉仪书宋一简" w:cs="Times New Roman" w:eastAsia="汉仪书宋一简" w:hAnsi="Calibri"/>
              </w:rPr>
            </w:pPr>
            <w:r>
              <w:rPr>
                <w:rFonts w:ascii="汉仪中黑简" w:cs="汉仪书宋二简" w:eastAsia="汉仪中黑简" w:hAnsi="汉仪书宋二简" w:hint="eastAsia"/>
              </w:rPr>
              <w:t>特别提示：</w:t>
            </w:r>
            <w:r>
              <w:rPr>
                <w:rFonts w:ascii="汉仪书宋一简" w:cs="Times New Roman" w:eastAsia="汉仪书宋一简" w:hAnsi="Calibri" w:hint="eastAsia"/>
              </w:rPr>
              <w:t>平义解释、缩小解释、扩大解释的识别方法</w:t>
            </w:r>
          </w:p>
          <w:p w14:paraId="7D646FDD">
            <w:pPr>
              <w:pStyle w:val="style0"/>
              <w:adjustRightInd w:val="false"/>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第一步，弄清被解释字词的一般文义（日常生活含义）</w:t>
            </w:r>
          </w:p>
          <w:p w14:paraId="1124655A">
            <w:pPr>
              <w:pStyle w:val="style0"/>
              <w:adjustRightInd w:val="false"/>
              <w:snapToGrid w:val="false"/>
              <w:spacing w:before="31" w:beforeLines="10" w:after="62" w:afterLines="20" w:lineRule="exact" w:line="400"/>
              <w:ind w:firstLine="0" w:firstLineChars="0"/>
              <w:rPr>
                <w:rFonts w:ascii="汉仪书宋一简" w:cs="Times New Roman" w:eastAsia="汉仪书宋一简" w:hAnsi="Calibri"/>
              </w:rPr>
            </w:pPr>
            <w:r>
              <w:rPr>
                <w:rFonts w:ascii="汉仪书宋一简" w:cs="Times New Roman" w:eastAsia="汉仪书宋一简" w:hAnsi="Calibri" w:hint="eastAsia"/>
              </w:rPr>
              <w:t>第二步，看被解释字词的解释结论</w:t>
            </w:r>
          </w:p>
          <w:p w14:paraId="3C50EF1C">
            <w:pPr>
              <w:pStyle w:val="style0"/>
              <w:adjustRightInd w:val="false"/>
              <w:snapToGrid w:val="false"/>
              <w:spacing w:before="31" w:beforeLines="10" w:after="62" w:afterLines="20" w:lineRule="exact" w:line="400"/>
              <w:ind w:firstLine="0" w:firstLineChars="0"/>
              <w:rPr>
                <w:rFonts w:ascii="汉仪书宋一简" w:cs="Times New Roman" w:eastAsia="汉仪书宋一简" w:hAnsi="仿宋" w:hint="eastAsia"/>
              </w:rPr>
            </w:pPr>
            <w:r>
              <w:rPr>
                <w:rFonts w:ascii="汉仪书宋一简" w:cs="Times New Roman" w:eastAsia="汉仪书宋一简" w:hAnsi="Calibri" w:hint="eastAsia"/>
              </w:rPr>
              <w:t>第三步，比较解释结论与一般文义的大小</w:t>
            </w:r>
          </w:p>
        </w:tc>
      </w:tr>
    </w:tbl>
    <w:p w14:paraId="628FC415">
      <w:pPr>
        <w:pStyle w:val="style0"/>
        <w:snapToGrid w:val="false"/>
        <w:spacing w:lineRule="exact" w:line="400"/>
        <w:ind w:firstLine="0" w:firstLineChars="0"/>
        <w:rPr>
          <w:rFonts w:ascii="汉仪中黑简" w:cs="汉仪书宋二简" w:eastAsia="汉仪中黑简" w:hAnsi="汉仪书宋二简" w:hint="eastAsia"/>
          <w:color w:val="ff0000"/>
          <w:kern w:val="0"/>
        </w:rPr>
      </w:pPr>
    </w:p>
    <w:p w14:paraId="4062472D">
      <w:pPr>
        <w:pStyle w:val="style0"/>
        <w:snapToGrid w:val="false"/>
        <w:spacing w:lineRule="exact" w:line="400"/>
        <w:ind w:firstLine="420"/>
        <w:rPr>
          <w:rFonts w:ascii="汉仪中黑简" w:cs="汉仪书宋二简" w:eastAsia="汉仪中黑简" w:hAnsi="汉仪书宋二简" w:hint="eastAsia"/>
          <w:kern w:val="0"/>
        </w:rPr>
      </w:pPr>
      <w:r>
        <w:rPr>
          <w:rFonts w:ascii="汉仪中黑简" w:cs="汉仪书宋二简" w:eastAsia="汉仪中黑简" w:hAnsi="汉仪书宋二简" w:hint="eastAsia"/>
          <w:kern w:val="0"/>
        </w:rPr>
        <w:t>区分扩大解释与类推解释</w:t>
      </w:r>
      <w:r>
        <w:rPr>
          <w:rFonts w:ascii="汉仪中黑简" w:cs="汉仪书宋二简" w:eastAsia="汉仪中黑简" w:hAnsi="汉仪书宋二简" w:hint="eastAsia"/>
          <w:kern w:val="0"/>
        </w:rPr>
        <w:t>（注意，常考）</w:t>
      </w:r>
    </w:p>
    <w:p w14:paraId="15515241">
      <w:pPr>
        <w:pStyle w:val="style0"/>
        <w:spacing w:lineRule="exact" w:line="400"/>
        <w:ind w:firstLine="422"/>
        <w:jc w:val="left"/>
        <w:rPr>
          <w:rFonts w:ascii="汉仪书宋二简" w:cs="汉仪书宋二简" w:hAnsi="汉仪书宋二简" w:hint="eastAsia"/>
          <w:kern w:val="0"/>
        </w:rPr>
      </w:pPr>
      <w:r>
        <w:rPr>
          <w:rFonts w:ascii="汉仪书宋二简" w:cs="汉仪书宋二简" w:hAnsi="汉仪书宋二简" w:hint="eastAsia"/>
          <w:b/>
          <w:kern w:val="0"/>
        </w:rPr>
        <w:t>区分点</w:t>
      </w:r>
      <w:r>
        <w:rPr>
          <w:rFonts w:ascii="汉仪书宋二简" w:cs="汉仪书宋二简" w:hAnsi="汉仪书宋二简" w:hint="eastAsia"/>
          <w:b/>
          <w:kern w:val="0"/>
        </w:rPr>
        <w:t>：</w:t>
      </w:r>
      <w:r>
        <w:rPr>
          <w:rFonts w:ascii="汉仪书宋二简" w:cs="汉仪书宋二简" w:hAnsi="汉仪书宋二简" w:hint="eastAsia"/>
          <w:b/>
          <w:kern w:val="0"/>
        </w:rPr>
        <w:t>解释结论是否超出的字词的最大文义。</w:t>
      </w:r>
      <w:r>
        <w:rPr>
          <w:rFonts w:ascii="汉仪书宋二简" w:cs="汉仪书宋二简" w:hAnsi="汉仪书宋二简" w:hint="eastAsia"/>
          <w:kern w:val="0"/>
        </w:rPr>
        <w:t>解释结论大于一般文义，但是未超过最大文义的（在国民预测可能性范围之内），系扩大解释；解释结论超过了最大文义的（超出国民预测可能性范围），系类推解释。</w:t>
      </w:r>
    </w:p>
    <w:p w14:paraId="6BCD5756">
      <w:pPr>
        <w:pStyle w:val="style0"/>
        <w:snapToGrid w:val="false"/>
        <w:spacing w:lineRule="exact" w:line="400"/>
        <w:ind w:firstLine="420"/>
        <w:rPr>
          <w:rFonts w:ascii="汉仪中黑简" w:cs="汉仪书宋二简" w:eastAsia="汉仪中黑简" w:hAnsi="汉仪书宋二简" w:hint="eastAsia"/>
          <w:color w:val="ff0000"/>
          <w:kern w:val="0"/>
        </w:rPr>
      </w:pPr>
      <w:r>
        <w:rPr>
          <w:rFonts w:ascii="汉仪书宋二简" w:cs="汉仪书宋二简" w:hAnsi="汉仪书宋二简" w:hint="eastAsia"/>
          <w:kern w:val="0"/>
        </w:rPr>
        <w:t>务实的区分方法：待判断的事例与刑法规定的字词之间的关系。</w:t>
      </w:r>
      <w:r>
        <w:rPr>
          <w:rFonts w:ascii="汉仪中黑简" w:cs="汉仪书宋二简" w:eastAsia="汉仪中黑简" w:hAnsi="汉仪书宋二简" w:hint="eastAsia"/>
          <w:color w:val="ff0000"/>
          <w:kern w:val="0"/>
        </w:rPr>
        <w:t>是包容关系（勉强可以包容进来）则为扩大解释；是并列关系（两概念地位平等）则为类推解释。</w:t>
      </w:r>
    </w:p>
    <w:p w14:paraId="3F9C6246">
      <w:pPr>
        <w:pStyle w:val="style4"/>
        <w:spacing w:lineRule="exact" w:line="400"/>
        <w:ind w:firstLine="252" w:firstLineChars="120"/>
        <w:rPr>
          <w:sz w:val="21"/>
          <w:szCs w:val="21"/>
        </w:rPr>
      </w:pPr>
      <w:r>
        <w:rPr>
          <w:rFonts w:hint="eastAsia"/>
          <w:sz w:val="21"/>
          <w:szCs w:val="21"/>
        </w:rPr>
        <w:t>（三）刑法解释的规则</w:t>
      </w:r>
      <w:r>
        <w:rPr>
          <w:rFonts w:hint="eastAsia"/>
          <w:sz w:val="21"/>
          <w:szCs w:val="21"/>
        </w:rPr>
        <w:t>需要注意：</w:t>
      </w:r>
    </w:p>
    <w:p w14:paraId="6D72DDC9">
      <w:pPr>
        <w:pStyle w:val="style0"/>
        <w:spacing w:lineRule="exact" w:line="400"/>
        <w:ind w:firstLine="420"/>
        <w:jc w:val="left"/>
        <w:rPr>
          <w:rFonts w:ascii="汉仪书宋二简" w:cs="汉仪书宋二简" w:hAnsi="汉仪书宋二简" w:hint="eastAsia"/>
          <w:kern w:val="0"/>
        </w:rPr>
      </w:pPr>
      <w:r>
        <w:rPr>
          <w:rFonts w:ascii="汉仪书宋二简" w:cs="汉仪书宋二简" w:hAnsi="汉仪书宋二简"/>
          <w:kern w:val="0"/>
        </w:rPr>
        <w:t>1</w:t>
      </w:r>
      <w:r>
        <w:rPr>
          <w:rFonts w:ascii="汉仪书宋二简" w:cs="汉仪书宋二简" w:hAnsi="汉仪书宋二简" w:hint="eastAsia"/>
          <w:kern w:val="0"/>
        </w:rPr>
        <w:t>．</w:t>
      </w:r>
      <w:r>
        <w:rPr>
          <w:rFonts w:ascii="汉仪书宋二简" w:cs="汉仪书宋二简" w:hAnsi="汉仪书宋二简"/>
          <w:kern w:val="0"/>
        </w:rPr>
        <w:t>在解释形式上：</w:t>
      </w:r>
      <w:r>
        <w:rPr>
          <w:rFonts w:ascii="汉仪中黑简" w:cs="汉仪书宋二简" w:eastAsia="汉仪中黑简" w:hAnsi="汉仪书宋二简" w:hint="eastAsia"/>
          <w:color w:val="ff0000"/>
          <w:kern w:val="0"/>
        </w:rPr>
        <w:t>禁止不利于被告人的类推解释</w:t>
      </w:r>
      <w:r>
        <w:rPr>
          <w:rFonts w:ascii="汉仪书宋二简" w:cs="汉仪书宋二简" w:hAnsi="汉仪书宋二简" w:hint="eastAsia"/>
          <w:kern w:val="0"/>
        </w:rPr>
        <w:t>，</w:t>
      </w:r>
      <w:r>
        <w:rPr>
          <w:rFonts w:ascii="汉仪书宋二简" w:cs="汉仪书宋二简" w:hAnsi="汉仪书宋二简"/>
          <w:kern w:val="0"/>
        </w:rPr>
        <w:t>允许有利于被告人的类推解释。允许扩大解释、缩小解释（无论解释结论是否有利于被告人）等。</w:t>
      </w:r>
    </w:p>
    <w:p w14:paraId="1E902306">
      <w:pPr>
        <w:pStyle w:val="style0"/>
        <w:spacing w:lineRule="exact" w:line="400"/>
        <w:ind w:firstLine="420"/>
        <w:rPr>
          <w:rFonts w:ascii="汉仪中黑简" w:cs="汉仪书宋二简" w:eastAsia="汉仪中黑简" w:hAnsi="汉仪书宋二简" w:hint="eastAsia"/>
          <w:color w:val="ff0000"/>
          <w:kern w:val="0"/>
        </w:rPr>
      </w:pPr>
      <w:r>
        <w:rPr>
          <w:rFonts w:ascii="汉仪书宋二简" w:cs="汉仪书宋二简" w:hAnsi="汉仪书宋二简" w:hint="eastAsia"/>
          <w:kern w:val="0"/>
        </w:rPr>
        <w:t>2</w:t>
      </w:r>
      <w:r>
        <w:rPr>
          <w:rFonts w:ascii="汉仪书宋二简" w:cs="汉仪书宋二简" w:hAnsi="汉仪书宋二简" w:hint="eastAsia"/>
          <w:kern w:val="0"/>
        </w:rPr>
        <w:t>．</w:t>
      </w:r>
      <w:r>
        <w:rPr>
          <w:rFonts w:ascii="汉仪书宋二简" w:cs="汉仪书宋二简" w:hAnsi="汉仪书宋二简"/>
          <w:kern w:val="0"/>
        </w:rPr>
        <w:t>在解释结论正确性判断上：目的解释、文理解释具有决定性。</w:t>
      </w:r>
      <w:r>
        <w:rPr>
          <w:rFonts w:ascii="汉仪中黑简" w:cs="汉仪书宋二简" w:eastAsia="汉仪中黑简" w:hAnsi="汉仪书宋二简" w:hint="eastAsia"/>
          <w:color w:val="ff0000"/>
          <w:kern w:val="0"/>
        </w:rPr>
        <w:t>正确的解释结论既需符合法条目的（目的解释），一般也不能突破字词的最大文义（禁止不利于被告人的类推解释）。</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汉仪书宋二简">
    <w:altName w:val="宋体"/>
    <w:panose1 w:val="00000000000000000000"/>
    <w:charset w:val="86"/>
    <w:family w:val="modern"/>
    <w:pitch w:val="fixed"/>
    <w:sig w:usb0="00000001" w:usb1="080E0800" w:usb2="00000012" w:usb3="00000000" w:csb0="00040000" w:csb1="00000000"/>
  </w:font>
  <w:font w:name="Calibri">
    <w:altName w:val="Calibri"/>
    <w:panose1 w:val="020f0502020002030204"/>
    <w:charset w:val="00"/>
    <w:family w:val="swiss"/>
    <w:pitch w:val="variable"/>
    <w:sig w:usb0="E4002EFF" w:usb1="C000247B" w:usb2="00000009" w:usb3="00000000" w:csb0="000001FF" w:csb1="00000000"/>
  </w:font>
  <w:font w:name="汉仪大宋简">
    <w:altName w:val="宋体"/>
    <w:panose1 w:val="00000000000000000000"/>
    <w:charset w:val="86"/>
    <w:family w:val="modern"/>
    <w:pitch w:val="fixed"/>
    <w:sig w:usb0="00000001" w:usb1="080E0800" w:usb2="00000012" w:usb3="00000000" w:csb0="00040000" w:csb1="00000000"/>
  </w:font>
  <w:font w:name="Cambria">
    <w:altName w:val="Cambria"/>
    <w:panose1 w:val="02040503050004030204"/>
    <w:charset w:val="00"/>
    <w:family w:val="roman"/>
    <w:pitch w:val="variable"/>
    <w:sig w:usb0="E00006FF" w:usb1="420024FF" w:usb2="02000000" w:usb3="00000000" w:csb0="0000019F" w:csb1="00000000"/>
  </w:font>
  <w:font w:name="汉仪大黑简">
    <w:altName w:val="黑体"/>
    <w:panose1 w:val="00000000000000000000"/>
    <w:charset w:val="86"/>
    <w:family w:val="modern"/>
    <w:pitch w:val="fixed"/>
    <w:sig w:usb0="00000001" w:usb1="080E0800" w:usb2="00000012" w:usb3="00000000" w:csb0="00040000" w:csb1="00000000"/>
  </w:font>
  <w:font w:name="汉仪中黑简">
    <w:altName w:val="黑体"/>
    <w:panose1 w:val="00000000000000000000"/>
    <w:charset w:val="86"/>
    <w:family w:val="modern"/>
    <w:pitch w:val="fixed"/>
    <w:sig w:usb0="00000001" w:usb1="080E0800" w:usb2="00000012" w:usb3="00000000" w:csb0="00040000" w:csb1="00000000"/>
  </w:font>
  <w:font w:name="Courier New">
    <w:altName w:val="Courier New"/>
    <w:panose1 w:val="02070309020002020404"/>
    <w:charset w:val="00"/>
    <w:family w:val="modern"/>
    <w:pitch w:val="fixed"/>
    <w:sig w:usb0="E0002EFF" w:usb1="C0007843" w:usb2="00000009" w:usb3="00000000" w:csb0="000001FF" w:csb1="00000000"/>
  </w:font>
  <w:font w:name="汉仪书宋一简">
    <w:altName w:val="宋体"/>
    <w:panose1 w:val="00000000000000000000"/>
    <w:charset w:val="86"/>
    <w:family w:val="modern"/>
    <w:pitch w:val="fixed"/>
    <w:sig w:usb0="00000001" w:usb1="080E0800" w:usb2="00000012" w:usb3="00000000" w:csb0="00040000" w:csb1="00000000"/>
  </w:font>
  <w:font w:name="Arial">
    <w:altName w:val="Arial"/>
    <w:panose1 w:val="020b0604020002020204"/>
    <w:charset w:val="00"/>
    <w:family w:val="swiss"/>
    <w:pitch w:val="variable"/>
    <w:sig w:usb0="E0002EFF" w:usb1="C000785B" w:usb2="00000009" w:usb3="00000000" w:csb0="000001FF" w:csb1="00000000"/>
  </w:font>
  <w:font w:name="仿宋">
    <w:altName w:val="仿宋"/>
    <w:panose1 w:val="02010609060001010101"/>
    <w:charset w:val="86"/>
    <w:family w:val="modern"/>
    <w:pitch w:val="fixed"/>
    <w:sig w:usb0="800002BF" w:usb1="38CF7CFA" w:usb2="00000016" w:usb3="00000000" w:csb0="00040001" w:csb1="00000000"/>
  </w:font>
  <w:font w:name="楷体">
    <w:altName w:val="楷体"/>
    <w:panose1 w:val="02010609060001010101"/>
    <w:charset w:val="86"/>
    <w:family w:val="modern"/>
    <w:pitch w:val="fixed"/>
    <w:sig w:usb0="800002BF" w:usb1="38CF7CFA" w:usb2="00000016" w:usb3="00000000" w:csb0="00040001" w:csb1="00000000"/>
  </w:font>
  <w:font w:name="微软雅黑">
    <w:altName w:val="微软雅黑"/>
    <w:panose1 w:val="020b0503020002020204"/>
    <w:charset w:val="86"/>
    <w:family w:val="swiss"/>
    <w:pitch w:val="variable"/>
    <w:sig w:usb0="80000287" w:usb1="2ACF3C50" w:usb2="00000016" w:usb3="00000000" w:csb0="0004001F" w:csb1="00000000"/>
  </w:font>
  <w:font w:name="仿宋_GB2312">
    <w:altName w:val="仿宋"/>
    <w:panose1 w:val="00000000000000000000"/>
    <w:charset w:val="86"/>
    <w:family w:val="modern"/>
    <w:pitch w:val="fixed"/>
    <w:sig w:usb0="00000001" w:usb1="080E0000" w:usb2="00000010" w:usb3="00000000" w:csb0="00040000" w:csb1="00000000"/>
  </w:font>
  <w:font w:name="Calibri Light">
    <w:altName w:val="Calibri Light"/>
    <w:panose1 w:val="020f0302020002030204"/>
    <w:charset w:val="00"/>
    <w:family w:val="swiss"/>
    <w:pitch w:val="variable"/>
    <w:sig w:usb0="E4002EFF" w:usb1="C000247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FF258EA"/>
    <w:lvl w:ilvl="0" w:tplc="0A0244F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1"/>
    <w:multiLevelType w:val="multilevel"/>
    <w:tmpl w:val="13252072"/>
    <w:lvl w:ilvl="0">
      <w:start w:val="1"/>
      <w:numFmt w:val="decimal"/>
      <w:lvlText w:val="%1．"/>
      <w:lvlJc w:val="left"/>
      <w:pPr>
        <w:ind w:left="300" w:hanging="3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2"/>
    <w:multiLevelType w:val="hybridMultilevel"/>
    <w:tmpl w:val="9FEC98D2"/>
    <w:lvl w:ilvl="0" w:tplc="5C3CEDA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3"/>
    <w:multiLevelType w:val="hybridMultilevel"/>
    <w:tmpl w:val="B71E94D0"/>
    <w:lvl w:ilvl="0" w:tplc="F0184B06">
      <w:start w:val="1"/>
      <w:numFmt w:val="japaneseCounting"/>
      <w:lvlText w:val="%1、"/>
      <w:lvlJc w:val="left"/>
      <w:pPr>
        <w:ind w:left="510" w:hanging="510"/>
      </w:pPr>
      <w:rPr>
        <w:rFonts w:asci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0000004"/>
    <w:multiLevelType w:val="hybridMultilevel"/>
    <w:tmpl w:val="59069592"/>
    <w:lvl w:ilvl="0" w:tplc="56AC639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5"/>
    <w:multiLevelType w:val="hybridMultilevel"/>
    <w:tmpl w:val="D228C098"/>
    <w:lvl w:ilvl="0" w:tplc="28CCA0B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6"/>
    <w:multiLevelType w:val="hybridMultilevel"/>
    <w:tmpl w:val="92229E3E"/>
    <w:lvl w:ilvl="0" w:tplc="D138C72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0000007"/>
    <w:multiLevelType w:val="hybridMultilevel"/>
    <w:tmpl w:val="126E59A0"/>
    <w:lvl w:ilvl="0" w:tplc="E13688E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0000008"/>
    <w:multiLevelType w:val="hybridMultilevel"/>
    <w:tmpl w:val="8152B3EC"/>
    <w:lvl w:ilvl="0" w:tplc="2DF698E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0000009"/>
    <w:multiLevelType w:val="hybridMultilevel"/>
    <w:tmpl w:val="4822ABBA"/>
    <w:lvl w:ilvl="0" w:tplc="5080B25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000000A"/>
    <w:multiLevelType w:val="hybridMultilevel"/>
    <w:tmpl w:val="EA520AC2"/>
    <w:lvl w:ilvl="0" w:tplc="0650899C">
      <w:start w:val="1"/>
      <w:numFmt w:val="decimalEnclosedCircle"/>
      <w:lvlText w:val="%1"/>
      <w:lvlJc w:val="left"/>
      <w:pPr>
        <w:ind w:left="360" w:hanging="360"/>
      </w:pPr>
      <w:rPr>
        <w:rFonts w:ascii="汉仪书宋二简" w:cs="汉仪书宋二简" w:eastAsia="汉仪书宋二简" w:hAnsi="汉仪书宋二简"/>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000000B"/>
    <w:multiLevelType w:val="hybridMultilevel"/>
    <w:tmpl w:val="8BDA9CA0"/>
    <w:lvl w:ilvl="0" w:tplc="29A8618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000000C"/>
    <w:multiLevelType w:val="multilevel"/>
    <w:tmpl w:val="2B5E357C"/>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leader="none" w:pos="1440"/>
        </w:tabs>
        <w:ind w:left="1440" w:hanging="360"/>
      </w:p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13">
    <w:nsid w:val="0000000D"/>
    <w:multiLevelType w:val="hybridMultilevel"/>
    <w:tmpl w:val="77E4040C"/>
    <w:lvl w:ilvl="0" w:tplc="C0C6208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7"/>
  </w:num>
  <w:num w:numId="3">
    <w:abstractNumId w:val="0"/>
  </w:num>
  <w:num w:numId="4">
    <w:abstractNumId w:val="10"/>
  </w:num>
  <w:num w:numId="5">
    <w:abstractNumId w:val="6"/>
  </w:num>
  <w:num w:numId="6">
    <w:abstractNumId w:val="3"/>
  </w:num>
  <w:num w:numId="7">
    <w:abstractNumId w:val="4"/>
  </w:num>
  <w:num w:numId="8">
    <w:abstractNumId w:val="2"/>
  </w:num>
  <w:num w:numId="9">
    <w:abstractNumId w:val="9"/>
  </w:num>
  <w:num w:numId="10">
    <w:abstractNumId w:val="5"/>
  </w:num>
  <w:num w:numId="11">
    <w:abstractNumId w:val="8"/>
  </w:num>
  <w:num w:numId="12">
    <w:abstractNumId w:val="11"/>
  </w:num>
  <w:num w:numId="13">
    <w:abstractNumId w:val="13"/>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6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tabs>
        <w:tab w:val="left" w:leader="none" w:pos="420"/>
      </w:tabs>
      <w:spacing w:lineRule="exact" w:line="384"/>
      <w:ind w:firstLine="721" w:firstLineChars="200"/>
      <w:jc w:val="both"/>
    </w:pPr>
    <w:rPr>
      <w:rFonts w:ascii="宋体" w:cs="宋体" w:eastAsia="汉仪书宋二简" w:hAnsi="宋体"/>
      <w:color w:val="000000"/>
      <w:szCs w:val="21"/>
    </w:rPr>
  </w:style>
  <w:style w:type="paragraph" w:styleId="style1">
    <w:name w:val="heading 1"/>
    <w:basedOn w:val="style0"/>
    <w:next w:val="style0"/>
    <w:link w:val="style4097"/>
    <w:qFormat/>
    <w:uiPriority w:val="9"/>
    <w:pPr>
      <w:keepNext/>
      <w:keepLines/>
      <w:spacing w:before="10"/>
      <w:ind w:firstLine="0" w:firstLineChars="0"/>
      <w:jc w:val="center"/>
      <w:outlineLvl w:val="0"/>
    </w:pPr>
    <w:rPr>
      <w:rFonts w:ascii="汉仪大宋简" w:eastAsia="汉仪大宋简" w:hAnsi="汉仪大宋简"/>
      <w:bCs/>
      <w:kern w:val="44"/>
      <w:sz w:val="44"/>
      <w:szCs w:val="44"/>
    </w:rPr>
  </w:style>
  <w:style w:type="paragraph" w:styleId="style2">
    <w:name w:val="heading 2"/>
    <w:basedOn w:val="style0"/>
    <w:next w:val="style0"/>
    <w:link w:val="style4098"/>
    <w:qFormat/>
    <w:uiPriority w:val="9"/>
    <w:pPr>
      <w:keepNext/>
      <w:keepLines/>
      <w:ind w:firstLine="0" w:firstLineChars="0"/>
      <w:jc w:val="left"/>
      <w:outlineLvl w:val="1"/>
    </w:pPr>
    <w:rPr>
      <w:rFonts w:ascii="Cambria" w:cs="宋体" w:eastAsia="汉仪大黑简" w:hAnsi="Cambria"/>
      <w:bCs/>
      <w:sz w:val="32"/>
      <w:szCs w:val="32"/>
    </w:rPr>
  </w:style>
  <w:style w:type="paragraph" w:styleId="style3">
    <w:name w:val="heading 3"/>
    <w:basedOn w:val="style0"/>
    <w:next w:val="style0"/>
    <w:link w:val="style4099"/>
    <w:qFormat/>
    <w:uiPriority w:val="9"/>
    <w:pPr>
      <w:keepNext/>
      <w:keepLines/>
      <w:ind w:firstLine="0" w:firstLineChars="0"/>
      <w:jc w:val="left"/>
      <w:outlineLvl w:val="2"/>
    </w:pPr>
    <w:rPr>
      <w:rFonts w:eastAsia="汉仪大宋简"/>
      <w:sz w:val="26"/>
    </w:rPr>
  </w:style>
  <w:style w:type="paragraph" w:styleId="style4">
    <w:name w:val="heading 4"/>
    <w:basedOn w:val="style0"/>
    <w:next w:val="style0"/>
    <w:link w:val="style4100"/>
    <w:qFormat/>
    <w:uiPriority w:val="9"/>
    <w:pPr>
      <w:keepNext/>
      <w:keepLines/>
      <w:ind w:firstLine="0" w:firstLineChars="0"/>
      <w:jc w:val="left"/>
      <w:outlineLvl w:val="3"/>
    </w:pPr>
    <w:rPr>
      <w:rFonts w:ascii="Cambria" w:cs="宋体" w:eastAsia="汉仪大宋简" w:hAnsi="Cambria"/>
      <w:bCs/>
      <w:sz w:val="24"/>
      <w:szCs w:val="28"/>
    </w:rPr>
  </w:style>
  <w:style w:type="paragraph" w:styleId="style5">
    <w:name w:val="heading 5"/>
    <w:basedOn w:val="style0"/>
    <w:next w:val="style0"/>
    <w:link w:val="style4101"/>
    <w:qFormat/>
    <w:uiPriority w:val="9"/>
    <w:pPr>
      <w:keepNext/>
      <w:keepLines/>
      <w:outlineLvl w:val="4"/>
    </w:pPr>
    <w:rPr>
      <w:rFonts w:eastAsia="汉仪中黑简"/>
      <w:b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uiPriority w:val="9"/>
    <w:rPr>
      <w:rFonts w:ascii="汉仪大宋简" w:cs="宋体" w:eastAsia="汉仪大宋简" w:hAnsi="汉仪大宋简"/>
      <w:bCs/>
      <w:color w:val="000000"/>
      <w:kern w:val="44"/>
      <w:sz w:val="44"/>
      <w:szCs w:val="44"/>
    </w:rPr>
  </w:style>
  <w:style w:type="character" w:customStyle="1" w:styleId="style4098">
    <w:name w:val="标题 2 字符"/>
    <w:basedOn w:val="style65"/>
    <w:next w:val="style4098"/>
    <w:link w:val="style2"/>
    <w:qFormat/>
    <w:uiPriority w:val="9"/>
    <w:rPr>
      <w:rFonts w:ascii="Cambria" w:cs="宋体" w:eastAsia="汉仪大黑简" w:hAnsi="Cambria"/>
      <w:bCs/>
      <w:color w:val="000000"/>
      <w:sz w:val="32"/>
      <w:szCs w:val="32"/>
    </w:rPr>
  </w:style>
  <w:style w:type="character" w:customStyle="1" w:styleId="style4099">
    <w:name w:val="标题 3 字符"/>
    <w:basedOn w:val="style65"/>
    <w:next w:val="style4099"/>
    <w:link w:val="style3"/>
    <w:qFormat/>
    <w:uiPriority w:val="9"/>
    <w:rPr>
      <w:rFonts w:ascii="宋体" w:cs="宋体" w:eastAsia="汉仪大宋简" w:hAnsi="宋体"/>
      <w:color w:val="000000"/>
      <w:sz w:val="26"/>
      <w:szCs w:val="21"/>
    </w:rPr>
  </w:style>
  <w:style w:type="character" w:customStyle="1" w:styleId="style4100">
    <w:name w:val="标题 4 字符"/>
    <w:basedOn w:val="style65"/>
    <w:next w:val="style4100"/>
    <w:link w:val="style4"/>
    <w:qFormat/>
    <w:uiPriority w:val="9"/>
    <w:rPr>
      <w:rFonts w:ascii="Cambria" w:cs="宋体" w:eastAsia="汉仪大宋简" w:hAnsi="Cambria"/>
      <w:bCs/>
      <w:color w:val="000000"/>
      <w:sz w:val="24"/>
      <w:szCs w:val="28"/>
    </w:rPr>
  </w:style>
  <w:style w:type="character" w:customStyle="1" w:styleId="style4101">
    <w:name w:val="标题 5 字符"/>
    <w:basedOn w:val="style65"/>
    <w:next w:val="style4101"/>
    <w:link w:val="style5"/>
    <w:qFormat/>
    <w:uiPriority w:val="9"/>
    <w:rPr>
      <w:rFonts w:ascii="宋体" w:cs="宋体" w:eastAsia="汉仪中黑简" w:hAnsi="宋体"/>
      <w:bCs/>
      <w:color w:val="000000"/>
      <w:szCs w:val="21"/>
    </w:rPr>
  </w:style>
  <w:style w:type="paragraph" w:styleId="style25">
    <w:name w:val="toc 7"/>
    <w:basedOn w:val="style0"/>
    <w:next w:val="style0"/>
    <w:qFormat/>
    <w:uiPriority w:val="39"/>
    <w:pPr>
      <w:ind w:left="1260"/>
    </w:pPr>
    <w:rPr/>
  </w:style>
  <w:style w:type="paragraph" w:styleId="style28">
    <w:name w:val="Normal Indent"/>
    <w:basedOn w:val="style0"/>
    <w:next w:val="style28"/>
    <w:qFormat/>
    <w:pPr>
      <w:tabs>
        <w:tab w:val="clear" w:pos="420"/>
      </w:tabs>
      <w:snapToGrid w:val="false"/>
      <w:spacing w:lineRule="auto" w:line="240"/>
      <w:ind w:left="200" w:leftChars="200" w:firstLine="420"/>
    </w:pPr>
    <w:rPr>
      <w:rFonts w:ascii="Times New Roman" w:cs="Times New Roman" w:eastAsia="宋体" w:hAnsi="Times New Roman"/>
      <w:color w:val="auto"/>
      <w:sz w:val="24"/>
      <w:szCs w:val="24"/>
    </w:rPr>
  </w:style>
  <w:style w:type="character" w:customStyle="1" w:styleId="style4102">
    <w:name w:val="文档结构图 字符"/>
    <w:basedOn w:val="style65"/>
    <w:next w:val="style4102"/>
    <w:link w:val="style89"/>
    <w:qFormat/>
    <w:uiPriority w:val="99"/>
    <w:rPr>
      <w:rFonts w:ascii="宋体" w:cs="宋体" w:eastAsia="汉仪书宋二简" w:hAnsi="宋体"/>
      <w:color w:val="000000"/>
      <w:sz w:val="24"/>
      <w:szCs w:val="24"/>
    </w:rPr>
  </w:style>
  <w:style w:type="paragraph" w:styleId="style89">
    <w:name w:val="Document Map"/>
    <w:basedOn w:val="style0"/>
    <w:next w:val="style89"/>
    <w:link w:val="style4102"/>
    <w:qFormat/>
    <w:uiPriority w:val="99"/>
    <w:pPr/>
    <w:rPr>
      <w:sz w:val="24"/>
      <w:szCs w:val="24"/>
    </w:rPr>
  </w:style>
  <w:style w:type="paragraph" w:styleId="style30">
    <w:name w:val="annotation text"/>
    <w:basedOn w:val="style0"/>
    <w:next w:val="style30"/>
    <w:link w:val="style4103"/>
    <w:qFormat/>
    <w:uiPriority w:val="99"/>
    <w:pPr>
      <w:jc w:val="left"/>
    </w:pPr>
    <w:rPr/>
  </w:style>
  <w:style w:type="character" w:customStyle="1" w:styleId="style4103">
    <w:name w:val="批注文字 字符"/>
    <w:basedOn w:val="style65"/>
    <w:next w:val="style4103"/>
    <w:link w:val="style30"/>
    <w:qFormat/>
    <w:uiPriority w:val="99"/>
    <w:rPr>
      <w:rFonts w:ascii="宋体" w:cs="宋体" w:eastAsia="汉仪书宋二简" w:hAnsi="宋体"/>
      <w:color w:val="000000"/>
      <w:szCs w:val="21"/>
    </w:rPr>
  </w:style>
  <w:style w:type="paragraph" w:styleId="style67">
    <w:name w:val="Body Text Indent"/>
    <w:basedOn w:val="style0"/>
    <w:next w:val="style67"/>
    <w:link w:val="style4104"/>
    <w:qFormat/>
    <w:pPr>
      <w:tabs>
        <w:tab w:val="clear" w:pos="420"/>
      </w:tabs>
      <w:spacing w:after="120" w:lineRule="auto" w:line="240"/>
      <w:ind w:left="420" w:leftChars="200" w:firstLine="0" w:firstLineChars="0"/>
    </w:pPr>
    <w:rPr>
      <w:rFonts w:ascii="Times New Roman" w:cs="Times New Roman" w:eastAsia="宋体" w:hAnsi="Times New Roman"/>
      <w:color w:val="auto"/>
      <w:szCs w:val="24"/>
    </w:rPr>
  </w:style>
  <w:style w:type="character" w:customStyle="1" w:styleId="style4104">
    <w:name w:val="正文文本缩进 字符"/>
    <w:basedOn w:val="style65"/>
    <w:next w:val="style4104"/>
    <w:link w:val="style67"/>
    <w:qFormat/>
    <w:rPr>
      <w:rFonts w:ascii="Times New Roman" w:cs="Times New Roman" w:eastAsia="宋体" w:hAnsi="Times New Roman"/>
      <w:szCs w:val="24"/>
    </w:rPr>
  </w:style>
  <w:style w:type="paragraph" w:styleId="style23">
    <w:name w:val="toc 5"/>
    <w:basedOn w:val="style0"/>
    <w:next w:val="style0"/>
    <w:qFormat/>
    <w:uiPriority w:val="39"/>
    <w:pPr>
      <w:ind w:left="840"/>
    </w:pPr>
    <w:rPr/>
  </w:style>
  <w:style w:type="paragraph" w:styleId="style21">
    <w:name w:val="toc 3"/>
    <w:basedOn w:val="style0"/>
    <w:next w:val="style0"/>
    <w:qFormat/>
    <w:uiPriority w:val="39"/>
    <w:pPr>
      <w:ind w:left="420"/>
    </w:pPr>
    <w:rPr/>
  </w:style>
  <w:style w:type="paragraph" w:styleId="style90">
    <w:name w:val="Plain Text"/>
    <w:basedOn w:val="style0"/>
    <w:next w:val="style90"/>
    <w:link w:val="style4105"/>
    <w:qFormat/>
    <w:pPr/>
    <w:rPr>
      <w:rFonts w:cs="Courier New" w:hAnsi="Courier New"/>
      <w:kern w:val="0"/>
      <w:sz w:val="20"/>
    </w:rPr>
  </w:style>
  <w:style w:type="character" w:customStyle="1" w:styleId="style4105">
    <w:name w:val="纯文本 字符"/>
    <w:basedOn w:val="style65"/>
    <w:next w:val="style4105"/>
    <w:link w:val="style90"/>
    <w:qFormat/>
    <w:rPr>
      <w:rFonts w:ascii="宋体" w:cs="Courier New" w:eastAsia="汉仪书宋二简" w:hAnsi="Courier New"/>
      <w:color w:val="000000"/>
      <w:kern w:val="0"/>
      <w:sz w:val="20"/>
      <w:szCs w:val="21"/>
    </w:rPr>
  </w:style>
  <w:style w:type="paragraph" w:styleId="style26">
    <w:name w:val="toc 8"/>
    <w:basedOn w:val="style0"/>
    <w:next w:val="style0"/>
    <w:qFormat/>
    <w:uiPriority w:val="39"/>
    <w:pPr>
      <w:ind w:left="1470"/>
    </w:pPr>
    <w:rPr/>
  </w:style>
  <w:style w:type="paragraph" w:styleId="style76">
    <w:name w:val="Date"/>
    <w:basedOn w:val="style0"/>
    <w:next w:val="style0"/>
    <w:link w:val="style4106"/>
    <w:qFormat/>
    <w:pPr>
      <w:tabs>
        <w:tab w:val="clear" w:pos="420"/>
      </w:tabs>
      <w:spacing w:lineRule="auto" w:line="240"/>
      <w:ind w:left="100" w:leftChars="2500" w:firstLine="0" w:firstLineChars="0"/>
    </w:pPr>
    <w:rPr>
      <w:rFonts w:cs="Times New Roman" w:eastAsia="宋体"/>
      <w:color w:val="auto"/>
      <w:szCs w:val="24"/>
    </w:rPr>
  </w:style>
  <w:style w:type="character" w:customStyle="1" w:styleId="style4106">
    <w:name w:val="日期 字符"/>
    <w:basedOn w:val="style65"/>
    <w:next w:val="style4106"/>
    <w:link w:val="style76"/>
    <w:qFormat/>
    <w:rPr>
      <w:rFonts w:ascii="宋体" w:cs="Times New Roman" w:eastAsia="宋体" w:hAnsi="宋体"/>
      <w:szCs w:val="24"/>
    </w:rPr>
  </w:style>
  <w:style w:type="character" w:customStyle="1" w:styleId="style4107">
    <w:name w:val="尾注文本 字符"/>
    <w:basedOn w:val="style65"/>
    <w:next w:val="style4107"/>
    <w:link w:val="style43"/>
    <w:qFormat/>
    <w:uiPriority w:val="99"/>
    <w:rPr>
      <w:rFonts w:ascii="宋体" w:cs="宋体" w:eastAsia="汉仪书宋二简" w:hAnsi="宋体"/>
      <w:color w:val="000000"/>
      <w:szCs w:val="21"/>
    </w:rPr>
  </w:style>
  <w:style w:type="paragraph" w:styleId="style43">
    <w:name w:val="endnote text"/>
    <w:basedOn w:val="style0"/>
    <w:next w:val="style43"/>
    <w:link w:val="style4107"/>
    <w:qFormat/>
    <w:uiPriority w:val="99"/>
    <w:pPr>
      <w:snapToGrid w:val="false"/>
      <w:jc w:val="left"/>
    </w:pPr>
    <w:rPr/>
  </w:style>
  <w:style w:type="paragraph" w:styleId="style153">
    <w:name w:val="Balloon Text"/>
    <w:basedOn w:val="style0"/>
    <w:next w:val="style153"/>
    <w:link w:val="style4108"/>
    <w:qFormat/>
    <w:uiPriority w:val="99"/>
    <w:pPr/>
    <w:rPr>
      <w:sz w:val="18"/>
      <w:szCs w:val="18"/>
    </w:rPr>
  </w:style>
  <w:style w:type="character" w:customStyle="1" w:styleId="style4108">
    <w:name w:val="批注框文本 字符"/>
    <w:basedOn w:val="style65"/>
    <w:next w:val="style4108"/>
    <w:link w:val="style153"/>
    <w:qFormat/>
    <w:uiPriority w:val="99"/>
    <w:rPr>
      <w:rFonts w:ascii="宋体" w:cs="宋体" w:eastAsia="汉仪书宋二简" w:hAnsi="宋体"/>
      <w:color w:val="000000"/>
      <w:sz w:val="18"/>
      <w:szCs w:val="18"/>
    </w:rPr>
  </w:style>
  <w:style w:type="paragraph" w:styleId="style32">
    <w:name w:val="footer"/>
    <w:basedOn w:val="style0"/>
    <w:next w:val="style32"/>
    <w:link w:val="style4109"/>
    <w:qFormat/>
    <w:uiPriority w:val="99"/>
    <w:pPr>
      <w:tabs>
        <w:tab w:val="clear" w:pos="420"/>
      </w:tabs>
      <w:snapToGrid w:val="false"/>
      <w:jc w:val="left"/>
    </w:pPr>
    <w:rPr>
      <w:sz w:val="18"/>
      <w:szCs w:val="18"/>
    </w:rPr>
  </w:style>
  <w:style w:type="character" w:customStyle="1" w:styleId="style4109">
    <w:name w:val="页脚 字符"/>
    <w:basedOn w:val="style65"/>
    <w:next w:val="style4109"/>
    <w:link w:val="style32"/>
    <w:qFormat/>
    <w:uiPriority w:val="99"/>
    <w:rPr>
      <w:rFonts w:ascii="宋体" w:cs="宋体" w:eastAsia="汉仪书宋二简" w:hAnsi="宋体"/>
      <w:color w:val="000000"/>
      <w:sz w:val="18"/>
      <w:szCs w:val="18"/>
    </w:rPr>
  </w:style>
  <w:style w:type="paragraph" w:styleId="style31">
    <w:name w:val="header"/>
    <w:basedOn w:val="style0"/>
    <w:next w:val="style31"/>
    <w:link w:val="style4110"/>
    <w:qFormat/>
    <w:pPr>
      <w:pBdr>
        <w:bottom w:val="single" w:sz="6" w:space="1" w:color="auto"/>
      </w:pBdr>
      <w:tabs>
        <w:tab w:val="clear" w:pos="420"/>
      </w:tabs>
      <w:snapToGrid w:val="false"/>
      <w:jc w:val="center"/>
    </w:pPr>
    <w:rPr>
      <w:sz w:val="18"/>
      <w:szCs w:val="18"/>
    </w:rPr>
  </w:style>
  <w:style w:type="character" w:customStyle="1" w:styleId="style4110">
    <w:name w:val="页眉 字符"/>
    <w:basedOn w:val="style65"/>
    <w:next w:val="style4110"/>
    <w:link w:val="style31"/>
    <w:qFormat/>
    <w:rPr>
      <w:rFonts w:ascii="宋体" w:cs="宋体" w:eastAsia="汉仪书宋二简" w:hAnsi="宋体"/>
      <w:color w:val="000000"/>
      <w:sz w:val="18"/>
      <w:szCs w:val="18"/>
    </w:rPr>
  </w:style>
  <w:style w:type="paragraph" w:styleId="style19">
    <w:name w:val="toc 1"/>
    <w:basedOn w:val="style0"/>
    <w:next w:val="style0"/>
    <w:qFormat/>
    <w:uiPriority w:val="39"/>
    <w:pPr/>
  </w:style>
  <w:style w:type="paragraph" w:styleId="style22">
    <w:name w:val="toc 4"/>
    <w:basedOn w:val="style0"/>
    <w:next w:val="style0"/>
    <w:qFormat/>
    <w:uiPriority w:val="39"/>
    <w:pPr>
      <w:ind w:left="630"/>
    </w:pPr>
    <w:rPr/>
  </w:style>
  <w:style w:type="paragraph" w:styleId="style29">
    <w:name w:val="footnote text"/>
    <w:basedOn w:val="style0"/>
    <w:next w:val="style29"/>
    <w:link w:val="style4111"/>
    <w:qFormat/>
    <w:pPr>
      <w:snapToGrid w:val="false"/>
      <w:jc w:val="left"/>
    </w:pPr>
    <w:rPr>
      <w:sz w:val="18"/>
      <w:szCs w:val="18"/>
    </w:rPr>
  </w:style>
  <w:style w:type="character" w:customStyle="1" w:styleId="style4111">
    <w:name w:val="脚注文本 字符"/>
    <w:basedOn w:val="style65"/>
    <w:next w:val="style4111"/>
    <w:link w:val="style29"/>
    <w:qFormat/>
    <w:rPr>
      <w:rFonts w:ascii="宋体" w:cs="宋体" w:eastAsia="汉仪书宋二简" w:hAnsi="宋体"/>
      <w:color w:val="000000"/>
      <w:sz w:val="18"/>
      <w:szCs w:val="18"/>
    </w:rPr>
  </w:style>
  <w:style w:type="character" w:customStyle="1" w:styleId="style4112">
    <w:name w:val="脚注文本 Char"/>
    <w:basedOn w:val="style65"/>
    <w:next w:val="style4112"/>
    <w:qFormat/>
    <w:rPr>
      <w:rFonts w:ascii="宋体" w:cs="宋体" w:eastAsia="汉仪书宋二简" w:hAnsi="宋体"/>
      <w:color w:val="000000"/>
      <w:sz w:val="18"/>
      <w:szCs w:val="18"/>
    </w:rPr>
  </w:style>
  <w:style w:type="paragraph" w:styleId="style24">
    <w:name w:val="toc 6"/>
    <w:basedOn w:val="style0"/>
    <w:next w:val="style0"/>
    <w:qFormat/>
    <w:uiPriority w:val="39"/>
    <w:pPr>
      <w:ind w:left="1050"/>
    </w:pPr>
    <w:rPr/>
  </w:style>
  <w:style w:type="paragraph" w:styleId="style20">
    <w:name w:val="toc 2"/>
    <w:basedOn w:val="style0"/>
    <w:next w:val="style0"/>
    <w:qFormat/>
    <w:uiPriority w:val="39"/>
    <w:pPr>
      <w:ind w:left="210"/>
    </w:pPr>
    <w:rPr/>
  </w:style>
  <w:style w:type="paragraph" w:styleId="style27">
    <w:name w:val="toc 9"/>
    <w:basedOn w:val="style0"/>
    <w:next w:val="style0"/>
    <w:qFormat/>
    <w:uiPriority w:val="39"/>
    <w:pPr>
      <w:ind w:left="1680"/>
    </w:pPr>
    <w:rPr/>
  </w:style>
  <w:style w:type="paragraph" w:styleId="style94">
    <w:name w:val="Normal (Web)"/>
    <w:basedOn w:val="style0"/>
    <w:next w:val="style94"/>
    <w:qFormat/>
    <w:pPr>
      <w:widowControl/>
      <w:spacing w:before="100" w:beforeAutospacing="true" w:after="100" w:afterAutospacing="true"/>
      <w:jc w:val="left"/>
    </w:pPr>
    <w:rPr>
      <w:color w:val="auto"/>
      <w:kern w:val="0"/>
      <w:sz w:val="24"/>
      <w:szCs w:val="24"/>
    </w:rPr>
  </w:style>
  <w:style w:type="paragraph" w:styleId="style62">
    <w:name w:val="Title"/>
    <w:basedOn w:val="style0"/>
    <w:next w:val="style0"/>
    <w:link w:val="style4113"/>
    <w:qFormat/>
    <w:uiPriority w:val="10"/>
    <w:pPr>
      <w:spacing w:before="240" w:after="60"/>
      <w:jc w:val="center"/>
      <w:outlineLvl w:val="0"/>
    </w:pPr>
    <w:rPr>
      <w:rFonts w:ascii="Cambria" w:cs="宋体" w:eastAsia="宋体" w:hAnsi="Cambria"/>
      <w:b/>
      <w:bCs/>
      <w:sz w:val="32"/>
      <w:szCs w:val="32"/>
    </w:rPr>
  </w:style>
  <w:style w:type="character" w:customStyle="1" w:styleId="style4113">
    <w:name w:val="标题 字符"/>
    <w:basedOn w:val="style65"/>
    <w:next w:val="style4113"/>
    <w:link w:val="style62"/>
    <w:qFormat/>
    <w:uiPriority w:val="10"/>
    <w:rPr>
      <w:rFonts w:ascii="Cambria" w:cs="宋体" w:eastAsia="宋体" w:hAnsi="Cambria"/>
      <w:b/>
      <w:bCs/>
      <w:color w:val="000000"/>
      <w:sz w:val="32"/>
      <w:szCs w:val="32"/>
    </w:rPr>
  </w:style>
  <w:style w:type="paragraph" w:styleId="style106">
    <w:name w:val="annotation subject"/>
    <w:basedOn w:val="style30"/>
    <w:next w:val="style30"/>
    <w:link w:val="style4114"/>
    <w:qFormat/>
    <w:uiPriority w:val="99"/>
    <w:pPr/>
    <w:rPr>
      <w:b/>
      <w:bCs/>
    </w:rPr>
  </w:style>
  <w:style w:type="character" w:customStyle="1" w:styleId="style4114">
    <w:name w:val="批注主题 字符"/>
    <w:basedOn w:val="style4103"/>
    <w:next w:val="style4114"/>
    <w:link w:val="style106"/>
    <w:qFormat/>
    <w:uiPriority w:val="99"/>
    <w:rPr>
      <w:rFonts w:ascii="宋体" w:cs="宋体" w:eastAsia="汉仪书宋二简" w:hAnsi="宋体"/>
      <w:b/>
      <w:bCs/>
      <w:color w:val="000000"/>
      <w:szCs w:val="21"/>
    </w:rPr>
  </w:style>
  <w:style w:type="table" w:styleId="style154">
    <w:name w:val="Table Grid"/>
    <w:basedOn w:val="style105"/>
    <w:next w:val="style154"/>
    <w:qFormat/>
    <w:uiPriority w:val="99"/>
    <w:pPr/>
    <w:rPr>
      <w:rFonts w:cs="Calibri"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next w:val="style87"/>
    <w:qFormat/>
    <w:uiPriority w:val="22"/>
    <w:rPr>
      <w:b/>
      <w:bCs/>
    </w:rPr>
  </w:style>
  <w:style w:type="character" w:styleId="style42">
    <w:name w:val="endnote reference"/>
    <w:basedOn w:val="style65"/>
    <w:next w:val="style42"/>
    <w:qFormat/>
    <w:uiPriority w:val="99"/>
    <w:rPr>
      <w:vertAlign w:val="superscript"/>
    </w:rPr>
  </w:style>
  <w:style w:type="character" w:styleId="style41">
    <w:name w:val="page number"/>
    <w:basedOn w:val="style65"/>
    <w:next w:val="style41"/>
    <w:qFormat/>
  </w:style>
  <w:style w:type="character" w:styleId="style88">
    <w:name w:val="Emphasis"/>
    <w:basedOn w:val="style65"/>
    <w:next w:val="style88"/>
    <w:qFormat/>
    <w:uiPriority w:val="20"/>
    <w:rPr>
      <w:color w:val="cc0000"/>
    </w:rPr>
  </w:style>
  <w:style w:type="character" w:styleId="style85">
    <w:name w:val="Hyperlink"/>
    <w:basedOn w:val="style65"/>
    <w:next w:val="style85"/>
    <w:qFormat/>
    <w:uiPriority w:val="99"/>
    <w:rPr>
      <w:color w:val="0000ff"/>
      <w:u w:val="single"/>
    </w:rPr>
  </w:style>
  <w:style w:type="character" w:styleId="style39">
    <w:name w:val="annotation reference"/>
    <w:basedOn w:val="style65"/>
    <w:next w:val="style39"/>
    <w:qFormat/>
    <w:uiPriority w:val="99"/>
    <w:rPr>
      <w:sz w:val="21"/>
      <w:szCs w:val="21"/>
    </w:rPr>
  </w:style>
  <w:style w:type="character" w:styleId="style38">
    <w:name w:val="footnote reference"/>
    <w:basedOn w:val="style65"/>
    <w:next w:val="style38"/>
    <w:qFormat/>
    <w:rPr>
      <w:vertAlign w:val="superscript"/>
    </w:rPr>
  </w:style>
  <w:style w:type="paragraph" w:styleId="style179">
    <w:name w:val="List Paragraph"/>
    <w:basedOn w:val="style0"/>
    <w:next w:val="style179"/>
    <w:qFormat/>
    <w:uiPriority w:val="99"/>
    <w:pPr>
      <w:ind w:firstLine="420"/>
    </w:pPr>
    <w:rPr/>
  </w:style>
  <w:style w:type="table" w:customStyle="1" w:styleId="style4115">
    <w:name w:val="网格型1"/>
    <w:basedOn w:val="style105"/>
    <w:next w:val="style4115"/>
    <w:qFormat/>
    <w:uiPriority w:val="59"/>
    <w:pPr/>
    <w:rPr>
      <w:rFonts w:cs="Calibri"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16">
    <w:name w:val="表格标题"/>
    <w:basedOn w:val="style0"/>
    <w:next w:val="style4116"/>
    <w:qFormat/>
    <w:pPr>
      <w:spacing w:before="10" w:beforeLines="10" w:after="20" w:afterLines="20" w:lineRule="exact" w:line="280"/>
      <w:jc w:val="center"/>
    </w:pPr>
    <w:rPr>
      <w:rFonts w:eastAsia="汉仪中黑简" w:hint="eastAsia"/>
      <w:color w:val="ff0000"/>
      <w:sz w:val="20"/>
    </w:rPr>
  </w:style>
  <w:style w:type="paragraph" w:customStyle="1" w:styleId="style4117">
    <w:name w:val="表格标题1"/>
    <w:basedOn w:val="style0"/>
    <w:next w:val="style4117"/>
    <w:qFormat/>
    <w:pPr>
      <w:spacing w:before="10" w:beforeLines="10" w:after="20" w:afterLines="20" w:lineRule="exact" w:line="280"/>
      <w:ind w:firstLine="0" w:firstLineChars="0"/>
      <w:jc w:val="center"/>
    </w:pPr>
    <w:rPr>
      <w:rFonts w:eastAsia="汉仪中黑简"/>
      <w:color w:val="ff0000"/>
      <w:sz w:val="20"/>
    </w:rPr>
  </w:style>
  <w:style w:type="paragraph" w:customStyle="1" w:styleId="style4118">
    <w:name w:val="表格正文1"/>
    <w:basedOn w:val="style0"/>
    <w:next w:val="style4118"/>
    <w:qFormat/>
    <w:pPr>
      <w:spacing w:before="10" w:beforeLines="10" w:after="20" w:afterLines="20" w:lineRule="exact" w:line="280"/>
      <w:ind w:firstLine="0" w:firstLineChars="0"/>
      <w:jc w:val="left"/>
    </w:pPr>
    <w:rPr>
      <w:rFonts w:ascii="汉仪书宋一简" w:eastAsia="汉仪书宋一简" w:hAnsi="汉仪书宋一简"/>
      <w:color w:val="auto"/>
      <w:sz w:val="20"/>
      <w:szCs w:val="20"/>
    </w:rPr>
  </w:style>
  <w:style w:type="paragraph" w:customStyle="1" w:styleId="style4119">
    <w:name w:val="补四级标题"/>
    <w:basedOn w:val="style0"/>
    <w:next w:val="style4119"/>
    <w:qFormat/>
    <w:pPr>
      <w:ind w:firstLine="202" w:firstLineChars="202"/>
    </w:pPr>
    <w:rPr>
      <w:rFonts w:ascii="汉仪中黑简" w:cs="汉仪中黑简" w:eastAsia="汉仪中黑简" w:hAnsi="汉仪中黑简"/>
      <w:bCs/>
      <w:color w:val="auto"/>
      <w:kern w:val="44"/>
      <w:szCs w:val="24"/>
    </w:rPr>
  </w:style>
  <w:style w:type="paragraph" w:customStyle="1" w:styleId="style4120">
    <w:name w:val="导图文字"/>
    <w:next w:val="style4120"/>
    <w:qFormat/>
    <w:pPr>
      <w:spacing w:lineRule="exact" w:line="384"/>
    </w:pPr>
    <w:rPr>
      <w:rFonts w:ascii="汉仪书宋二简" w:cs="汉仪书宋二简" w:eastAsia="汉仪书宋二简" w:hAnsi="汉仪书宋二简" w:hint="eastAsia"/>
      <w:b/>
      <w:color w:val="000000"/>
      <w:kern w:val="0"/>
      <w:sz w:val="20"/>
      <w:szCs w:val="21"/>
    </w:rPr>
  </w:style>
  <w:style w:type="paragraph" w:customStyle="1" w:styleId="style4121">
    <w:name w:val="导图正文2"/>
    <w:next w:val="style4121"/>
    <w:qFormat/>
    <w:pPr>
      <w:spacing w:lineRule="exact" w:line="384"/>
    </w:pPr>
    <w:rPr>
      <w:rFonts w:ascii="汉仪书宋二简" w:cs="汉仪书宋二简" w:eastAsia="汉仪书宋二简" w:hAnsi="汉仪书宋二简" w:hint="eastAsia"/>
      <w:color w:val="000000"/>
      <w:kern w:val="0"/>
      <w:sz w:val="20"/>
      <w:szCs w:val="21"/>
    </w:rPr>
  </w:style>
  <w:style w:type="character" w:customStyle="1" w:styleId="style4122">
    <w:name w:val="bjh-p"/>
    <w:next w:val="style4122"/>
    <w:qFormat/>
  </w:style>
  <w:style w:type="table" w:customStyle="1" w:styleId="style4123">
    <w:name w:val="网格型2"/>
    <w:basedOn w:val="style105"/>
    <w:next w:val="style4123"/>
    <w:qFormat/>
    <w:uiPriority w:val="59"/>
    <w:pPr/>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24">
    <w:name w:val="网格型12"/>
    <w:basedOn w:val="style105"/>
    <w:next w:val="style4124"/>
    <w:qFormat/>
    <w:uiPriority w:val="59"/>
    <w:pPr/>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125">
    <w:name w:val="22"/>
    <w:basedOn w:val="style65"/>
    <w:next w:val="style4125"/>
    <w:qFormat/>
  </w:style>
  <w:style w:type="character" w:customStyle="1" w:styleId="style4126">
    <w:name w:val="纯文本 Char1"/>
    <w:next w:val="style4126"/>
    <w:qFormat/>
    <w:rPr>
      <w:rFonts w:ascii="宋体" w:eastAsia="宋体" w:hAnsi="Courier New"/>
      <w:sz w:val="21"/>
    </w:rPr>
  </w:style>
  <w:style w:type="character" w:customStyle="1" w:styleId="style4127">
    <w:name w:val="style_kwd"/>
    <w:basedOn w:val="style65"/>
    <w:next w:val="style4127"/>
    <w:qFormat/>
  </w:style>
  <w:style w:type="paragraph" w:customStyle="1" w:styleId="style4128">
    <w:name w:val="列表段落1"/>
    <w:basedOn w:val="style0"/>
    <w:next w:val="style4128"/>
    <w:qFormat/>
    <w:uiPriority w:val="34"/>
    <w:pPr>
      <w:tabs>
        <w:tab w:val="clear" w:pos="420"/>
      </w:tabs>
      <w:spacing w:lineRule="auto" w:line="240"/>
      <w:ind w:firstLine="420"/>
    </w:pPr>
    <w:rPr>
      <w:rFonts w:ascii="Calibri" w:cs="宋体" w:eastAsia="宋体" w:hAnsi="Calibri"/>
      <w:color w:val="auto"/>
      <w:szCs w:val="22"/>
    </w:rPr>
  </w:style>
  <w:style w:type="paragraph" w:customStyle="1" w:styleId="style4129">
    <w:name w:val="标题 31"/>
    <w:basedOn w:val="style0"/>
    <w:next w:val="style4129"/>
    <w:qFormat/>
    <w:pPr>
      <w:widowControl/>
      <w:tabs>
        <w:tab w:val="clear" w:pos="420"/>
      </w:tabs>
      <w:spacing w:lineRule="atLeast" w:line="330"/>
      <w:ind w:left="420" w:firstLine="0" w:firstLineChars="0"/>
      <w:jc w:val="left"/>
      <w:outlineLvl w:val="3"/>
    </w:pPr>
    <w:rPr>
      <w:rFonts w:ascii="Arial" w:cs="Arial" w:eastAsia="宋体" w:hAnsi="Arial"/>
      <w:b/>
      <w:bCs/>
      <w:color w:val="auto"/>
      <w:kern w:val="0"/>
      <w:sz w:val="24"/>
      <w:szCs w:val="24"/>
    </w:rPr>
  </w:style>
  <w:style w:type="character" w:customStyle="1" w:styleId="style4130">
    <w:name w:val="number"/>
    <w:basedOn w:val="style65"/>
    <w:next w:val="style4130"/>
    <w:qFormat/>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Words>18582</Words>
  <Pages>27</Pages>
  <Characters>18861</Characters>
  <Application>WPS Office</Application>
  <DocSecurity>0</DocSecurity>
  <Paragraphs>1134</Paragraphs>
  <ScaleCrop>false</ScaleCrop>
  <Company>QBPC</Company>
  <LinksUpToDate>false</LinksUpToDate>
  <CharactersWithSpaces>18938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2025-04-04T15:14:00Z</dcterms:created>
  <dc:creator>xb21cn</dc:creator>
  <lastModifiedBy>23127PN0CC</lastModifiedBy>
  <dcterms:modified xsi:type="dcterms:W3CDTF">2025-04-05T10:22:03Z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ef65d384de6b442d9bbd1b3dfc529463_23</vt:lpwstr>
  </property>
</Properties>
</file>