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EA2C7" w14:textId="2B73CBDC" w:rsidR="00457E2D" w:rsidRPr="0031659D" w:rsidRDefault="00457E2D" w:rsidP="00D04A0A">
      <w:pPr>
        <w:spacing w:line="240" w:lineRule="exact"/>
        <w:ind w:firstLineChars="0" w:firstLine="0"/>
        <w:jc w:val="center"/>
        <w:rPr>
          <w:rFonts w:asciiTheme="minorEastAsia" w:eastAsiaTheme="minorEastAsia" w:hAnsiTheme="minorEastAsia" w:hint="eastAsia"/>
          <w:b/>
          <w:bCs/>
        </w:rPr>
      </w:pPr>
      <w:bookmarkStart w:id="0" w:name="_Toc183697258"/>
      <w:r w:rsidRPr="0031659D">
        <w:rPr>
          <w:rFonts w:asciiTheme="minorEastAsia" w:eastAsiaTheme="minorEastAsia" w:hAnsiTheme="minorEastAsia" w:hint="eastAsia"/>
          <w:b/>
          <w:bCs/>
        </w:rPr>
        <w:t>第一章  刑事诉讼法的基础知识</w:t>
      </w:r>
      <w:bookmarkEnd w:id="0"/>
    </w:p>
    <w:p w14:paraId="7A44A7E2" w14:textId="06A41C70" w:rsidR="00457E2D" w:rsidRPr="00F37029" w:rsidRDefault="00457E2D" w:rsidP="00C95D82">
      <w:pPr>
        <w:spacing w:line="240" w:lineRule="exact"/>
        <w:ind w:firstLineChars="0" w:firstLine="0"/>
        <w:jc w:val="center"/>
        <w:rPr>
          <w:rFonts w:asciiTheme="minorEastAsia" w:eastAsiaTheme="minorEastAsia" w:hAnsiTheme="minorEastAsia" w:hint="eastAsia"/>
          <w:b/>
          <w:bCs/>
        </w:rPr>
      </w:pPr>
      <w:bookmarkStart w:id="1" w:name="_Toc183697259"/>
      <w:r w:rsidRPr="00F37029">
        <w:rPr>
          <w:rFonts w:asciiTheme="minorEastAsia" w:eastAsiaTheme="minorEastAsia" w:hAnsiTheme="minorEastAsia" w:hint="eastAsia"/>
          <w:b/>
          <w:bCs/>
          <w:color w:val="auto"/>
        </w:rPr>
        <w:t>第一节  刑事诉讼法概述</w:t>
      </w:r>
      <w:bookmarkEnd w:id="1"/>
      <w:r w:rsidR="00C95D82" w:rsidRPr="00F37029">
        <w:rPr>
          <w:rFonts w:asciiTheme="minorEastAsia" w:eastAsiaTheme="minorEastAsia" w:hAnsiTheme="minorEastAsia" w:hint="eastAsia"/>
          <w:b/>
          <w:bCs/>
        </w:rPr>
        <w:t>（19</w:t>
      </w:r>
      <w:r w:rsidR="00C95D82" w:rsidRPr="00F37029">
        <w:rPr>
          <w:rFonts w:asciiTheme="minorEastAsia" w:eastAsiaTheme="minorEastAsia" w:hAnsiTheme="minorEastAsia"/>
          <w:b/>
          <w:bCs/>
        </w:rPr>
        <w:t>:</w:t>
      </w:r>
      <w:r w:rsidR="00C95D82" w:rsidRPr="00F37029">
        <w:rPr>
          <w:rFonts w:asciiTheme="minorEastAsia" w:eastAsiaTheme="minorEastAsia" w:hAnsiTheme="minorEastAsia" w:hint="eastAsia"/>
          <w:b/>
          <w:bCs/>
        </w:rPr>
        <w:t>30</w:t>
      </w:r>
      <w:r w:rsidR="00C95D82" w:rsidRPr="00F37029">
        <w:rPr>
          <w:rFonts w:asciiTheme="minorEastAsia" w:eastAsiaTheme="minorEastAsia" w:hAnsiTheme="minorEastAsia"/>
          <w:b/>
          <w:bCs/>
        </w:rPr>
        <w:t>:00-</w:t>
      </w:r>
      <w:r w:rsidR="00F73802">
        <w:rPr>
          <w:rFonts w:asciiTheme="minorEastAsia" w:eastAsiaTheme="minorEastAsia" w:hAnsiTheme="minorEastAsia" w:hint="eastAsia"/>
          <w:b/>
          <w:bCs/>
        </w:rPr>
        <w:t>20</w:t>
      </w:r>
      <w:r w:rsidR="00C95D82" w:rsidRPr="00F37029">
        <w:rPr>
          <w:rFonts w:asciiTheme="minorEastAsia" w:eastAsiaTheme="minorEastAsia" w:hAnsiTheme="minorEastAsia"/>
          <w:b/>
          <w:bCs/>
        </w:rPr>
        <w:t>:</w:t>
      </w:r>
      <w:r w:rsidR="00C95D82" w:rsidRPr="00F37029">
        <w:rPr>
          <w:rFonts w:asciiTheme="minorEastAsia" w:eastAsiaTheme="minorEastAsia" w:hAnsiTheme="minorEastAsia" w:hint="eastAsia"/>
          <w:b/>
          <w:bCs/>
        </w:rPr>
        <w:t>1</w:t>
      </w:r>
      <w:r w:rsidR="00F73802">
        <w:rPr>
          <w:rFonts w:asciiTheme="minorEastAsia" w:eastAsiaTheme="minorEastAsia" w:hAnsiTheme="minorEastAsia" w:hint="eastAsia"/>
          <w:b/>
          <w:bCs/>
        </w:rPr>
        <w:t>6</w:t>
      </w:r>
      <w:r w:rsidR="00C95D82" w:rsidRPr="00F37029">
        <w:rPr>
          <w:rFonts w:asciiTheme="minorEastAsia" w:eastAsiaTheme="minorEastAsia" w:hAnsiTheme="minorEastAsia"/>
          <w:b/>
          <w:bCs/>
        </w:rPr>
        <w:t>:00）</w:t>
      </w:r>
    </w:p>
    <w:p w14:paraId="4AC8874B" w14:textId="77777777" w:rsidR="00457E2D" w:rsidRPr="00D36B45" w:rsidRDefault="00457E2D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 w:rsidRPr="00D36B45">
        <w:rPr>
          <w:rFonts w:asciiTheme="minorEastAsia" w:eastAsiaTheme="minorEastAsia" w:hAnsiTheme="minorEastAsia" w:hint="eastAsia"/>
          <w:sz w:val="21"/>
        </w:rPr>
        <w:t>一、基本概念</w:t>
      </w:r>
    </w:p>
    <w:p w14:paraId="0199C034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（一）刑事诉讼</w:t>
      </w:r>
    </w:p>
    <w:p w14:paraId="026F415E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我国刑事诉讼，是指人民法院、人民检察院和公安机关（含国家安全机关等其他侦查机关）在当事人及其他诉讼参与人的参加下，依照法律规定的程序，解决被追诉人刑事责任问题的活动。</w:t>
      </w:r>
    </w:p>
    <w:p w14:paraId="012B68A7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1．主体：公检法三机关与诉讼参与人（当事人与其他诉讼参与人）。</w:t>
      </w:r>
    </w:p>
    <w:p w14:paraId="795A81CD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2．本质：严格遵守法律规定的程序和规则（程序法定原则）。</w:t>
      </w:r>
    </w:p>
    <w:p w14:paraId="203290B4" w14:textId="77777777" w:rsidR="00457E2D" w:rsidRPr="00A81548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  <w:color w:val="FF0000"/>
        </w:rPr>
      </w:pPr>
      <w:r w:rsidRPr="00D36B45">
        <w:rPr>
          <w:rFonts w:asciiTheme="minorEastAsia" w:eastAsiaTheme="minorEastAsia" w:hAnsiTheme="minorEastAsia" w:cs="Times New Roman" w:hint="eastAsia"/>
        </w:rPr>
        <w:t>3．目的：保障刑法的正确实施。这也是刑事诉讼法的</w:t>
      </w:r>
      <w:r w:rsidRPr="00A81548">
        <w:rPr>
          <w:rFonts w:asciiTheme="minorEastAsia" w:eastAsiaTheme="minorEastAsia" w:hAnsiTheme="minorEastAsia" w:cs="Times New Roman" w:hint="eastAsia"/>
          <w:color w:val="FF0000"/>
        </w:rPr>
        <w:t>工具价值。</w:t>
      </w:r>
    </w:p>
    <w:p w14:paraId="4EE608B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4．要求：公检法三机关在刑事诉讼过程中规范行使权力，保障诉讼参与人的诉讼权利。</w:t>
      </w:r>
    </w:p>
    <w:p w14:paraId="232F57E8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（二）刑事诉讼法</w:t>
      </w:r>
    </w:p>
    <w:p w14:paraId="5E23DE79" w14:textId="77777777" w:rsidR="00A81548" w:rsidRDefault="00457E2D" w:rsidP="00A81548">
      <w:pPr>
        <w:spacing w:line="240" w:lineRule="exact"/>
        <w:ind w:firstLine="420"/>
        <w:rPr>
          <w:rFonts w:asciiTheme="minorEastAsia" w:eastAsiaTheme="minorEastAsia" w:hAnsiTheme="minorEastAsia"/>
        </w:rPr>
      </w:pPr>
      <w:r w:rsidRPr="00D36B45">
        <w:rPr>
          <w:rFonts w:asciiTheme="minorEastAsia" w:eastAsiaTheme="minorEastAsia" w:hAnsiTheme="minorEastAsia" w:hint="eastAsia"/>
        </w:rPr>
        <w:t>刑事诉讼法是国家制定的规范人民法院、人民检察院和公安机关进行刑事诉讼，当事人和其他诉讼参与人参加刑事诉讼的法律。广义的刑事诉讼法指一切有关刑事诉讼的法律规范。除了上述工具价值外，刑事诉讼法还</w:t>
      </w:r>
      <w:r w:rsidRPr="00D36B45">
        <w:rPr>
          <w:rFonts w:asciiTheme="minorEastAsia" w:eastAsiaTheme="minorEastAsia" w:hAnsiTheme="minorEastAsia" w:hint="eastAsia"/>
          <w:color w:val="FF0000"/>
        </w:rPr>
        <w:t>具有体现程序本身民主、法治与保障人权精神，以及影响刑法实现的独立价值</w:t>
      </w:r>
      <w:r w:rsidRPr="00D36B45">
        <w:rPr>
          <w:rFonts w:asciiTheme="minorEastAsia" w:eastAsiaTheme="minorEastAsia" w:hAnsiTheme="minorEastAsia" w:hint="eastAsia"/>
        </w:rPr>
        <w:t>。</w:t>
      </w:r>
    </w:p>
    <w:p w14:paraId="39FB61BF" w14:textId="642E4542" w:rsidR="00457E2D" w:rsidRPr="00A81548" w:rsidRDefault="00457E2D" w:rsidP="00A81548">
      <w:pPr>
        <w:spacing w:line="240" w:lineRule="exact"/>
        <w:ind w:firstLine="420"/>
        <w:rPr>
          <w:rFonts w:asciiTheme="minorEastAsia" w:eastAsiaTheme="minorEastAsia" w:hAnsiTheme="minorEastAsia" w:hint="eastAsia"/>
        </w:rPr>
      </w:pPr>
      <w:r w:rsidRPr="00D36B45">
        <w:rPr>
          <w:rFonts w:asciiTheme="minorEastAsia" w:eastAsiaTheme="minorEastAsia" w:hAnsiTheme="minorEastAsia" w:cs="Times New Roman" w:hint="eastAsia"/>
        </w:rPr>
        <w:t>刑事诉讼法规定了证明责任和证明标准，为规范定罪量刑提供了标准，这体现了工具价值；刑事诉讼法为未成年人专门设置了特别程序，这体现了独立价值；刑事诉讼有序追究犯罪和惩治犯罪的作用，体现了秩序价值。</w:t>
      </w:r>
    </w:p>
    <w:p w14:paraId="1C832778" w14:textId="77777777" w:rsidR="00457E2D" w:rsidRPr="00D36B45" w:rsidRDefault="00457E2D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 w:rsidRPr="00D36B45">
        <w:rPr>
          <w:rFonts w:asciiTheme="minorEastAsia" w:eastAsiaTheme="minorEastAsia" w:hAnsiTheme="minorEastAsia" w:hint="eastAsia"/>
          <w:sz w:val="21"/>
        </w:rPr>
        <w:t>二、基本理念</w:t>
      </w:r>
    </w:p>
    <w:p w14:paraId="6E8DF03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惩罚犯罪与保障人权。惩罚犯罪，即通过刑事诉讼活动准确、及时查明案件事实，在此基础上对构成犯罪的人公正适用刑法，从而打击、抑制犯罪。保障人权，即在通过刑事诉讼活动惩罚犯罪的过程中，保障公民合法权益不受非法侵犯。办理刑事案件，应追求惩罚犯罪与保障人权的同步实现。如有冲突，需根据利益权衡的原则作出选择。</w:t>
      </w:r>
    </w:p>
    <w:p w14:paraId="0EEE87F1" w14:textId="77777777" w:rsidR="00A81548" w:rsidRDefault="00457E2D" w:rsidP="00A81548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实体公正与程序公正。又称结果公正与过程公正。实体公正，即案件事实的认定、是否构罪的认定、罪名的认定、刑罚的判定和涉案财物的处理所体现的公正。程序公正，即诉讼权利的保障、诉讼行为的开展、法定期限的遵守等诉讼程序方面体现的公正。办理刑事案件，应追求实体公正与程序公正的统一。如遇矛盾，同样需根据利益权衡的原则作出选择。</w:t>
      </w:r>
    </w:p>
    <w:p w14:paraId="366909B6" w14:textId="27B61273" w:rsidR="00457E2D" w:rsidRPr="00D36B45" w:rsidRDefault="00457E2D" w:rsidP="00A81548">
      <w:pPr>
        <w:spacing w:line="240" w:lineRule="exact"/>
        <w:ind w:firstLine="420"/>
        <w:rPr>
          <w:rFonts w:asciiTheme="minorEastAsia" w:eastAsiaTheme="minorEastAsia" w:hAnsiTheme="minorEastAsia" w:cs="Times New Roman" w:hint="eastAsia"/>
        </w:rPr>
      </w:pPr>
      <w:r w:rsidRPr="00D36B45">
        <w:rPr>
          <w:rFonts w:asciiTheme="minorEastAsia" w:eastAsiaTheme="minorEastAsia" w:hAnsiTheme="minorEastAsia" w:cs="Times New Roman" w:hint="eastAsia"/>
        </w:rPr>
        <w:t>发现真相、查明案件事实是刑事诉讼法的首要任务，在事实得以查明的基础上，司法机关才能进一步根据刑法的规定和刑事政策的适用，对涉嫌犯罪之人作出处理。现代刑事诉讼追求发现真相与保障人权的平衡，要求通过公正的程序达到公正的结果，禁止不问是非、不择手段、不计代价地发现真相。比如，通过刑讯逼供的方式获取犯罪嫌疑人、被告人的供述，不仅可能导致冤假错案，还严重侵犯公民个人基本权利。从切实保障人权和维系程序公正的角度，即使基于利益权衡，也应排除通过刑讯逼供获取的供述。</w:t>
      </w:r>
    </w:p>
    <w:p w14:paraId="69EBCC1F" w14:textId="77777777" w:rsidR="00457E2D" w:rsidRPr="00D36B45" w:rsidRDefault="00457E2D" w:rsidP="00D36B45">
      <w:pPr>
        <w:tabs>
          <w:tab w:val="left" w:pos="312"/>
        </w:tabs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hint="eastAsia"/>
        </w:rPr>
        <w:t>3．诉讼效率。追求诉讼效率，即诉讼中投入一定司法资源（人力、财力、物力等）能处理尽可能多的案件。但</w:t>
      </w:r>
      <w:r w:rsidRPr="00D36B45">
        <w:rPr>
          <w:rFonts w:asciiTheme="minorEastAsia" w:eastAsiaTheme="minorEastAsia" w:hAnsiTheme="minorEastAsia" w:hint="eastAsia"/>
          <w:color w:val="FF0000"/>
        </w:rPr>
        <w:t>不能一味追求“快”，效率以公正为前提</w:t>
      </w:r>
      <w:r w:rsidRPr="00D36B45">
        <w:rPr>
          <w:rFonts w:asciiTheme="minorEastAsia" w:eastAsiaTheme="minorEastAsia" w:hAnsiTheme="minorEastAsia" w:hint="eastAsia"/>
        </w:rPr>
        <w:t>，公正优先，</w:t>
      </w:r>
      <w:r w:rsidRPr="00D36B45">
        <w:rPr>
          <w:rFonts w:asciiTheme="minorEastAsia" w:eastAsiaTheme="minorEastAsia" w:hAnsiTheme="minorEastAsia" w:cs="Times New Roman" w:hint="eastAsia"/>
        </w:rPr>
        <w:t>兼顾效率。刑事诉讼中，诉讼期限、认罪认罚从宽、轻微犯罪案件酌定不起诉、简易程序、速裁程序等制度体现了诉讼效率理念。</w:t>
      </w:r>
    </w:p>
    <w:p w14:paraId="6253C2E4" w14:textId="30B6D261" w:rsidR="00457E2D" w:rsidRPr="00F37029" w:rsidRDefault="00457E2D" w:rsidP="006357FF">
      <w:pPr>
        <w:spacing w:line="240" w:lineRule="exact"/>
        <w:ind w:firstLineChars="0" w:firstLine="0"/>
        <w:jc w:val="center"/>
        <w:rPr>
          <w:rFonts w:asciiTheme="minorEastAsia" w:eastAsiaTheme="minorEastAsia" w:hAnsiTheme="minorEastAsia" w:hint="eastAsia"/>
          <w:b/>
          <w:bCs/>
        </w:rPr>
      </w:pPr>
      <w:bookmarkStart w:id="2" w:name="_Toc183697260"/>
      <w:r w:rsidRPr="00F37029">
        <w:rPr>
          <w:rFonts w:asciiTheme="minorEastAsia" w:eastAsiaTheme="minorEastAsia" w:hAnsiTheme="minorEastAsia" w:hint="eastAsia"/>
          <w:b/>
          <w:bCs/>
          <w:color w:val="auto"/>
        </w:rPr>
        <w:t>第二节  基本原则</w:t>
      </w:r>
      <w:bookmarkEnd w:id="2"/>
      <w:r w:rsidR="006357FF" w:rsidRPr="00F37029">
        <w:rPr>
          <w:rFonts w:asciiTheme="minorEastAsia" w:eastAsiaTheme="minorEastAsia" w:hAnsiTheme="minorEastAsia" w:hint="eastAsia"/>
          <w:b/>
          <w:bCs/>
        </w:rPr>
        <w:t>（</w:t>
      </w:r>
      <w:r w:rsidR="00680014">
        <w:rPr>
          <w:rFonts w:asciiTheme="minorEastAsia" w:eastAsiaTheme="minorEastAsia" w:hAnsiTheme="minorEastAsia" w:hint="eastAsia"/>
          <w:b/>
          <w:bCs/>
        </w:rPr>
        <w:t>20</w:t>
      </w:r>
      <w:r w:rsidR="006357FF" w:rsidRPr="00F37029">
        <w:rPr>
          <w:rFonts w:asciiTheme="minorEastAsia" w:eastAsiaTheme="minorEastAsia" w:hAnsiTheme="minorEastAsia"/>
          <w:b/>
          <w:bCs/>
        </w:rPr>
        <w:t>:</w:t>
      </w:r>
      <w:r w:rsidR="00680014">
        <w:rPr>
          <w:rFonts w:asciiTheme="minorEastAsia" w:eastAsiaTheme="minorEastAsia" w:hAnsiTheme="minorEastAsia" w:hint="eastAsia"/>
          <w:b/>
          <w:bCs/>
        </w:rPr>
        <w:t>16</w:t>
      </w:r>
      <w:r w:rsidR="006357FF" w:rsidRPr="00F37029">
        <w:rPr>
          <w:rFonts w:asciiTheme="minorEastAsia" w:eastAsiaTheme="minorEastAsia" w:hAnsiTheme="minorEastAsia"/>
          <w:b/>
          <w:bCs/>
        </w:rPr>
        <w:t>:00-</w:t>
      </w:r>
      <w:r w:rsidR="00A5354D">
        <w:rPr>
          <w:rFonts w:asciiTheme="minorEastAsia" w:eastAsiaTheme="minorEastAsia" w:hAnsiTheme="minorEastAsia" w:hint="eastAsia"/>
          <w:b/>
          <w:bCs/>
        </w:rPr>
        <w:t>2</w:t>
      </w:r>
      <w:r w:rsidR="006357FF" w:rsidRPr="00F37029">
        <w:rPr>
          <w:rFonts w:asciiTheme="minorEastAsia" w:eastAsiaTheme="minorEastAsia" w:hAnsiTheme="minorEastAsia" w:hint="eastAsia"/>
          <w:b/>
          <w:bCs/>
        </w:rPr>
        <w:t>1</w:t>
      </w:r>
      <w:r w:rsidR="006357FF" w:rsidRPr="00F37029">
        <w:rPr>
          <w:rFonts w:asciiTheme="minorEastAsia" w:eastAsiaTheme="minorEastAsia" w:hAnsiTheme="minorEastAsia"/>
          <w:b/>
          <w:bCs/>
        </w:rPr>
        <w:t>:</w:t>
      </w:r>
      <w:r w:rsidR="00A5354D">
        <w:rPr>
          <w:rFonts w:asciiTheme="minorEastAsia" w:eastAsiaTheme="minorEastAsia" w:hAnsiTheme="minorEastAsia" w:hint="eastAsia"/>
          <w:b/>
          <w:bCs/>
        </w:rPr>
        <w:t>00</w:t>
      </w:r>
      <w:r w:rsidR="006357FF" w:rsidRPr="00F37029">
        <w:rPr>
          <w:rFonts w:asciiTheme="minorEastAsia" w:eastAsiaTheme="minorEastAsia" w:hAnsiTheme="minorEastAsia"/>
          <w:b/>
          <w:bCs/>
        </w:rPr>
        <w:t>:00）</w:t>
      </w:r>
    </w:p>
    <w:p w14:paraId="0E13C4AF" w14:textId="06B85343" w:rsidR="00457E2D" w:rsidRPr="00D36B45" w:rsidRDefault="002B0B02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>
        <w:rPr>
          <w:rFonts w:asciiTheme="minorEastAsia" w:eastAsiaTheme="minorEastAsia" w:hAnsiTheme="minorEastAsia" w:hint="eastAsia"/>
          <w:sz w:val="21"/>
        </w:rPr>
        <w:t>一</w:t>
      </w:r>
      <w:r w:rsidR="00457E2D" w:rsidRPr="00D36B45">
        <w:rPr>
          <w:rFonts w:asciiTheme="minorEastAsia" w:eastAsiaTheme="minorEastAsia" w:hAnsiTheme="minorEastAsia" w:hint="eastAsia"/>
          <w:sz w:val="21"/>
        </w:rPr>
        <w:t>、人民检察院依法对刑事诉讼实行法律监督</w:t>
      </w:r>
    </w:p>
    <w:p w14:paraId="276D1750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人民检察院对刑事诉讼活动的监督是全程的、贯穿始终的，具体包括立案监督、侦查监督、审判监督和执行监督。</w:t>
      </w:r>
    </w:p>
    <w:p w14:paraId="1F241236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立案监督。对公安机关“该立不立”和“不该立而立”进行监督。比如，公安机关认为某寻衅滋事案未达到刑事立案标准，作为治安案件处理即可，但检察院认为应追究刑事责任，有权对公安机关进行立案监督。</w:t>
      </w:r>
    </w:p>
    <w:p w14:paraId="45DB534B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2．侦查监督。对侦查活动进行实时监督和事后监督。前者如派员适时介入重大、疑难、复杂案件的侦查活动，后者如在审查起诉过程中对侦查活动的合法性进行审查。</w:t>
      </w:r>
    </w:p>
    <w:p w14:paraId="0A174E7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3．审判监督。对审判程序与裁判进行监督。需要注意的是，对违反程序的庭审活动提出纠正意见，应在庭审后提出。</w:t>
      </w:r>
    </w:p>
    <w:p w14:paraId="3B2B275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4．执行监督。对执行机关执行刑罚活动是否合法进行监督；对执行的变更（暂予监外执行、减刑、假释）进行监督。</w:t>
      </w:r>
    </w:p>
    <w:p w14:paraId="7EE7DF58" w14:textId="5B36387C" w:rsidR="00457E2D" w:rsidRPr="00D36B45" w:rsidRDefault="002B0B02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>
        <w:rPr>
          <w:rFonts w:asciiTheme="minorEastAsia" w:eastAsiaTheme="minorEastAsia" w:hAnsiTheme="minorEastAsia" w:hint="eastAsia"/>
          <w:sz w:val="21"/>
        </w:rPr>
        <w:t>二</w:t>
      </w:r>
      <w:r w:rsidR="00457E2D" w:rsidRPr="00D36B45">
        <w:rPr>
          <w:rFonts w:asciiTheme="minorEastAsia" w:eastAsiaTheme="minorEastAsia" w:hAnsiTheme="minorEastAsia" w:hint="eastAsia"/>
          <w:sz w:val="21"/>
        </w:rPr>
        <w:t>、认罪认罚从宽</w:t>
      </w:r>
    </w:p>
    <w:p w14:paraId="2070266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hint="eastAsia"/>
        </w:rPr>
      </w:pPr>
      <w:r w:rsidRPr="00D36B45">
        <w:rPr>
          <w:rFonts w:asciiTheme="minorEastAsia" w:eastAsiaTheme="minorEastAsia" w:hAnsiTheme="minorEastAsia" w:hint="eastAsia"/>
        </w:rPr>
        <w:t>认罪认罚从宽既是一项对刑事诉讼具有普遍指导意义的基本原则，也是一项贯穿全程的制度，适用于侦查、起诉、审判各个阶段。认罪认罚从宽制度没有适用罪名和可能判处刑罚的限定，所有刑事案件都可以适用。但“可以”适用不是一律适用，犯罪嫌疑人、被告人认罪认罚后是否从宽，由司法机关根据案件具体情况决定。</w:t>
      </w:r>
    </w:p>
    <w:p w14:paraId="097F46B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hint="eastAsia"/>
        </w:rPr>
        <w:t>1．“认罪”的把握。认罪认罚从宽制度中的“认罪”，是指犯罪嫌疑人、被告人自愿如实供述自己的罪行，对指控的犯罪事实没有异议。</w:t>
      </w:r>
      <w:r w:rsidRPr="00D36B45">
        <w:rPr>
          <w:rFonts w:asciiTheme="minorEastAsia" w:eastAsiaTheme="minorEastAsia" w:hAnsiTheme="minorEastAsia" w:hint="eastAsia"/>
          <w:color w:val="FF0000"/>
        </w:rPr>
        <w:t>承认指控的主要犯罪事实，仅对个别事实</w:t>
      </w:r>
      <w:r w:rsidRPr="00D36B45">
        <w:rPr>
          <w:rFonts w:asciiTheme="minorEastAsia" w:eastAsiaTheme="minorEastAsia" w:hAnsiTheme="minorEastAsia" w:hint="eastAsia"/>
          <w:color w:val="FF0000"/>
        </w:rPr>
        <w:lastRenderedPageBreak/>
        <w:t>情节提出异议，或者虽然对行为性质提出辩解但表示接受司法机关认定意见的，不影响“认罪”的认定。犯罪嫌疑人、被告人犯数罪，仅如实供述其中一罪或部分罪名事实的，全案不作“认罪”的认定，不适用认罪认罚从宽制度</w:t>
      </w:r>
      <w:r w:rsidRPr="00D36B45">
        <w:rPr>
          <w:rFonts w:asciiTheme="minorEastAsia" w:eastAsiaTheme="minorEastAsia" w:hAnsiTheme="minorEastAsia" w:hint="eastAsia"/>
        </w:rPr>
        <w:t>，但对如实供述的部分，人民检察院可以提出从宽处罚的建议，人民法院可以从宽处罚。</w:t>
      </w:r>
    </w:p>
    <w:p w14:paraId="72C8C4E0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hint="eastAsia"/>
        </w:rPr>
        <w:t>2．“</w:t>
      </w:r>
      <w:r w:rsidRPr="00D36B45">
        <w:rPr>
          <w:rFonts w:asciiTheme="minorEastAsia" w:eastAsiaTheme="minorEastAsia" w:hAnsiTheme="minorEastAsia" w:cs="Times New Roman" w:hint="eastAsia"/>
        </w:rPr>
        <w:t>认罚”的把握。认罪认罚从宽制度中的“认罚”，是指犯罪嫌疑人、被告人真诚悔罪，愿意接受处罚。“认罚”，在侦查阶段表现为表示愿意接受处罚；</w:t>
      </w:r>
      <w:r w:rsidRPr="00D36B45">
        <w:rPr>
          <w:rFonts w:asciiTheme="minorEastAsia" w:eastAsiaTheme="minorEastAsia" w:hAnsiTheme="minorEastAsia" w:cs="Times New Roman" w:hint="eastAsia"/>
          <w:color w:val="FF0000"/>
        </w:rPr>
        <w:t>在审查起诉阶段表现为接受人民检察院拟作出的起诉或不起诉决定，认可人民检察院的量刑建议，签署认罪认罚具结书</w:t>
      </w:r>
      <w:r w:rsidRPr="00D36B45">
        <w:rPr>
          <w:rFonts w:asciiTheme="minorEastAsia" w:eastAsiaTheme="minorEastAsia" w:hAnsiTheme="minorEastAsia" w:cs="Times New Roman" w:hint="eastAsia"/>
        </w:rPr>
        <w:t>；在审判阶段表现为当庭确认自愿签署具结书，愿意接受刑罚处罚。</w:t>
      </w:r>
    </w:p>
    <w:p w14:paraId="1B35C2E2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</w:t>
      </w:r>
      <w:r w:rsidRPr="00D36B45">
        <w:rPr>
          <w:rFonts w:asciiTheme="minorEastAsia" w:eastAsiaTheme="minorEastAsia" w:hAnsiTheme="minorEastAsia" w:hint="eastAsia"/>
        </w:rPr>
        <w:t>．</w:t>
      </w:r>
      <w:r w:rsidRPr="00D36B45">
        <w:rPr>
          <w:rFonts w:asciiTheme="minorEastAsia" w:eastAsiaTheme="minorEastAsia" w:hAnsiTheme="minorEastAsia" w:cs="Times New Roman" w:hint="eastAsia"/>
        </w:rPr>
        <w:t>“从宽”的理解。从宽处理既包括实体上从宽处罚，也包括程序上从简处理。“可以从宽”，是指一般应当体现法律规定和政策精神，予以从宽处理。但可以从宽不是一律从宽，对犯罪性质和危害后果特别严重、犯罪手段特别残忍、社会影响特别恶劣的犯罪嫌疑人、被告人，认罪认罚不足以从轻处罚的，依法不予从宽处罚。</w:t>
      </w:r>
    </w:p>
    <w:p w14:paraId="6AECEF2F" w14:textId="2A1D35D3" w:rsidR="00457E2D" w:rsidRPr="00D36B45" w:rsidRDefault="006146E1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>
        <w:rPr>
          <w:rFonts w:asciiTheme="minorEastAsia" w:eastAsiaTheme="minorEastAsia" w:hAnsiTheme="minorEastAsia" w:hint="eastAsia"/>
          <w:sz w:val="21"/>
        </w:rPr>
        <w:t>三</w:t>
      </w:r>
      <w:r w:rsidR="00457E2D" w:rsidRPr="00D36B45">
        <w:rPr>
          <w:rFonts w:asciiTheme="minorEastAsia" w:eastAsiaTheme="minorEastAsia" w:hAnsiTheme="minorEastAsia" w:hint="eastAsia"/>
          <w:sz w:val="21"/>
        </w:rPr>
        <w:t>、具有法定情形不予追究刑事责任</w:t>
      </w:r>
    </w:p>
    <w:p w14:paraId="1EA0D18B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根据《刑事诉讼法》第16条规定，有下列情形之一的，不追究刑事责任，已经追究的，应当撤销案件，或者不起诉，或者终止审理，或者宣告无罪：</w:t>
      </w:r>
    </w:p>
    <w:p w14:paraId="1A937187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1．情节显著轻微、危害不大，不认为是犯罪的；</w:t>
      </w:r>
    </w:p>
    <w:p w14:paraId="25770C1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2．犯罪已过追诉时效期限的；</w:t>
      </w:r>
    </w:p>
    <w:p w14:paraId="6317326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3．经特赦令免除刑罚的；</w:t>
      </w:r>
    </w:p>
    <w:p w14:paraId="0BF5A32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4．依照刑法告诉才处理的犯罪，没有告诉或者撤回告诉的；</w:t>
      </w:r>
    </w:p>
    <w:p w14:paraId="69804A02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5．犯罪嫌疑人、被告人死亡的；</w:t>
      </w:r>
    </w:p>
    <w:p w14:paraId="465D9CED" w14:textId="77777777" w:rsidR="005917BC" w:rsidRDefault="00457E2D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6．其他法律规定免予追究刑事责任的。</w:t>
      </w:r>
    </w:p>
    <w:p w14:paraId="69D08A71" w14:textId="1059F988" w:rsidR="00457E2D" w:rsidRDefault="00457E2D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  <w:color w:val="FF0000"/>
        </w:rPr>
      </w:pPr>
      <w:r w:rsidRPr="00D36B45">
        <w:rPr>
          <w:rFonts w:asciiTheme="minorEastAsia" w:eastAsiaTheme="minorEastAsia" w:hAnsiTheme="minorEastAsia" w:cs="Times New Roman" w:hint="eastAsia"/>
          <w:color w:val="FF0000"/>
        </w:rPr>
        <w:t>不同阶段发现法定不追究刑事责任的情形的处理方式</w:t>
      </w:r>
      <w:r w:rsidR="005917BC">
        <w:rPr>
          <w:rFonts w:asciiTheme="minorEastAsia" w:eastAsiaTheme="minorEastAsia" w:hAnsiTheme="minorEastAsia" w:cs="Times New Roman" w:hint="eastAsia"/>
          <w:color w:val="FF0000"/>
        </w:rPr>
        <w:t>：</w:t>
      </w:r>
    </w:p>
    <w:p w14:paraId="69AFF441" w14:textId="3A785E0C" w:rsidR="005917BC" w:rsidRDefault="005917BC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5917BC">
        <w:rPr>
          <w:rFonts w:asciiTheme="minorEastAsia" w:eastAsiaTheme="minorEastAsia" w:hAnsiTheme="minorEastAsia" w:cs="Times New Roman" w:hint="eastAsia"/>
        </w:rPr>
        <w:t>立案阶段</w:t>
      </w:r>
      <w:r>
        <w:rPr>
          <w:rFonts w:asciiTheme="minorEastAsia" w:eastAsiaTheme="minorEastAsia" w:hAnsiTheme="minorEastAsia" w:cs="Times New Roman" w:hint="eastAsia"/>
        </w:rPr>
        <w:t>——</w:t>
      </w:r>
      <w:r w:rsidRPr="005917BC">
        <w:rPr>
          <w:rFonts w:asciiTheme="minorEastAsia" w:eastAsiaTheme="minorEastAsia" w:hAnsiTheme="minorEastAsia" w:cs="Times New Roman" w:hint="eastAsia"/>
        </w:rPr>
        <w:t>不予立案</w:t>
      </w:r>
    </w:p>
    <w:p w14:paraId="021E0749" w14:textId="505CC3C1" w:rsidR="005917BC" w:rsidRDefault="005917BC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5917BC">
        <w:rPr>
          <w:rFonts w:asciiTheme="minorEastAsia" w:eastAsiaTheme="minorEastAsia" w:hAnsiTheme="minorEastAsia" w:cs="Times New Roman" w:hint="eastAsia"/>
        </w:rPr>
        <w:t>侦查阶段</w:t>
      </w:r>
      <w:r>
        <w:rPr>
          <w:rFonts w:asciiTheme="minorEastAsia" w:eastAsiaTheme="minorEastAsia" w:hAnsiTheme="minorEastAsia" w:cs="Times New Roman" w:hint="eastAsia"/>
        </w:rPr>
        <w:t>——</w:t>
      </w:r>
      <w:r w:rsidRPr="005917BC">
        <w:rPr>
          <w:rFonts w:asciiTheme="minorEastAsia" w:eastAsiaTheme="minorEastAsia" w:hAnsiTheme="minorEastAsia" w:cs="Times New Roman" w:hint="eastAsia"/>
        </w:rPr>
        <w:t>撤销案件</w:t>
      </w:r>
    </w:p>
    <w:p w14:paraId="7FD6FF8B" w14:textId="368957E9" w:rsidR="005917BC" w:rsidRDefault="005917BC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5917BC">
        <w:rPr>
          <w:rFonts w:asciiTheme="minorEastAsia" w:eastAsiaTheme="minorEastAsia" w:hAnsiTheme="minorEastAsia" w:cs="Times New Roman" w:hint="eastAsia"/>
        </w:rPr>
        <w:t>审查起诉阶段</w:t>
      </w:r>
      <w:r>
        <w:rPr>
          <w:rFonts w:asciiTheme="minorEastAsia" w:eastAsiaTheme="minorEastAsia" w:hAnsiTheme="minorEastAsia" w:cs="Times New Roman" w:hint="eastAsia"/>
        </w:rPr>
        <w:t>——</w:t>
      </w:r>
      <w:r w:rsidRPr="005917BC">
        <w:rPr>
          <w:rFonts w:asciiTheme="minorEastAsia" w:eastAsiaTheme="minorEastAsia" w:hAnsiTheme="minorEastAsia" w:cs="Times New Roman" w:hint="eastAsia"/>
        </w:rPr>
        <w:t>不起诉</w:t>
      </w:r>
    </w:p>
    <w:p w14:paraId="31239AEC" w14:textId="73E0F53E" w:rsidR="005917BC" w:rsidRDefault="005917BC" w:rsidP="005917BC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5917BC">
        <w:rPr>
          <w:rFonts w:asciiTheme="minorEastAsia" w:eastAsiaTheme="minorEastAsia" w:hAnsiTheme="minorEastAsia" w:cs="Times New Roman" w:hint="eastAsia"/>
        </w:rPr>
        <w:t>审判阶段（庭前审查）</w:t>
      </w:r>
      <w:r>
        <w:rPr>
          <w:rFonts w:asciiTheme="minorEastAsia" w:eastAsiaTheme="minorEastAsia" w:hAnsiTheme="minorEastAsia" w:cs="Times New Roman" w:hint="eastAsia"/>
        </w:rPr>
        <w:t>——</w:t>
      </w:r>
      <w:r w:rsidRPr="005917BC">
        <w:rPr>
          <w:rFonts w:asciiTheme="minorEastAsia" w:eastAsiaTheme="minorEastAsia" w:hAnsiTheme="minorEastAsia" w:cs="Times New Roman" w:hint="eastAsia"/>
        </w:rPr>
        <w:t>对于第2-6项情形，应退回人民检察院。是否存在第1项情形，应通过开庭审理予以判定</w:t>
      </w:r>
    </w:p>
    <w:p w14:paraId="634C4E0D" w14:textId="1D03F13D" w:rsidR="005917BC" w:rsidRDefault="005917BC" w:rsidP="005917BC">
      <w:pPr>
        <w:spacing w:line="240" w:lineRule="exact"/>
        <w:ind w:firstLine="420"/>
        <w:rPr>
          <w:rFonts w:asciiTheme="minorEastAsia" w:eastAsiaTheme="minorEastAsia" w:hAnsiTheme="minorEastAsia" w:cs="Times New Roman" w:hint="eastAsia"/>
        </w:rPr>
      </w:pPr>
      <w:r w:rsidRPr="005917BC">
        <w:rPr>
          <w:rFonts w:asciiTheme="minorEastAsia" w:eastAsiaTheme="minorEastAsia" w:hAnsiTheme="minorEastAsia" w:cs="Times New Roman" w:hint="eastAsia"/>
        </w:rPr>
        <w:t>审判阶段（开庭审理）</w:t>
      </w:r>
      <w:r>
        <w:rPr>
          <w:rFonts w:asciiTheme="minorEastAsia" w:eastAsiaTheme="minorEastAsia" w:hAnsiTheme="minorEastAsia" w:cs="Times New Roman" w:hint="eastAsia"/>
        </w:rPr>
        <w:t>——</w:t>
      </w:r>
      <w:r w:rsidRPr="005917BC">
        <w:rPr>
          <w:rFonts w:asciiTheme="minorEastAsia" w:eastAsiaTheme="minorEastAsia" w:hAnsiTheme="minorEastAsia" w:cs="Times New Roman" w:hint="eastAsia"/>
        </w:rPr>
        <w:t>对于第1项情形，应判决宣告无罪。对于第2-6项情形，应裁定终止审理</w:t>
      </w:r>
    </w:p>
    <w:p w14:paraId="0EBB22D5" w14:textId="1AD7E655" w:rsidR="00457E2D" w:rsidRPr="0039391F" w:rsidRDefault="00457E2D" w:rsidP="0039391F">
      <w:pPr>
        <w:spacing w:line="240" w:lineRule="exact"/>
        <w:ind w:firstLineChars="0" w:firstLine="0"/>
        <w:jc w:val="center"/>
        <w:rPr>
          <w:rFonts w:asciiTheme="minorEastAsia" w:eastAsiaTheme="minorEastAsia" w:hAnsiTheme="minorEastAsia" w:hint="eastAsia"/>
          <w:b/>
          <w:bCs/>
          <w:color w:val="auto"/>
        </w:rPr>
      </w:pPr>
      <w:bookmarkStart w:id="3" w:name="_Toc183697261"/>
      <w:r w:rsidRPr="00F37029">
        <w:rPr>
          <w:rFonts w:asciiTheme="minorEastAsia" w:eastAsiaTheme="minorEastAsia" w:hAnsiTheme="minorEastAsia" w:hint="eastAsia"/>
          <w:b/>
          <w:bCs/>
          <w:color w:val="auto"/>
        </w:rPr>
        <w:t>第三节  刑事诉讼中的专门机关与诉讼参与人</w:t>
      </w:r>
      <w:bookmarkEnd w:id="3"/>
      <w:r w:rsidR="00F37029" w:rsidRPr="00F37029">
        <w:rPr>
          <w:rFonts w:asciiTheme="minorEastAsia" w:eastAsiaTheme="minorEastAsia" w:hAnsiTheme="minorEastAsia" w:hint="eastAsia"/>
          <w:b/>
          <w:bCs/>
          <w:color w:val="auto"/>
        </w:rPr>
        <w:t>（</w:t>
      </w:r>
      <w:r w:rsidR="007E4E67">
        <w:rPr>
          <w:rFonts w:asciiTheme="minorEastAsia" w:eastAsiaTheme="minorEastAsia" w:hAnsiTheme="minorEastAsia" w:hint="eastAsia"/>
          <w:b/>
          <w:bCs/>
          <w:color w:val="auto"/>
        </w:rPr>
        <w:t>21</w:t>
      </w:r>
      <w:r w:rsidR="00F37029" w:rsidRPr="00F37029">
        <w:rPr>
          <w:rFonts w:asciiTheme="minorEastAsia" w:eastAsiaTheme="minorEastAsia" w:hAnsiTheme="minorEastAsia"/>
          <w:b/>
          <w:bCs/>
          <w:color w:val="auto"/>
        </w:rPr>
        <w:t>:</w:t>
      </w:r>
      <w:r w:rsidR="007E4E67">
        <w:rPr>
          <w:rFonts w:asciiTheme="minorEastAsia" w:eastAsiaTheme="minorEastAsia" w:hAnsiTheme="minorEastAsia" w:hint="eastAsia"/>
          <w:b/>
          <w:bCs/>
          <w:color w:val="auto"/>
        </w:rPr>
        <w:t>0</w:t>
      </w:r>
      <w:r w:rsidR="00F37029" w:rsidRPr="00F37029">
        <w:rPr>
          <w:rFonts w:asciiTheme="minorEastAsia" w:eastAsiaTheme="minorEastAsia" w:hAnsiTheme="minorEastAsia" w:hint="eastAsia"/>
          <w:b/>
          <w:bCs/>
          <w:color w:val="auto"/>
        </w:rPr>
        <w:t>0</w:t>
      </w:r>
      <w:r w:rsidR="00F37029" w:rsidRPr="00F37029">
        <w:rPr>
          <w:rFonts w:asciiTheme="minorEastAsia" w:eastAsiaTheme="minorEastAsia" w:hAnsiTheme="minorEastAsia"/>
          <w:b/>
          <w:bCs/>
          <w:color w:val="auto"/>
        </w:rPr>
        <w:t>:00-</w:t>
      </w:r>
      <w:r w:rsidR="004A06E2">
        <w:rPr>
          <w:rFonts w:asciiTheme="minorEastAsia" w:eastAsiaTheme="minorEastAsia" w:hAnsiTheme="minorEastAsia" w:hint="eastAsia"/>
          <w:b/>
          <w:bCs/>
          <w:color w:val="auto"/>
        </w:rPr>
        <w:t>2</w:t>
      </w:r>
      <w:r w:rsidR="00F37029" w:rsidRPr="00F37029">
        <w:rPr>
          <w:rFonts w:asciiTheme="minorEastAsia" w:eastAsiaTheme="minorEastAsia" w:hAnsiTheme="minorEastAsia" w:hint="eastAsia"/>
          <w:b/>
          <w:bCs/>
          <w:color w:val="auto"/>
        </w:rPr>
        <w:t>1</w:t>
      </w:r>
      <w:r w:rsidR="00F37029" w:rsidRPr="00F37029">
        <w:rPr>
          <w:rFonts w:asciiTheme="minorEastAsia" w:eastAsiaTheme="minorEastAsia" w:hAnsiTheme="minorEastAsia"/>
          <w:b/>
          <w:bCs/>
          <w:color w:val="auto"/>
        </w:rPr>
        <w:t>:</w:t>
      </w:r>
      <w:r w:rsidR="00792E7C">
        <w:rPr>
          <w:rFonts w:asciiTheme="minorEastAsia" w:eastAsiaTheme="minorEastAsia" w:hAnsiTheme="minorEastAsia" w:hint="eastAsia"/>
          <w:b/>
          <w:bCs/>
          <w:color w:val="auto"/>
        </w:rPr>
        <w:t>43</w:t>
      </w:r>
      <w:r w:rsidR="00F37029" w:rsidRPr="00F37029">
        <w:rPr>
          <w:rFonts w:asciiTheme="minorEastAsia" w:eastAsiaTheme="minorEastAsia" w:hAnsiTheme="minorEastAsia"/>
          <w:b/>
          <w:bCs/>
          <w:color w:val="auto"/>
        </w:rPr>
        <w:t>:00）</w:t>
      </w:r>
    </w:p>
    <w:p w14:paraId="3C33F6FB" w14:textId="58DBA135" w:rsidR="00457E2D" w:rsidRPr="00231C6D" w:rsidRDefault="0039391F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color w:val="FF0000"/>
          <w:sz w:val="21"/>
        </w:rPr>
      </w:pPr>
      <w:r>
        <w:rPr>
          <w:rFonts w:asciiTheme="minorEastAsia" w:eastAsiaTheme="minorEastAsia" w:hAnsiTheme="minorEastAsia" w:hint="eastAsia"/>
          <w:sz w:val="21"/>
        </w:rPr>
        <w:t>一</w:t>
      </w:r>
      <w:r w:rsidR="00457E2D" w:rsidRPr="00D36B45">
        <w:rPr>
          <w:rFonts w:asciiTheme="minorEastAsia" w:eastAsiaTheme="minorEastAsia" w:hAnsiTheme="minorEastAsia" w:hint="eastAsia"/>
          <w:sz w:val="21"/>
        </w:rPr>
        <w:t>、专门机关</w:t>
      </w:r>
      <w:r w:rsidR="00231C6D" w:rsidRPr="00231C6D">
        <w:rPr>
          <w:rFonts w:asciiTheme="minorEastAsia" w:eastAsiaTheme="minorEastAsia" w:hAnsiTheme="minorEastAsia" w:hint="eastAsia"/>
          <w:color w:val="FF0000"/>
          <w:sz w:val="21"/>
        </w:rPr>
        <w:t>【重点掌握】</w:t>
      </w:r>
    </w:p>
    <w:p w14:paraId="26E1488F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（一）公安机关与其他行使侦查权的机关</w:t>
      </w:r>
    </w:p>
    <w:p w14:paraId="2BA95AC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公安机关对多数刑事案件行使侦查权，以下情况除外：</w:t>
      </w:r>
    </w:p>
    <w:p w14:paraId="1B0D8E45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1．国家安全机关：办理危害国家安全的刑事案件，行使与公安机关相同的职权。</w:t>
      </w:r>
    </w:p>
    <w:p w14:paraId="7217A316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2．军队保卫部门：对军队内部发生的刑事案件行使侦查权，适用《刑事诉讼法》的有关规定。</w:t>
      </w:r>
    </w:p>
    <w:p w14:paraId="0FD881C6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3．中国海警局：对海上发生的刑事案件行使侦查权，适用《刑事诉讼法》的有关规定。</w:t>
      </w:r>
    </w:p>
    <w:p w14:paraId="7FF7494A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4．监狱：对罪犯在监狱内犯罪的案件进行侦查，适用《刑事诉讼法》的有关规定。</w:t>
      </w:r>
    </w:p>
    <w:p w14:paraId="5E364C3F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（二）人民检察院</w:t>
      </w:r>
    </w:p>
    <w:p w14:paraId="6417FEDA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人民检察院在机构设置上分为最高人民检察院、地方各级人民检察院和各专门人民检察院。各级人民检察院根据检察工作需要设置若干业务机构，常见有普通犯罪检察部门、职务犯罪检察部门、经济犯罪检察部门、未成年人检察部门、民事行政检察部门、控告申诉检察部门等。各级人民检察院的检察官在检察长的领导下开展工作，业务机构负责人对本部门的办案活动进行监督管理。</w:t>
      </w:r>
    </w:p>
    <w:p w14:paraId="0798D59A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hint="eastAsia"/>
        </w:rPr>
      </w:pPr>
      <w:r w:rsidRPr="00D36B45">
        <w:rPr>
          <w:rFonts w:asciiTheme="minorEastAsia" w:eastAsiaTheme="minorEastAsia" w:hAnsiTheme="minorEastAsia" w:hint="eastAsia"/>
        </w:rPr>
        <w:t>人民检察院在刑事诉讼中</w:t>
      </w:r>
      <w:r w:rsidRPr="00D36B45">
        <w:rPr>
          <w:rFonts w:asciiTheme="minorEastAsia" w:eastAsiaTheme="minorEastAsia" w:hAnsiTheme="minorEastAsia" w:hint="eastAsia"/>
          <w:color w:val="FF0000"/>
        </w:rPr>
        <w:t>主要行使公诉权、诉讼监督权和对部分案件的侦查权</w:t>
      </w:r>
      <w:r w:rsidRPr="00D36B45">
        <w:rPr>
          <w:rFonts w:asciiTheme="minorEastAsia" w:eastAsiaTheme="minorEastAsia" w:hAnsiTheme="minorEastAsia" w:hint="eastAsia"/>
        </w:rPr>
        <w:t>。</w:t>
      </w:r>
    </w:p>
    <w:p w14:paraId="26E3FBB9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（三）人民法院</w:t>
      </w:r>
    </w:p>
    <w:p w14:paraId="133CB1CA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人民法院在机构设置上分为最高人民法院、地方各级人民法院和各专门人民法院。地方各级人民法院包括高级人民法院、中级人民法院和基层人民法院，通常对应省（自治区）、市（州）、县（区）三级行政区设置。</w:t>
      </w:r>
    </w:p>
    <w:p w14:paraId="1A7D5419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人民法院的首要职权是审判权。其他职权系为保障审判权的运行而设置，主要包括：强制措施适用权（刑事拘留除外）；对证据的调查核实权；对扰乱法庭秩序行为的处罚权；对涉案财物的处置权；对死刑和财产刑的执行权。</w:t>
      </w:r>
    </w:p>
    <w:p w14:paraId="622A69D5" w14:textId="0097E481" w:rsidR="00457E2D" w:rsidRPr="00D36B45" w:rsidRDefault="00635BE1" w:rsidP="00D36B45">
      <w:pPr>
        <w:pStyle w:val="3"/>
        <w:keepNext w:val="0"/>
        <w:keepLines w:val="0"/>
        <w:spacing w:line="240" w:lineRule="exact"/>
        <w:rPr>
          <w:rFonts w:asciiTheme="minorEastAsia" w:eastAsiaTheme="minorEastAsia" w:hAnsiTheme="minorEastAsia" w:hint="eastAsia"/>
          <w:sz w:val="21"/>
        </w:rPr>
      </w:pPr>
      <w:r>
        <w:rPr>
          <w:rFonts w:asciiTheme="minorEastAsia" w:eastAsiaTheme="minorEastAsia" w:hAnsiTheme="minorEastAsia" w:hint="eastAsia"/>
          <w:sz w:val="21"/>
        </w:rPr>
        <w:t>二</w:t>
      </w:r>
      <w:r w:rsidR="00457E2D" w:rsidRPr="00D36B45">
        <w:rPr>
          <w:rFonts w:asciiTheme="minorEastAsia" w:eastAsiaTheme="minorEastAsia" w:hAnsiTheme="minorEastAsia" w:hint="eastAsia"/>
          <w:sz w:val="21"/>
        </w:rPr>
        <w:t>、诉讼参与人</w:t>
      </w:r>
      <w:r w:rsidR="00B014C0" w:rsidRPr="00F4770B">
        <w:rPr>
          <w:rFonts w:asciiTheme="minorEastAsia" w:eastAsiaTheme="minorEastAsia" w:hAnsiTheme="minorEastAsia" w:hint="eastAsia"/>
          <w:color w:val="FF0000"/>
          <w:sz w:val="21"/>
        </w:rPr>
        <w:t>【后续课程会分别讲授】</w:t>
      </w:r>
    </w:p>
    <w:p w14:paraId="5C95B36A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（一）犯罪嫌疑人、被告人</w:t>
      </w:r>
    </w:p>
    <w:p w14:paraId="7610D9E6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1．诉讼地位</w:t>
      </w:r>
    </w:p>
    <w:p w14:paraId="7F843813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（1）犯罪嫌疑人、被告人是享有一系列诉讼权利的诉讼主体，居于当事人的地位。</w:t>
      </w:r>
    </w:p>
    <w:p w14:paraId="0E6823EC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（2）犯罪嫌疑人、被告人与案件有着直接利害关系，他们处于被追诉者的位置。</w:t>
      </w:r>
    </w:p>
    <w:p w14:paraId="4C36C151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（3）犯罪嫌疑人、被告人本身还可以成为重要的证据来源。</w:t>
      </w:r>
    </w:p>
    <w:p w14:paraId="6BA31D2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lastRenderedPageBreak/>
        <w:t>2．主要权利</w:t>
      </w:r>
    </w:p>
    <w:p w14:paraId="6BA38F5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（1）辩护权。包括：自行辩护权、委托辩护权、获得法律援助辩护权或获得值班律师帮助权。</w:t>
      </w:r>
    </w:p>
    <w:p w14:paraId="7CBE8212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（2）参加庭审的权利。包括：参加法庭调查，进行举证质证；参加法庭辩论，充分发表意见；进行最后陈述。</w:t>
      </w:r>
    </w:p>
    <w:p w14:paraId="3390F6C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（3）救济性权利。包括：对部分决定的申请复议权；对违法诉讼行为的控告、申诉权；申请变更、解除强制措施权；对酌定不起诉决定的申诉权；对一审裁判的上诉权。</w:t>
      </w:r>
    </w:p>
    <w:p w14:paraId="62070145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（二）被害人</w:t>
      </w:r>
    </w:p>
    <w:p w14:paraId="41C8B05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被害人是指人身、财产或者其他权益遭受犯罪行为直接侵害的人，同时也是在诉讼中主张赔偿并协助检察院行使控诉职能的当事人。</w:t>
      </w:r>
    </w:p>
    <w:p w14:paraId="4B231376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被害人享有一系列诉讼权利，体现控诉职能的权利包括：</w:t>
      </w:r>
    </w:p>
    <w:p w14:paraId="1BAE85BD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1．针对犯罪侵害：报案或控告的权利</w:t>
      </w:r>
    </w:p>
    <w:p w14:paraId="114D5E6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2．针对不立案决定：申请复议权或向检察院申诉权</w:t>
      </w:r>
    </w:p>
    <w:p w14:paraId="602B7ED7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3．针对不起诉决定：向上一级检察院申诉权</w:t>
      </w:r>
    </w:p>
    <w:p w14:paraId="7FADEDB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4．针对一审判决：申请同级检察院抗诉权</w:t>
      </w:r>
    </w:p>
    <w:p w14:paraId="4E86AAF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5．针对生效判决：申诉权</w:t>
      </w:r>
    </w:p>
    <w:p w14:paraId="1F59222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6．针对公安机关或检察院不予追究刑事责任（前述2．3和公安机关撤销案件）：自诉权</w:t>
      </w:r>
    </w:p>
    <w:p w14:paraId="6D7F3389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（三）其他当事人</w:t>
      </w:r>
    </w:p>
    <w:p w14:paraId="43E8F605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1．自诉人：针对人民法院直接受理的案件，以自己名义起诉的人，通常是本案的被害人。</w:t>
      </w:r>
    </w:p>
    <w:p w14:paraId="5B330358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2．附带民事诉讼当事人：附带民事诉讼原告人和附带民事诉讼被告人。</w:t>
      </w:r>
    </w:p>
    <w:p w14:paraId="4F142587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</w:p>
    <w:p w14:paraId="52F08EB9" w14:textId="77777777" w:rsidR="00457E2D" w:rsidRPr="00D36B45" w:rsidRDefault="00457E2D" w:rsidP="00D36B45">
      <w:pPr>
        <w:pStyle w:val="4"/>
        <w:keepNext w:val="0"/>
        <w:keepLines w:val="0"/>
        <w:spacing w:line="240" w:lineRule="exact"/>
        <w:ind w:firstLineChars="120" w:firstLine="252"/>
        <w:rPr>
          <w:rFonts w:asciiTheme="minorEastAsia" w:eastAsiaTheme="minorEastAsia" w:hAnsiTheme="minorEastAsia" w:hint="eastAsia"/>
          <w:sz w:val="21"/>
          <w:szCs w:val="21"/>
        </w:rPr>
      </w:pPr>
      <w:r w:rsidRPr="00D36B45">
        <w:rPr>
          <w:rFonts w:asciiTheme="minorEastAsia" w:eastAsiaTheme="minorEastAsia" w:hAnsiTheme="minorEastAsia" w:hint="eastAsia"/>
          <w:sz w:val="21"/>
          <w:szCs w:val="21"/>
        </w:rPr>
        <w:t>（四）其他诉讼参与人</w:t>
      </w:r>
    </w:p>
    <w:p w14:paraId="71A03183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1．辩护人：在刑事诉讼中接受被追诉人及其法定代理人或近亲属委托，或受法律援助机构指派，依法为犯罪嫌疑人、被告人辩护，维护其合法权益的人。</w:t>
      </w:r>
    </w:p>
    <w:p w14:paraId="2998546B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2．法定代理人：依据法律规定参加刑事诉讼，依法保护无行为能力或限制行为能力之当事人，并代其行使诉讼权利的人。</w:t>
      </w:r>
    </w:p>
    <w:p w14:paraId="53EB610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3．诉讼代理人：基于被代理人委托或法律援助机构指派，依法代被代理人（被害人、附带民事诉讼当事人、自诉人或被申请强制医疗之人）参与诉讼，维护其合法权益的人。</w:t>
      </w:r>
    </w:p>
    <w:p w14:paraId="07F5AF9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4．证人：在诉讼外了解案件情况，在诉讼中负有如实作证义务的当事人以外的人。</w:t>
      </w:r>
    </w:p>
    <w:p w14:paraId="775F2014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5．鉴定人：接受专门机关的指派或聘请，依靠专门知识或技能对案件中专门性问题进行分析、鉴别和判断，从而作出鉴定意见的人。</w:t>
      </w:r>
    </w:p>
    <w:p w14:paraId="175E9DBF" w14:textId="77777777" w:rsidR="00457E2D" w:rsidRPr="00D36B45" w:rsidRDefault="00457E2D" w:rsidP="00D36B45">
      <w:pPr>
        <w:spacing w:line="240" w:lineRule="exact"/>
        <w:ind w:firstLine="420"/>
        <w:rPr>
          <w:rFonts w:asciiTheme="minorEastAsia" w:eastAsiaTheme="minorEastAsia" w:hAnsiTheme="minorEastAsia" w:cs="Times New Roman"/>
        </w:rPr>
      </w:pPr>
      <w:r w:rsidRPr="00D36B45">
        <w:rPr>
          <w:rFonts w:asciiTheme="minorEastAsia" w:eastAsiaTheme="minorEastAsia" w:hAnsiTheme="minorEastAsia" w:cs="Times New Roman" w:hint="eastAsia"/>
        </w:rPr>
        <w:t>6．翻译人员：接受专门机关的指派或聘请，为参加诉讼的外国人或无国籍人、少数民族人员、聋哑人等提供语言、文字或手语翻译的人。</w:t>
      </w:r>
    </w:p>
    <w:sectPr w:rsidR="00457E2D" w:rsidRPr="00D36B4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F2B3D" w14:textId="77777777" w:rsidR="007F0806" w:rsidRDefault="007F0806" w:rsidP="00457E2D">
      <w:pPr>
        <w:spacing w:line="240" w:lineRule="auto"/>
        <w:ind w:firstLine="420"/>
        <w:rPr>
          <w:rFonts w:hint="eastAsia"/>
        </w:rPr>
      </w:pPr>
      <w:r>
        <w:separator/>
      </w:r>
    </w:p>
  </w:endnote>
  <w:endnote w:type="continuationSeparator" w:id="0">
    <w:p w14:paraId="01BFFBBA" w14:textId="77777777" w:rsidR="007F0806" w:rsidRDefault="007F0806" w:rsidP="00457E2D">
      <w:pPr>
        <w:spacing w:line="240" w:lineRule="auto"/>
        <w:ind w:firstLine="42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汉仪书宋二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汉仪大宋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汉仪大黑简">
    <w:altName w:val="微软雅黑"/>
    <w:charset w:val="86"/>
    <w:family w:val="modern"/>
    <w:pitch w:val="fixed"/>
    <w:sig w:usb0="00000001" w:usb1="080E0800" w:usb2="00000012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82811" w14:textId="77777777" w:rsidR="00D36B45" w:rsidRDefault="00D36B45">
    <w:pPr>
      <w:pStyle w:val="a5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011C0" w14:textId="77777777" w:rsidR="00D36B45" w:rsidRDefault="00D36B45">
    <w:pPr>
      <w:pStyle w:val="a5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5AFD9" w14:textId="77777777" w:rsidR="00D36B45" w:rsidRDefault="00D36B45">
    <w:pPr>
      <w:pStyle w:val="a5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8D0FC" w14:textId="77777777" w:rsidR="007F0806" w:rsidRDefault="007F0806" w:rsidP="00457E2D">
      <w:pPr>
        <w:spacing w:line="240" w:lineRule="auto"/>
        <w:ind w:firstLine="420"/>
        <w:rPr>
          <w:rFonts w:hint="eastAsia"/>
        </w:rPr>
      </w:pPr>
      <w:r>
        <w:separator/>
      </w:r>
    </w:p>
  </w:footnote>
  <w:footnote w:type="continuationSeparator" w:id="0">
    <w:p w14:paraId="56D0493A" w14:textId="77777777" w:rsidR="007F0806" w:rsidRDefault="007F0806" w:rsidP="00457E2D">
      <w:pPr>
        <w:spacing w:line="240" w:lineRule="auto"/>
        <w:ind w:firstLine="42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C9C35" w14:textId="77777777" w:rsidR="00D36B45" w:rsidRDefault="00D36B45">
    <w:pPr>
      <w:pStyle w:val="a3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E6717" w14:textId="77777777" w:rsidR="00D36B45" w:rsidRDefault="00D36B45">
    <w:pPr>
      <w:pStyle w:val="a3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D71B3" w14:textId="77777777" w:rsidR="00D36B45" w:rsidRDefault="00D36B45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66B"/>
    <w:rsid w:val="000D7FE2"/>
    <w:rsid w:val="00124001"/>
    <w:rsid w:val="00231C6D"/>
    <w:rsid w:val="002B0B02"/>
    <w:rsid w:val="002F066B"/>
    <w:rsid w:val="0031659D"/>
    <w:rsid w:val="0038291C"/>
    <w:rsid w:val="0039391F"/>
    <w:rsid w:val="00457E2D"/>
    <w:rsid w:val="004A06E2"/>
    <w:rsid w:val="004C28DA"/>
    <w:rsid w:val="00533D29"/>
    <w:rsid w:val="005917BC"/>
    <w:rsid w:val="006146E1"/>
    <w:rsid w:val="006357FF"/>
    <w:rsid w:val="00635BE1"/>
    <w:rsid w:val="00680014"/>
    <w:rsid w:val="00792E7C"/>
    <w:rsid w:val="007E4E67"/>
    <w:rsid w:val="007F0806"/>
    <w:rsid w:val="008F102D"/>
    <w:rsid w:val="00A5354D"/>
    <w:rsid w:val="00A81548"/>
    <w:rsid w:val="00AD623D"/>
    <w:rsid w:val="00B014C0"/>
    <w:rsid w:val="00C478E0"/>
    <w:rsid w:val="00C95D82"/>
    <w:rsid w:val="00D04A0A"/>
    <w:rsid w:val="00D36B45"/>
    <w:rsid w:val="00E71228"/>
    <w:rsid w:val="00F37029"/>
    <w:rsid w:val="00F4770B"/>
    <w:rsid w:val="00F73802"/>
    <w:rsid w:val="00FE4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3013D2"/>
  <w15:chartTrackingRefBased/>
  <w15:docId w15:val="{0B58CC9D-410D-4B14-8A8E-FC92CB46D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7029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57E2D"/>
    <w:pPr>
      <w:keepNext/>
      <w:keepLines/>
      <w:spacing w:before="10"/>
      <w:ind w:firstLineChars="0" w:firstLine="0"/>
      <w:jc w:val="center"/>
      <w:outlineLvl w:val="0"/>
    </w:pPr>
    <w:rPr>
      <w:rFonts w:ascii="汉仪大宋简" w:eastAsia="汉仪大宋简" w:hAnsi="汉仪大宋简"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457E2D"/>
    <w:pPr>
      <w:keepNext/>
      <w:keepLines/>
      <w:ind w:firstLineChars="0" w:firstLine="0"/>
      <w:jc w:val="left"/>
      <w:outlineLvl w:val="1"/>
    </w:pPr>
    <w:rPr>
      <w:rFonts w:asciiTheme="majorHAnsi" w:eastAsia="汉仪大黑简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457E2D"/>
    <w:pPr>
      <w:keepNext/>
      <w:keepLines/>
      <w:ind w:firstLineChars="0" w:firstLine="0"/>
      <w:jc w:val="left"/>
      <w:outlineLvl w:val="2"/>
    </w:pPr>
    <w:rPr>
      <w:rFonts w:eastAsia="汉仪大宋简"/>
      <w:sz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457E2D"/>
    <w:pPr>
      <w:keepNext/>
      <w:keepLines/>
      <w:ind w:firstLineChars="0" w:firstLine="0"/>
      <w:jc w:val="left"/>
      <w:outlineLvl w:val="3"/>
    </w:pPr>
    <w:rPr>
      <w:rFonts w:asciiTheme="majorHAnsi" w:eastAsia="汉仪大宋简" w:hAnsiTheme="majorHAnsi" w:cstheme="majorBidi"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7E2D"/>
    <w:pPr>
      <w:tabs>
        <w:tab w:val="clear" w:pos="420"/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color w:val="auto"/>
      <w:sz w:val="18"/>
      <w:szCs w:val="18"/>
      <w14:ligatures w14:val="standardContextual"/>
    </w:rPr>
  </w:style>
  <w:style w:type="character" w:customStyle="1" w:styleId="a4">
    <w:name w:val="页眉 字符"/>
    <w:basedOn w:val="a0"/>
    <w:link w:val="a3"/>
    <w:uiPriority w:val="99"/>
    <w:rsid w:val="00457E2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57E2D"/>
    <w:pPr>
      <w:tabs>
        <w:tab w:val="clear" w:pos="420"/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color w:val="auto"/>
      <w:sz w:val="18"/>
      <w:szCs w:val="18"/>
      <w14:ligatures w14:val="standardContextual"/>
    </w:rPr>
  </w:style>
  <w:style w:type="character" w:customStyle="1" w:styleId="a6">
    <w:name w:val="页脚 字符"/>
    <w:basedOn w:val="a0"/>
    <w:link w:val="a5"/>
    <w:uiPriority w:val="99"/>
    <w:rsid w:val="00457E2D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sid w:val="00457E2D"/>
    <w:rPr>
      <w:rFonts w:ascii="汉仪大宋简" w:eastAsia="汉仪大宋简" w:hAnsi="汉仪大宋简" w:cs="宋体"/>
      <w:bCs/>
      <w:color w:val="000000" w:themeColor="text1"/>
      <w:kern w:val="44"/>
      <w:sz w:val="44"/>
      <w:szCs w:val="44"/>
      <w14:ligatures w14:val="none"/>
    </w:rPr>
  </w:style>
  <w:style w:type="character" w:customStyle="1" w:styleId="20">
    <w:name w:val="标题 2 字符"/>
    <w:basedOn w:val="a0"/>
    <w:link w:val="2"/>
    <w:qFormat/>
    <w:rsid w:val="00457E2D"/>
    <w:rPr>
      <w:rFonts w:asciiTheme="majorHAnsi" w:eastAsia="汉仪大黑简" w:hAnsiTheme="majorHAnsi" w:cstheme="majorBidi"/>
      <w:bCs/>
      <w:color w:val="000000" w:themeColor="text1"/>
      <w:sz w:val="32"/>
      <w:szCs w:val="32"/>
      <w14:ligatures w14:val="none"/>
    </w:rPr>
  </w:style>
  <w:style w:type="character" w:customStyle="1" w:styleId="30">
    <w:name w:val="标题 3 字符"/>
    <w:basedOn w:val="a0"/>
    <w:link w:val="3"/>
    <w:uiPriority w:val="9"/>
    <w:qFormat/>
    <w:rsid w:val="00457E2D"/>
    <w:rPr>
      <w:rFonts w:ascii="宋体" w:eastAsia="汉仪大宋简" w:hAnsi="宋体" w:cs="宋体"/>
      <w:color w:val="000000" w:themeColor="text1"/>
      <w:sz w:val="26"/>
      <w:szCs w:val="21"/>
      <w14:ligatures w14:val="none"/>
    </w:rPr>
  </w:style>
  <w:style w:type="character" w:customStyle="1" w:styleId="40">
    <w:name w:val="标题 4 字符"/>
    <w:basedOn w:val="a0"/>
    <w:link w:val="4"/>
    <w:uiPriority w:val="9"/>
    <w:qFormat/>
    <w:rsid w:val="00457E2D"/>
    <w:rPr>
      <w:rFonts w:asciiTheme="majorHAnsi" w:eastAsia="汉仪大宋简" w:hAnsiTheme="majorHAnsi" w:cstheme="majorBidi"/>
      <w:bCs/>
      <w:color w:val="000000" w:themeColor="text1"/>
      <w:sz w:val="24"/>
      <w:szCs w:val="28"/>
      <w14:ligatures w14:val="none"/>
    </w:rPr>
  </w:style>
  <w:style w:type="paragraph" w:styleId="a7">
    <w:name w:val="Normal (Web)"/>
    <w:basedOn w:val="a"/>
    <w:unhideWhenUsed/>
    <w:qFormat/>
    <w:rsid w:val="00457E2D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table" w:styleId="a8">
    <w:name w:val="Table Grid"/>
    <w:basedOn w:val="a1"/>
    <w:qFormat/>
    <w:rsid w:val="00457E2D"/>
    <w:rPr>
      <w:rFonts w:eastAsia="宋体" w:cs="Calibri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1">
      <a:majorFont>
        <a:latin typeface="宋体"/>
        <a:ea typeface="宋体"/>
        <a:cs typeface=""/>
      </a:majorFont>
      <a:minorFont>
        <a:latin typeface="宋体"/>
        <a:ea typeface="宋体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638</Words>
  <Characters>3639</Characters>
  <Application>Microsoft Office Word</Application>
  <DocSecurity>0</DocSecurity>
  <Lines>30</Lines>
  <Paragraphs>8</Paragraphs>
  <ScaleCrop>false</ScaleCrop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文琦 刘</dc:creator>
  <cp:keywords/>
  <dc:description/>
  <cp:lastModifiedBy>文琦 刘</cp:lastModifiedBy>
  <cp:revision>29</cp:revision>
  <dcterms:created xsi:type="dcterms:W3CDTF">2025-01-11T08:16:00Z</dcterms:created>
  <dcterms:modified xsi:type="dcterms:W3CDTF">2025-02-13T13:45:00Z</dcterms:modified>
</cp:coreProperties>
</file>